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16" w:lineRule="exact"/>
        <w:rPr>
          <w:sz w:val="20"/>
          <w:szCs w:val="20"/>
          <w:color w:val="auto"/>
        </w:rPr>
      </w:pPr>
    </w:p>
    <w:tbl>
      <w:tblPr>
        <w:tblLayout w:type="fixed"/>
        <w:tblInd w:w="680" w:type="dxa"/>
        <w:tblCellMar>
          <w:top w:w="0" w:type="dxa"/>
          <w:left w:w="0" w:type="dxa"/>
          <w:bottom w:w="0" w:type="dxa"/>
          <w:right w:w="0" w:type="dxa"/>
        </w:tblCellMar>
      </w:tblPr>
      <w:tr>
        <w:trPr>
          <w:trHeight w:val="243"/>
        </w:trPr>
        <w:tc>
          <w:tcPr>
            <w:tcW w:w="1160" w:type="dxa"/>
            <w:vAlign w:val="bottom"/>
            <w:tcBorders>
              <w:top w:val="single" w:sz="8" w:color="auto"/>
            </w:tcBorders>
          </w:tcPr>
          <w:p>
            <w:pPr>
              <w:spacing w:after="0"/>
              <w:rPr>
                <w:sz w:val="21"/>
                <w:szCs w:val="21"/>
                <w:color w:val="auto"/>
              </w:rPr>
            </w:pPr>
          </w:p>
        </w:tc>
        <w:tc>
          <w:tcPr>
            <w:tcW w:w="8820" w:type="dxa"/>
            <w:vAlign w:val="bottom"/>
            <w:tcBorders>
              <w:top w:val="single" w:sz="8" w:color="auto"/>
            </w:tcBorders>
          </w:tcPr>
          <w:p>
            <w:pPr>
              <w:jc w:val="center"/>
              <w:ind w:right="1051"/>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0" w:type="dxa"/>
            <w:vAlign w:val="bottom"/>
          </w:tcPr>
          <w:p>
            <w:pPr>
              <w:spacing w:after="0"/>
              <w:rPr>
                <w:sz w:val="1"/>
                <w:szCs w:val="1"/>
                <w:color w:val="auto"/>
              </w:rPr>
            </w:pPr>
          </w:p>
        </w:tc>
      </w:tr>
      <w:tr>
        <w:trPr>
          <w:trHeight w:val="220"/>
        </w:trPr>
        <w:tc>
          <w:tcPr>
            <w:tcW w:w="1160" w:type="dxa"/>
            <w:vAlign w:val="bottom"/>
          </w:tcPr>
          <w:p>
            <w:pPr>
              <w:spacing w:after="0"/>
              <w:rPr>
                <w:sz w:val="19"/>
                <w:szCs w:val="19"/>
                <w:color w:val="auto"/>
              </w:rPr>
            </w:pPr>
          </w:p>
        </w:tc>
        <w:tc>
          <w:tcPr>
            <w:tcW w:w="8820" w:type="dxa"/>
            <w:vAlign w:val="bottom"/>
          </w:tcPr>
          <w:p>
            <w:pPr>
              <w:jc w:val="center"/>
              <w:ind w:right="1051"/>
              <w:spacing w:after="0"/>
              <w:rPr>
                <w:sz w:val="20"/>
                <w:szCs w:val="20"/>
                <w:color w:val="auto"/>
              </w:rPr>
            </w:pPr>
            <w:r>
              <w:rPr>
                <w:rFonts w:ascii="Arial" w:cs="Arial" w:eastAsia="Arial" w:hAnsi="Arial"/>
                <w:sz w:val="17"/>
                <w:szCs w:val="17"/>
                <w:b w:val="1"/>
                <w:bCs w:val="1"/>
                <w:color w:val="auto"/>
                <w:w w:val="91"/>
              </w:rPr>
              <w:t>Washington, D.C. 20549</w:t>
            </w:r>
          </w:p>
        </w:tc>
        <w:tc>
          <w:tcPr>
            <w:tcW w:w="0" w:type="dxa"/>
            <w:vAlign w:val="bottom"/>
          </w:tcPr>
          <w:p>
            <w:pPr>
              <w:spacing w:after="0"/>
              <w:rPr>
                <w:sz w:val="1"/>
                <w:szCs w:val="1"/>
                <w:color w:val="auto"/>
              </w:rPr>
            </w:pPr>
          </w:p>
        </w:tc>
      </w:tr>
      <w:tr>
        <w:trPr>
          <w:trHeight w:val="331"/>
        </w:trPr>
        <w:tc>
          <w:tcPr>
            <w:tcW w:w="1160" w:type="dxa"/>
            <w:vAlign w:val="bottom"/>
            <w:vMerge w:val="restart"/>
          </w:tcPr>
          <w:p>
            <w:pPr>
              <w:jc w:val="center"/>
              <w:ind w:right="752"/>
              <w:spacing w:after="0" w:line="181" w:lineRule="exact"/>
              <w:rPr>
                <w:sz w:val="20"/>
                <w:szCs w:val="20"/>
                <w:color w:val="auto"/>
              </w:rPr>
            </w:pPr>
            <w:r>
              <w:rPr>
                <w:rFonts w:ascii="MS PGothic" w:cs="MS PGothic" w:eastAsia="MS PGothic" w:hAnsi="MS PGothic"/>
                <w:sz w:val="18"/>
                <w:szCs w:val="18"/>
                <w:color w:val="auto"/>
                <w:w w:val="88"/>
              </w:rPr>
              <w:t>☑</w:t>
            </w:r>
          </w:p>
        </w:tc>
        <w:tc>
          <w:tcPr>
            <w:tcW w:w="8820" w:type="dxa"/>
            <w:vAlign w:val="bottom"/>
          </w:tcPr>
          <w:p>
            <w:pPr>
              <w:jc w:val="center"/>
              <w:ind w:right="1051"/>
              <w:spacing w:after="0"/>
              <w:rPr>
                <w:sz w:val="20"/>
                <w:szCs w:val="20"/>
                <w:color w:val="auto"/>
              </w:rPr>
            </w:pPr>
            <w:r>
              <w:rPr>
                <w:rFonts w:ascii="Arial" w:cs="Arial" w:eastAsia="Arial" w:hAnsi="Arial"/>
                <w:sz w:val="26"/>
                <w:szCs w:val="26"/>
                <w:b w:val="1"/>
                <w:bCs w:val="1"/>
                <w:color w:val="auto"/>
                <w:w w:val="96"/>
              </w:rPr>
              <w:t>Form 10-K</w:t>
            </w:r>
          </w:p>
        </w:tc>
        <w:tc>
          <w:tcPr>
            <w:tcW w:w="0" w:type="dxa"/>
            <w:vAlign w:val="bottom"/>
          </w:tcPr>
          <w:p>
            <w:pPr>
              <w:spacing w:after="0"/>
              <w:rPr>
                <w:sz w:val="1"/>
                <w:szCs w:val="1"/>
                <w:color w:val="auto"/>
              </w:rPr>
            </w:pPr>
          </w:p>
        </w:tc>
      </w:tr>
      <w:tr>
        <w:trPr>
          <w:trHeight w:val="197"/>
        </w:trPr>
        <w:tc>
          <w:tcPr>
            <w:tcW w:w="1160" w:type="dxa"/>
            <w:vAlign w:val="bottom"/>
            <w:vMerge w:val="continue"/>
          </w:tcPr>
          <w:p>
            <w:pPr>
              <w:spacing w:after="0"/>
              <w:rPr>
                <w:sz w:val="17"/>
                <w:szCs w:val="17"/>
                <w:color w:val="auto"/>
              </w:rPr>
            </w:pPr>
          </w:p>
        </w:tc>
        <w:tc>
          <w:tcPr>
            <w:tcW w:w="8820" w:type="dxa"/>
            <w:vAlign w:val="bottom"/>
          </w:tcPr>
          <w:p>
            <w:pPr>
              <w:jc w:val="center"/>
              <w:ind w:right="251"/>
              <w:spacing w:after="0"/>
              <w:rPr>
                <w:sz w:val="20"/>
                <w:szCs w:val="20"/>
                <w:color w:val="auto"/>
              </w:rPr>
            </w:pPr>
            <w:r>
              <w:rPr>
                <w:rFonts w:ascii="Arial" w:cs="Arial" w:eastAsia="Arial" w:hAnsi="Arial"/>
                <w:sz w:val="17"/>
                <w:szCs w:val="17"/>
                <w:b w:val="1"/>
                <w:bCs w:val="1"/>
                <w:color w:val="auto"/>
                <w:w w:val="98"/>
              </w:rPr>
              <w:t>ANNUAL REPORT PURSUANT TO SECTION 13 OR 15(d)</w:t>
            </w: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8820" w:type="dxa"/>
            <w:vAlign w:val="bottom"/>
          </w:tcPr>
          <w:p>
            <w:pPr>
              <w:jc w:val="center"/>
              <w:ind w:right="251"/>
              <w:spacing w:after="0"/>
              <w:rPr>
                <w:sz w:val="20"/>
                <w:szCs w:val="20"/>
                <w:color w:val="auto"/>
              </w:rPr>
            </w:pPr>
            <w:r>
              <w:rPr>
                <w:rFonts w:ascii="Arial" w:cs="Arial" w:eastAsia="Arial" w:hAnsi="Arial"/>
                <w:sz w:val="17"/>
                <w:szCs w:val="17"/>
                <w:b w:val="1"/>
                <w:bCs w:val="1"/>
                <w:color w:val="auto"/>
                <w:w w:val="99"/>
              </w:rPr>
              <w:t>OF THE SECURITIES EXCHANGE ACT OF 1934</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8820" w:type="dxa"/>
            <w:vAlign w:val="bottom"/>
          </w:tcPr>
          <w:p>
            <w:pPr>
              <w:jc w:val="center"/>
              <w:ind w:right="251"/>
              <w:spacing w:after="0"/>
              <w:rPr>
                <w:sz w:val="20"/>
                <w:szCs w:val="20"/>
                <w:color w:val="auto"/>
              </w:rPr>
            </w:pPr>
            <w:r>
              <w:rPr>
                <w:rFonts w:ascii="Arial" w:cs="Arial" w:eastAsia="Arial" w:hAnsi="Arial"/>
                <w:sz w:val="14"/>
                <w:szCs w:val="14"/>
                <w:b w:val="1"/>
                <w:bCs w:val="1"/>
                <w:color w:val="auto"/>
                <w:w w:val="92"/>
              </w:rPr>
              <w:t>For the fiscal year ended December 31, 2006</w:t>
            </w: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8820" w:type="dxa"/>
            <w:vAlign w:val="bottom"/>
          </w:tcPr>
          <w:p>
            <w:pPr>
              <w:jc w:val="center"/>
              <w:ind w:right="1051"/>
              <w:spacing w:after="0"/>
              <w:rPr>
                <w:sz w:val="20"/>
                <w:szCs w:val="20"/>
                <w:color w:val="auto"/>
              </w:rPr>
            </w:pPr>
            <w:r>
              <w:rPr>
                <w:rFonts w:ascii="Arial" w:cs="Arial" w:eastAsia="Arial" w:hAnsi="Arial"/>
                <w:sz w:val="18"/>
                <w:szCs w:val="18"/>
                <w:color w:val="auto"/>
                <w:w w:val="99"/>
              </w:rPr>
              <w:t>or</w:t>
            </w:r>
          </w:p>
        </w:tc>
        <w:tc>
          <w:tcPr>
            <w:tcW w:w="0" w:type="dxa"/>
            <w:vAlign w:val="bottom"/>
          </w:tcPr>
          <w:p>
            <w:pPr>
              <w:spacing w:after="0"/>
              <w:rPr>
                <w:sz w:val="1"/>
                <w:szCs w:val="1"/>
                <w:color w:val="auto"/>
              </w:rPr>
            </w:pPr>
          </w:p>
        </w:tc>
      </w:tr>
      <w:tr>
        <w:trPr>
          <w:trHeight w:val="197"/>
        </w:trPr>
        <w:tc>
          <w:tcPr>
            <w:tcW w:w="1160" w:type="dxa"/>
            <w:vAlign w:val="bottom"/>
          </w:tcPr>
          <w:p>
            <w:pPr>
              <w:jc w:val="center"/>
              <w:ind w:right="752"/>
              <w:spacing w:after="0"/>
              <w:rPr>
                <w:sz w:val="20"/>
                <w:szCs w:val="20"/>
                <w:color w:val="auto"/>
              </w:rPr>
            </w:pPr>
            <w:r>
              <w:rPr>
                <w:rFonts w:ascii="Arial" w:cs="Arial" w:eastAsia="Arial" w:hAnsi="Arial"/>
                <w:sz w:val="17"/>
                <w:szCs w:val="17"/>
                <w:b w:val="1"/>
                <w:bCs w:val="1"/>
                <w:color w:val="auto"/>
                <w:w w:val="76"/>
              </w:rPr>
              <w:t>o</w:t>
            </w:r>
          </w:p>
        </w:tc>
        <w:tc>
          <w:tcPr>
            <w:tcW w:w="8820" w:type="dxa"/>
            <w:vAlign w:val="bottom"/>
          </w:tcPr>
          <w:p>
            <w:pPr>
              <w:jc w:val="center"/>
              <w:ind w:right="251"/>
              <w:spacing w:after="0"/>
              <w:rPr>
                <w:sz w:val="20"/>
                <w:szCs w:val="20"/>
                <w:color w:val="auto"/>
              </w:rPr>
            </w:pPr>
            <w:r>
              <w:rPr>
                <w:rFonts w:ascii="Arial" w:cs="Arial" w:eastAsia="Arial" w:hAnsi="Arial"/>
                <w:sz w:val="17"/>
                <w:szCs w:val="17"/>
                <w:b w:val="1"/>
                <w:bCs w:val="1"/>
                <w:color w:val="auto"/>
                <w:w w:val="99"/>
              </w:rPr>
              <w:t>TRANSITION REPORT PURSUANT TO SECTION 13 OR 15(d)</w:t>
            </w: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8820" w:type="dxa"/>
            <w:vAlign w:val="bottom"/>
          </w:tcPr>
          <w:p>
            <w:pPr>
              <w:jc w:val="center"/>
              <w:ind w:right="251"/>
              <w:spacing w:after="0"/>
              <w:rPr>
                <w:sz w:val="20"/>
                <w:szCs w:val="20"/>
                <w:color w:val="auto"/>
              </w:rPr>
            </w:pPr>
            <w:r>
              <w:rPr>
                <w:rFonts w:ascii="Arial" w:cs="Arial" w:eastAsia="Arial" w:hAnsi="Arial"/>
                <w:sz w:val="17"/>
                <w:szCs w:val="17"/>
                <w:b w:val="1"/>
                <w:bCs w:val="1"/>
                <w:color w:val="auto"/>
                <w:w w:val="99"/>
              </w:rPr>
              <w:t>OF THE SECURITIES EXCHANGE ACT OF 1934</w:t>
            </w:r>
          </w:p>
        </w:tc>
        <w:tc>
          <w:tcPr>
            <w:tcW w:w="0" w:type="dxa"/>
            <w:vAlign w:val="bottom"/>
          </w:tcPr>
          <w:p>
            <w:pPr>
              <w:spacing w:after="0"/>
              <w:rPr>
                <w:sz w:val="1"/>
                <w:szCs w:val="1"/>
                <w:color w:val="auto"/>
              </w:rPr>
            </w:pPr>
          </w:p>
        </w:tc>
      </w:tr>
      <w:tr>
        <w:trPr>
          <w:trHeight w:val="186"/>
        </w:trPr>
        <w:tc>
          <w:tcPr>
            <w:tcW w:w="1160" w:type="dxa"/>
            <w:vAlign w:val="bottom"/>
          </w:tcPr>
          <w:p>
            <w:pPr>
              <w:spacing w:after="0"/>
              <w:rPr>
                <w:sz w:val="16"/>
                <w:szCs w:val="16"/>
                <w:color w:val="auto"/>
              </w:rPr>
            </w:pPr>
          </w:p>
        </w:tc>
        <w:tc>
          <w:tcPr>
            <w:tcW w:w="8820" w:type="dxa"/>
            <w:vAlign w:val="bottom"/>
          </w:tcPr>
          <w:p>
            <w:pPr>
              <w:jc w:val="center"/>
              <w:ind w:right="251"/>
              <w:spacing w:after="0"/>
              <w:rPr>
                <w:sz w:val="20"/>
                <w:szCs w:val="20"/>
                <w:color w:val="auto"/>
              </w:rPr>
            </w:pPr>
            <w:r>
              <w:rPr>
                <w:rFonts w:ascii="Arial" w:cs="Arial" w:eastAsia="Arial" w:hAnsi="Arial"/>
                <w:sz w:val="14"/>
                <w:szCs w:val="14"/>
                <w:b w:val="1"/>
                <w:bCs w:val="1"/>
                <w:color w:val="auto"/>
                <w:w w:val="92"/>
              </w:rPr>
              <w:t>Commission file number 1-9861</w:t>
            </w: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699"/>
        <w:spacing w:after="0"/>
        <w:rPr>
          <w:sz w:val="20"/>
          <w:szCs w:val="20"/>
          <w:color w:val="auto"/>
        </w:rPr>
      </w:pPr>
      <w:r>
        <w:rPr>
          <w:rFonts w:ascii="Arial" w:cs="Arial" w:eastAsia="Arial" w:hAnsi="Arial"/>
          <w:sz w:val="37"/>
          <w:szCs w:val="37"/>
          <w:b w:val="1"/>
          <w:bCs w:val="1"/>
          <w:color w:val="auto"/>
        </w:rPr>
        <w:t>M</w:t>
      </w:r>
      <w:r>
        <w:rPr>
          <w:rFonts w:ascii="Arial" w:cs="Arial" w:eastAsia="Arial" w:hAnsi="Arial"/>
          <w:sz w:val="34"/>
          <w:szCs w:val="34"/>
          <w:b w:val="1"/>
          <w:bCs w:val="1"/>
          <w:color w:val="auto"/>
        </w:rPr>
        <w:t>&amp;</w:t>
      </w:r>
      <w:r>
        <w:rPr>
          <w:rFonts w:ascii="Arial" w:cs="Arial" w:eastAsia="Arial" w:hAnsi="Arial"/>
          <w:sz w:val="37"/>
          <w:szCs w:val="37"/>
          <w:b w:val="1"/>
          <w:bCs w:val="1"/>
          <w:color w:val="auto"/>
        </w:rPr>
        <w:t>T BANK CORPORATION</w:t>
      </w:r>
    </w:p>
    <w:p>
      <w:pPr>
        <w:spacing w:after="0" w:line="35" w:lineRule="exact"/>
        <w:rPr>
          <w:sz w:val="20"/>
          <w:szCs w:val="20"/>
          <w:color w:val="auto"/>
        </w:rPr>
      </w:pPr>
    </w:p>
    <w:p>
      <w:pPr>
        <w:ind w:left="4440"/>
        <w:spacing w:after="0"/>
        <w:rPr>
          <w:sz w:val="20"/>
          <w:szCs w:val="20"/>
          <w:color w:val="auto"/>
        </w:rPr>
      </w:pPr>
      <w:r>
        <w:rPr>
          <w:rFonts w:ascii="Arial" w:cs="Arial" w:eastAsia="Arial" w:hAnsi="Arial"/>
          <w:sz w:val="12"/>
          <w:szCs w:val="12"/>
          <w:i w:val="1"/>
          <w:iCs w:val="1"/>
          <w:color w:val="auto"/>
        </w:rPr>
        <w:t>(Exact name of registrant as specified in its charter)</w:t>
      </w:r>
    </w:p>
    <w:p>
      <w:pPr>
        <w:spacing w:after="0" w:line="49" w:lineRule="exact"/>
        <w:rPr>
          <w:sz w:val="20"/>
          <w:szCs w:val="20"/>
          <w:color w:val="auto"/>
        </w:rPr>
      </w:pPr>
    </w:p>
    <w:tbl>
      <w:tblPr>
        <w:tblLayout w:type="fixed"/>
        <w:tblInd w:w="2080" w:type="dxa"/>
        <w:tblCellMar>
          <w:top w:w="0" w:type="dxa"/>
          <w:left w:w="0" w:type="dxa"/>
          <w:bottom w:w="0" w:type="dxa"/>
          <w:right w:w="0" w:type="dxa"/>
        </w:tblCellMar>
      </w:tblPr>
      <w:tr>
        <w:trPr>
          <w:trHeight w:val="177"/>
        </w:trPr>
        <w:tc>
          <w:tcPr>
            <w:tcW w:w="5240" w:type="dxa"/>
            <w:vAlign w:val="bottom"/>
          </w:tcPr>
          <w:p>
            <w:pPr>
              <w:jc w:val="center"/>
              <w:ind w:right="2952"/>
              <w:spacing w:after="0"/>
              <w:rPr>
                <w:sz w:val="20"/>
                <w:szCs w:val="20"/>
                <w:color w:val="auto"/>
              </w:rPr>
            </w:pPr>
            <w:r>
              <w:rPr>
                <w:rFonts w:ascii="Arial" w:cs="Arial" w:eastAsia="Arial" w:hAnsi="Arial"/>
                <w:sz w:val="14"/>
                <w:szCs w:val="14"/>
                <w:b w:val="1"/>
                <w:bCs w:val="1"/>
                <w:color w:val="auto"/>
                <w:w w:val="97"/>
              </w:rPr>
              <w:t>New York</w:t>
            </w:r>
          </w:p>
        </w:tc>
        <w:tc>
          <w:tcPr>
            <w:tcW w:w="3180" w:type="dxa"/>
            <w:vAlign w:val="bottom"/>
          </w:tcPr>
          <w:p>
            <w:pPr>
              <w:jc w:val="right"/>
              <w:ind w:right="1854"/>
              <w:spacing w:after="0"/>
              <w:rPr>
                <w:sz w:val="20"/>
                <w:szCs w:val="20"/>
                <w:color w:val="auto"/>
              </w:rPr>
            </w:pPr>
            <w:r>
              <w:rPr>
                <w:rFonts w:ascii="Arial" w:cs="Arial" w:eastAsia="Arial" w:hAnsi="Arial"/>
                <w:sz w:val="14"/>
                <w:szCs w:val="14"/>
                <w:b w:val="1"/>
                <w:bCs w:val="1"/>
                <w:color w:val="auto"/>
              </w:rPr>
              <w:t>16-0968385</w:t>
            </w:r>
          </w:p>
        </w:tc>
      </w:tr>
      <w:tr>
        <w:trPr>
          <w:trHeight w:val="149"/>
        </w:trPr>
        <w:tc>
          <w:tcPr>
            <w:tcW w:w="5240" w:type="dxa"/>
            <w:vAlign w:val="bottom"/>
          </w:tcPr>
          <w:p>
            <w:pPr>
              <w:jc w:val="center"/>
              <w:ind w:right="2972"/>
              <w:spacing w:after="0"/>
              <w:rPr>
                <w:sz w:val="20"/>
                <w:szCs w:val="20"/>
                <w:color w:val="auto"/>
              </w:rPr>
            </w:pPr>
            <w:r>
              <w:rPr>
                <w:rFonts w:ascii="Arial" w:cs="Arial" w:eastAsia="Arial" w:hAnsi="Arial"/>
                <w:sz w:val="12"/>
                <w:szCs w:val="12"/>
                <w:i w:val="1"/>
                <w:iCs w:val="1"/>
                <w:color w:val="auto"/>
                <w:w w:val="91"/>
              </w:rPr>
              <w:t>(State of incorporation)</w:t>
            </w:r>
          </w:p>
        </w:tc>
        <w:tc>
          <w:tcPr>
            <w:tcW w:w="3180" w:type="dxa"/>
            <w:vAlign w:val="bottom"/>
          </w:tcPr>
          <w:p>
            <w:pPr>
              <w:jc w:val="center"/>
              <w:ind w:right="1314"/>
              <w:spacing w:after="0"/>
              <w:rPr>
                <w:sz w:val="20"/>
                <w:szCs w:val="20"/>
                <w:color w:val="auto"/>
              </w:rPr>
            </w:pPr>
            <w:r>
              <w:rPr>
                <w:rFonts w:ascii="Arial" w:cs="Arial" w:eastAsia="Arial" w:hAnsi="Arial"/>
                <w:sz w:val="12"/>
                <w:szCs w:val="12"/>
                <w:color w:val="auto"/>
                <w:w w:val="93"/>
              </w:rPr>
              <w:t>(I.R.S. Employer Identification No.)</w:t>
            </w:r>
          </w:p>
        </w:tc>
      </w:tr>
      <w:tr>
        <w:trPr>
          <w:trHeight w:val="283"/>
        </w:trPr>
        <w:tc>
          <w:tcPr>
            <w:tcW w:w="5240" w:type="dxa"/>
            <w:vAlign w:val="bottom"/>
          </w:tcPr>
          <w:p>
            <w:pPr>
              <w:jc w:val="center"/>
              <w:ind w:right="2952"/>
              <w:spacing w:after="0"/>
              <w:rPr>
                <w:sz w:val="20"/>
                <w:szCs w:val="20"/>
                <w:color w:val="auto"/>
              </w:rPr>
            </w:pPr>
            <w:r>
              <w:rPr>
                <w:rFonts w:ascii="Arial" w:cs="Arial" w:eastAsia="Arial" w:hAnsi="Arial"/>
                <w:sz w:val="14"/>
                <w:szCs w:val="14"/>
                <w:b w:val="1"/>
                <w:bCs w:val="1"/>
                <w:color w:val="auto"/>
                <w:w w:val="97"/>
              </w:rPr>
              <w:t>One M&amp;T Plaza, Buffalo, New York</w:t>
            </w:r>
          </w:p>
        </w:tc>
        <w:tc>
          <w:tcPr>
            <w:tcW w:w="3180" w:type="dxa"/>
            <w:vAlign w:val="bottom"/>
          </w:tcPr>
          <w:p>
            <w:pPr>
              <w:jc w:val="right"/>
              <w:ind w:right="2034"/>
              <w:spacing w:after="0"/>
              <w:rPr>
                <w:sz w:val="20"/>
                <w:szCs w:val="20"/>
                <w:color w:val="auto"/>
              </w:rPr>
            </w:pPr>
            <w:r>
              <w:rPr>
                <w:rFonts w:ascii="Arial" w:cs="Arial" w:eastAsia="Arial" w:hAnsi="Arial"/>
                <w:sz w:val="14"/>
                <w:szCs w:val="14"/>
                <w:b w:val="1"/>
                <w:bCs w:val="1"/>
                <w:color w:val="auto"/>
              </w:rPr>
              <w:t>14203</w:t>
            </w:r>
          </w:p>
        </w:tc>
      </w:tr>
      <w:tr>
        <w:trPr>
          <w:trHeight w:val="149"/>
        </w:trPr>
        <w:tc>
          <w:tcPr>
            <w:tcW w:w="5240" w:type="dxa"/>
            <w:vAlign w:val="bottom"/>
          </w:tcPr>
          <w:p>
            <w:pPr>
              <w:jc w:val="center"/>
              <w:ind w:right="2972"/>
              <w:spacing w:after="0"/>
              <w:rPr>
                <w:sz w:val="20"/>
                <w:szCs w:val="20"/>
                <w:color w:val="auto"/>
              </w:rPr>
            </w:pPr>
            <w:r>
              <w:rPr>
                <w:rFonts w:ascii="Arial" w:cs="Arial" w:eastAsia="Arial" w:hAnsi="Arial"/>
                <w:sz w:val="12"/>
                <w:szCs w:val="12"/>
                <w:i w:val="1"/>
                <w:iCs w:val="1"/>
                <w:color w:val="auto"/>
                <w:w w:val="89"/>
              </w:rPr>
              <w:t>(Address of principal executive offices)</w:t>
            </w:r>
          </w:p>
        </w:tc>
        <w:tc>
          <w:tcPr>
            <w:tcW w:w="3180" w:type="dxa"/>
            <w:vAlign w:val="bottom"/>
          </w:tcPr>
          <w:p>
            <w:pPr>
              <w:jc w:val="center"/>
              <w:ind w:right="1314"/>
              <w:spacing w:after="0"/>
              <w:rPr>
                <w:sz w:val="20"/>
                <w:szCs w:val="20"/>
                <w:color w:val="auto"/>
              </w:rPr>
            </w:pPr>
            <w:r>
              <w:rPr>
                <w:rFonts w:ascii="Arial" w:cs="Arial" w:eastAsia="Arial" w:hAnsi="Arial"/>
                <w:sz w:val="12"/>
                <w:szCs w:val="12"/>
                <w:i w:val="1"/>
                <w:iCs w:val="1"/>
                <w:color w:val="auto"/>
                <w:w w:val="91"/>
              </w:rPr>
              <w:t>(Zip Code)</w:t>
            </w:r>
          </w:p>
        </w:tc>
      </w:tr>
      <w:tr>
        <w:trPr>
          <w:trHeight w:val="205"/>
        </w:trPr>
        <w:tc>
          <w:tcPr>
            <w:tcW w:w="5240" w:type="dxa"/>
            <w:vAlign w:val="bottom"/>
          </w:tcPr>
          <w:p>
            <w:pPr>
              <w:jc w:val="center"/>
              <w:ind w:left="1892"/>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180" w:type="dxa"/>
            <w:vAlign w:val="bottom"/>
          </w:tcPr>
          <w:p>
            <w:pPr>
              <w:spacing w:after="0"/>
              <w:rPr>
                <w:sz w:val="17"/>
                <w:szCs w:val="17"/>
                <w:color w:val="auto"/>
              </w:rPr>
            </w:pPr>
          </w:p>
        </w:tc>
      </w:tr>
      <w:tr>
        <w:trPr>
          <w:trHeight w:val="186"/>
        </w:trPr>
        <w:tc>
          <w:tcPr>
            <w:tcW w:w="5240" w:type="dxa"/>
            <w:vAlign w:val="bottom"/>
          </w:tcPr>
          <w:p>
            <w:pPr>
              <w:jc w:val="center"/>
              <w:ind w:left="1872"/>
              <w:spacing w:after="0"/>
              <w:rPr>
                <w:sz w:val="20"/>
                <w:szCs w:val="20"/>
                <w:color w:val="auto"/>
              </w:rPr>
            </w:pPr>
            <w:r>
              <w:rPr>
                <w:rFonts w:ascii="Arial" w:cs="Arial" w:eastAsia="Arial" w:hAnsi="Arial"/>
                <w:sz w:val="14"/>
                <w:szCs w:val="14"/>
                <w:b w:val="1"/>
                <w:bCs w:val="1"/>
                <w:color w:val="auto"/>
                <w:w w:val="94"/>
              </w:rPr>
              <w:t>716-842-5445</w:t>
            </w:r>
          </w:p>
        </w:tc>
        <w:tc>
          <w:tcPr>
            <w:tcW w:w="3180" w:type="dxa"/>
            <w:vAlign w:val="bottom"/>
          </w:tcPr>
          <w:p>
            <w:pPr>
              <w:spacing w:after="0"/>
              <w:rPr>
                <w:sz w:val="16"/>
                <w:szCs w:val="16"/>
                <w:color w:val="auto"/>
              </w:rPr>
            </w:pPr>
          </w:p>
        </w:tc>
      </w:tr>
      <w:tr>
        <w:trPr>
          <w:trHeight w:val="216"/>
        </w:trPr>
        <w:tc>
          <w:tcPr>
            <w:tcW w:w="8420" w:type="dxa"/>
            <w:vAlign w:val="bottom"/>
            <w:gridSpan w:val="2"/>
          </w:tcPr>
          <w:p>
            <w:pPr>
              <w:jc w:val="center"/>
              <w:ind w:right="1154"/>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238"/>
        </w:trPr>
        <w:tc>
          <w:tcPr>
            <w:tcW w:w="5240" w:type="dxa"/>
            <w:vAlign w:val="bottom"/>
          </w:tcPr>
          <w:p>
            <w:pPr>
              <w:ind w:left="1080"/>
              <w:spacing w:after="0"/>
              <w:rPr>
                <w:sz w:val="20"/>
                <w:szCs w:val="20"/>
                <w:color w:val="auto"/>
              </w:rPr>
            </w:pPr>
            <w:r>
              <w:rPr>
                <w:rFonts w:ascii="Arial" w:cs="Arial" w:eastAsia="Arial" w:hAnsi="Arial"/>
                <w:sz w:val="12"/>
                <w:szCs w:val="12"/>
                <w:b w:val="1"/>
                <w:bCs w:val="1"/>
                <w:color w:val="auto"/>
              </w:rPr>
              <w:t>Title of Each Class</w:t>
            </w:r>
          </w:p>
        </w:tc>
        <w:tc>
          <w:tcPr>
            <w:tcW w:w="3180" w:type="dxa"/>
            <w:vAlign w:val="bottom"/>
          </w:tcPr>
          <w:p>
            <w:pPr>
              <w:ind w:left="880"/>
              <w:spacing w:after="0"/>
              <w:rPr>
                <w:sz w:val="20"/>
                <w:szCs w:val="20"/>
                <w:color w:val="auto"/>
              </w:rPr>
            </w:pPr>
            <w:r>
              <w:rPr>
                <w:rFonts w:ascii="Arial" w:cs="Arial" w:eastAsia="Arial" w:hAnsi="Arial"/>
                <w:sz w:val="12"/>
                <w:szCs w:val="12"/>
                <w:b w:val="1"/>
                <w:bCs w:val="1"/>
                <w:color w:val="auto"/>
                <w:w w:val="86"/>
              </w:rPr>
              <w:t>Name of Each Exchange on Which Registered</w:t>
            </w:r>
          </w:p>
        </w:tc>
      </w:tr>
      <w:tr>
        <w:trPr>
          <w:trHeight w:val="234"/>
        </w:trPr>
        <w:tc>
          <w:tcPr>
            <w:tcW w:w="5240" w:type="dxa"/>
            <w:vAlign w:val="bottom"/>
          </w:tcPr>
          <w:p>
            <w:pPr>
              <w:jc w:val="center"/>
              <w:ind w:right="2972"/>
              <w:spacing w:after="0"/>
              <w:rPr>
                <w:sz w:val="20"/>
                <w:szCs w:val="20"/>
                <w:color w:val="auto"/>
              </w:rPr>
            </w:pPr>
            <w:r>
              <w:rPr>
                <w:rFonts w:ascii="Arial" w:cs="Arial" w:eastAsia="Arial" w:hAnsi="Arial"/>
                <w:sz w:val="14"/>
                <w:szCs w:val="14"/>
                <w:color w:val="auto"/>
                <w:w w:val="93"/>
              </w:rPr>
              <w:t>Common Stock, $.50 par value</w:t>
            </w:r>
          </w:p>
        </w:tc>
        <w:tc>
          <w:tcPr>
            <w:tcW w:w="3180" w:type="dxa"/>
            <w:vAlign w:val="bottom"/>
          </w:tcPr>
          <w:p>
            <w:pPr>
              <w:jc w:val="center"/>
              <w:ind w:right="1314"/>
              <w:spacing w:after="0"/>
              <w:rPr>
                <w:sz w:val="20"/>
                <w:szCs w:val="20"/>
                <w:color w:val="auto"/>
              </w:rPr>
            </w:pPr>
            <w:r>
              <w:rPr>
                <w:rFonts w:ascii="Arial" w:cs="Arial" w:eastAsia="Arial" w:hAnsi="Arial"/>
                <w:sz w:val="14"/>
                <w:szCs w:val="14"/>
                <w:color w:val="auto"/>
                <w:w w:val="94"/>
              </w:rPr>
              <w:t>New York Stock Exchange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2009140</wp:posOffset>
            </wp:positionH>
            <wp:positionV relativeFrom="paragraph">
              <wp:posOffset>-138430</wp:posOffset>
            </wp:positionV>
            <wp:extent cx="3111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115" cy="6350"/>
                    </a:xfrm>
                    <a:prstGeom prst="rect">
                      <a:avLst/>
                    </a:prstGeom>
                    <a:noFill/>
                  </pic:spPr>
                </pic:pic>
              </a:graphicData>
            </a:graphic>
          </wp:anchor>
        </w:drawing>
        <w:drawing>
          <wp:anchor simplePos="0" relativeHeight="251657728" behindDoc="1" locked="0" layoutInCell="0" allowOverlap="1">
            <wp:simplePos x="0" y="0"/>
            <wp:positionH relativeFrom="column">
              <wp:posOffset>5204460</wp:posOffset>
            </wp:positionH>
            <wp:positionV relativeFrom="paragraph">
              <wp:posOffset>-138430</wp:posOffset>
            </wp:positionV>
            <wp:extent cx="3111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115" cy="6350"/>
                    </a:xfrm>
                    <a:prstGeom prst="rect">
                      <a:avLst/>
                    </a:prstGeom>
                    <a:noFill/>
                  </pic:spPr>
                </pic:pic>
              </a:graphicData>
            </a:graphic>
          </wp:anchor>
        </w:drawing>
      </w:r>
    </w:p>
    <w:p>
      <w:pPr>
        <w:spacing w:after="0" w:line="10" w:lineRule="exact"/>
        <w:rPr>
          <w:sz w:val="20"/>
          <w:szCs w:val="20"/>
          <w:color w:val="auto"/>
        </w:rPr>
      </w:pPr>
    </w:p>
    <w:p>
      <w:pPr>
        <w:jc w:val="center"/>
        <w:ind w:right="-699"/>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95" w:lineRule="exact"/>
        <w:rPr>
          <w:sz w:val="20"/>
          <w:szCs w:val="20"/>
          <w:color w:val="auto"/>
        </w:rPr>
      </w:pPr>
    </w:p>
    <w:p>
      <w:pPr>
        <w:jc w:val="center"/>
        <w:ind w:right="-699"/>
        <w:spacing w:after="0"/>
        <w:rPr>
          <w:sz w:val="20"/>
          <w:szCs w:val="20"/>
          <w:color w:val="auto"/>
        </w:rPr>
      </w:pPr>
      <w:r>
        <w:rPr>
          <w:rFonts w:ascii="Arial" w:cs="Arial" w:eastAsia="Arial" w:hAnsi="Arial"/>
          <w:sz w:val="14"/>
          <w:szCs w:val="14"/>
          <w:b w:val="1"/>
          <w:bCs w:val="1"/>
          <w:color w:val="auto"/>
        </w:rPr>
        <w:t>8.234% Capital Securities of M&amp;T Capital Trust I</w:t>
      </w:r>
    </w:p>
    <w:p>
      <w:pPr>
        <w:spacing w:after="0" w:line="22" w:lineRule="exact"/>
        <w:rPr>
          <w:sz w:val="20"/>
          <w:szCs w:val="20"/>
          <w:color w:val="auto"/>
        </w:rPr>
      </w:pPr>
    </w:p>
    <w:p>
      <w:pPr>
        <w:jc w:val="center"/>
        <w:ind w:right="-699"/>
        <w:spacing w:after="0"/>
        <w:rPr>
          <w:sz w:val="20"/>
          <w:szCs w:val="20"/>
          <w:color w:val="auto"/>
        </w:rPr>
      </w:pPr>
      <w:r>
        <w:rPr>
          <w:rFonts w:ascii="Arial" w:cs="Arial" w:eastAsia="Arial" w:hAnsi="Arial"/>
          <w:sz w:val="14"/>
          <w:szCs w:val="14"/>
          <w:b w:val="1"/>
          <w:bCs w:val="1"/>
          <w:color w:val="auto"/>
        </w:rPr>
        <w:t>(and the Guarantee of M&amp;T Bank Corporation with respect thereto)</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2"/>
          <w:szCs w:val="12"/>
          <w:i w:val="1"/>
          <w:iCs w:val="1"/>
          <w:color w:val="auto"/>
        </w:rPr>
        <w:t>(Title of class)</w:t>
      </w:r>
    </w:p>
    <w:p>
      <w:pPr>
        <w:spacing w:after="0" w:line="1" w:lineRule="exact"/>
        <w:rPr>
          <w:sz w:val="20"/>
          <w:szCs w:val="20"/>
          <w:color w:val="auto"/>
        </w:rPr>
      </w:pPr>
    </w:p>
    <w:p>
      <w:pPr>
        <w:jc w:val="center"/>
        <w:ind w:right="-699"/>
        <w:spacing w:after="0"/>
        <w:rPr>
          <w:sz w:val="20"/>
          <w:szCs w:val="20"/>
          <w:color w:val="auto"/>
        </w:rPr>
      </w:pPr>
      <w:r>
        <w:rPr>
          <w:rFonts w:ascii="Arial" w:cs="Arial" w:eastAsia="Arial" w:hAnsi="Arial"/>
          <w:sz w:val="14"/>
          <w:szCs w:val="14"/>
          <w:b w:val="1"/>
          <w:bCs w:val="1"/>
          <w:color w:val="auto"/>
        </w:rPr>
        <w:t>8.234% Junior Subordinated Debentures of</w:t>
      </w:r>
    </w:p>
    <w:p>
      <w:pPr>
        <w:spacing w:after="0" w:line="11" w:lineRule="exact"/>
        <w:rPr>
          <w:sz w:val="20"/>
          <w:szCs w:val="20"/>
          <w:color w:val="auto"/>
        </w:rPr>
      </w:pPr>
    </w:p>
    <w:p>
      <w:pPr>
        <w:jc w:val="center"/>
        <w:ind w:right="-699"/>
        <w:spacing w:after="0"/>
        <w:rPr>
          <w:sz w:val="20"/>
          <w:szCs w:val="20"/>
          <w:color w:val="auto"/>
        </w:rPr>
      </w:pPr>
      <w:r>
        <w:rPr>
          <w:rFonts w:ascii="Arial" w:cs="Arial" w:eastAsia="Arial" w:hAnsi="Arial"/>
          <w:sz w:val="14"/>
          <w:szCs w:val="14"/>
          <w:b w:val="1"/>
          <w:bCs w:val="1"/>
          <w:color w:val="auto"/>
        </w:rPr>
        <w:t>M&amp;T Bank Corporation</w:t>
      </w:r>
    </w:p>
    <w:p>
      <w:pPr>
        <w:spacing w:after="0" w:line="9" w:lineRule="exact"/>
        <w:rPr>
          <w:sz w:val="20"/>
          <w:szCs w:val="20"/>
          <w:color w:val="auto"/>
        </w:rPr>
      </w:pPr>
    </w:p>
    <w:p>
      <w:pPr>
        <w:ind w:left="5340"/>
        <w:spacing w:after="0"/>
        <w:rPr>
          <w:sz w:val="20"/>
          <w:szCs w:val="20"/>
          <w:color w:val="auto"/>
        </w:rPr>
      </w:pPr>
      <w:r>
        <w:rPr>
          <w:rFonts w:ascii="Arial" w:cs="Arial" w:eastAsia="Arial" w:hAnsi="Arial"/>
          <w:sz w:val="12"/>
          <w:szCs w:val="12"/>
          <w:i w:val="1"/>
          <w:iCs w:val="1"/>
          <w:color w:val="auto"/>
        </w:rPr>
        <w:t>(Title of class)</w:t>
      </w:r>
    </w:p>
    <w:p>
      <w:pPr>
        <w:sectPr>
          <w:pgSz w:w="11900" w:h="16838" w:orient="portrait"/>
          <w:cols w:equalWidth="0" w:num="1">
            <w:col w:w="10660"/>
          </w:cols>
          <w:pgMar w:left="220" w:top="127" w:right="1019" w:bottom="1440" w:gutter="0" w:footer="0" w:header="0"/>
        </w:sectPr>
      </w:pPr>
    </w:p>
    <w:p>
      <w:pPr>
        <w:spacing w:after="0" w:line="26" w:lineRule="exact"/>
        <w:rPr>
          <w:sz w:val="20"/>
          <w:szCs w:val="20"/>
          <w:color w:val="auto"/>
        </w:rPr>
      </w:pPr>
    </w:p>
    <w:p>
      <w:pPr>
        <w:ind w:left="1080"/>
        <w:spacing w:after="0" w:line="15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Arial" w:cs="Arial" w:eastAsia="Arial" w:hAnsi="Arial"/>
          <w:sz w:val="14"/>
          <w:szCs w:val="14"/>
          <w:color w:val="auto"/>
        </w:rPr>
        <w:t>No o</w:t>
      </w:r>
    </w:p>
    <w:p>
      <w:pPr>
        <w:spacing w:after="0" w:line="38" w:lineRule="exact"/>
        <w:rPr>
          <w:sz w:val="20"/>
          <w:szCs w:val="20"/>
          <w:color w:val="auto"/>
        </w:rPr>
      </w:pPr>
    </w:p>
    <w:p>
      <w:pPr>
        <w:sectPr>
          <w:pgSz w:w="11900" w:h="16838" w:orient="portrait"/>
          <w:cols w:equalWidth="0" w:num="2">
            <w:col w:w="8300" w:space="160"/>
            <w:col w:w="2200"/>
          </w:cols>
          <w:pgMar w:left="220" w:top="127" w:right="1019" w:bottom="1440" w:gutter="0" w:footer="0" w:header="0"/>
          <w:type w:val="continuous"/>
        </w:sectPr>
      </w:pPr>
    </w:p>
    <w:p>
      <w:pPr>
        <w:spacing w:after="0" w:line="2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 Yes o</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94" w:lineRule="exact"/>
        <w:rPr>
          <w:sz w:val="20"/>
          <w:szCs w:val="20"/>
          <w:color w:val="auto"/>
        </w:rPr>
      </w:pPr>
    </w:p>
    <w:p>
      <w:pPr>
        <w:sectPr>
          <w:pgSz w:w="11900" w:h="16838" w:orient="portrait"/>
          <w:cols w:equalWidth="0" w:num="2">
            <w:col w:w="8360" w:space="180"/>
            <w:col w:w="2120"/>
          </w:cols>
          <w:pgMar w:left="220" w:top="127" w:right="1019" w:bottom="1440" w:gutter="0" w:footer="0" w:header="0"/>
          <w:type w:val="continuous"/>
        </w:sectPr>
      </w:pPr>
    </w:p>
    <w:p>
      <w:pPr>
        <w:ind w:left="680" w:right="200" w:firstLine="399"/>
        <w:spacing w:after="0" w:line="18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9" w:lineRule="exact"/>
        <w:rPr>
          <w:sz w:val="20"/>
          <w:szCs w:val="20"/>
          <w:color w:val="auto"/>
        </w:rPr>
      </w:pPr>
    </w:p>
    <w:p>
      <w:pPr>
        <w:ind w:left="680" w:right="340" w:firstLine="399"/>
        <w:spacing w:after="0" w:line="307" w:lineRule="auto"/>
        <w:rPr>
          <w:sz w:val="20"/>
          <w:szCs w:val="20"/>
          <w:color w:val="auto"/>
        </w:rPr>
      </w:pPr>
      <w:r>
        <w:rPr>
          <w:rFonts w:ascii="Arial" w:cs="Arial" w:eastAsia="Arial" w:hAnsi="Arial"/>
          <w:sz w:val="13"/>
          <w:szCs w:val="13"/>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 w:lineRule="exact"/>
        <w:rPr>
          <w:sz w:val="20"/>
          <w:szCs w:val="20"/>
          <w:color w:val="auto"/>
        </w:rPr>
      </w:pPr>
    </w:p>
    <w:p>
      <w:pPr>
        <w:ind w:left="680" w:right="140" w:firstLine="399"/>
        <w:spacing w:after="0" w:line="270" w:lineRule="auto"/>
        <w:rPr>
          <w:sz w:val="20"/>
          <w:szCs w:val="20"/>
          <w:color w:val="auto"/>
        </w:rPr>
      </w:pPr>
      <w:r>
        <w:rPr>
          <w:rFonts w:ascii="Arial" w:cs="Arial" w:eastAsia="Arial" w:hAnsi="Arial"/>
          <w:sz w:val="14"/>
          <w:szCs w:val="14"/>
          <w:color w:val="auto"/>
        </w:rPr>
        <w:t>Indicate by check mark whether the registrant is a large accelerated filer, an accelerated filer, or a non-accelerated filer. See definition of “accelerated filer and large accelerated filer” in Rule 12b-2 of the Exchange Act. (check one):</w:t>
      </w:r>
    </w:p>
    <w:p>
      <w:pPr>
        <w:ind w:left="3760"/>
        <w:spacing w:after="0" w:line="150" w:lineRule="exact"/>
        <w:tabs>
          <w:tab w:leader="none" w:pos="5220" w:val="left"/>
          <w:tab w:leader="none" w:pos="636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rFonts w:ascii="Arial" w:cs="Arial" w:eastAsia="Arial" w:hAnsi="Arial"/>
          <w:sz w:val="13"/>
          <w:szCs w:val="13"/>
          <w:color w:val="auto"/>
        </w:rPr>
        <w:tab/>
        <w:t>Accelerated filer o</w:t>
      </w:r>
      <w:r>
        <w:rPr>
          <w:sz w:val="20"/>
          <w:szCs w:val="20"/>
          <w:color w:val="auto"/>
        </w:rPr>
        <w:tab/>
      </w:r>
      <w:r>
        <w:rPr>
          <w:rFonts w:ascii="Arial" w:cs="Arial" w:eastAsia="Arial" w:hAnsi="Arial"/>
          <w:sz w:val="12"/>
          <w:szCs w:val="12"/>
          <w:color w:val="auto"/>
        </w:rPr>
        <w:t>Non-accelerated filer o</w:t>
      </w:r>
    </w:p>
    <w:p>
      <w:pPr>
        <w:spacing w:after="0" w:line="60" w:lineRule="exact"/>
        <w:rPr>
          <w:sz w:val="20"/>
          <w:szCs w:val="20"/>
          <w:color w:val="auto"/>
        </w:rPr>
      </w:pPr>
    </w:p>
    <w:p>
      <w:pPr>
        <w:ind w:left="1080"/>
        <w:spacing w:after="0" w:line="161" w:lineRule="exact"/>
        <w:tabs>
          <w:tab w:leader="none" w:pos="75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 Yes o</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83" w:lineRule="exact"/>
        <w:rPr>
          <w:sz w:val="20"/>
          <w:szCs w:val="20"/>
          <w:color w:val="auto"/>
        </w:rPr>
      </w:pPr>
    </w:p>
    <w:p>
      <w:pPr>
        <w:ind w:left="680" w:right="140" w:firstLine="399"/>
        <w:spacing w:after="0" w:line="280" w:lineRule="auto"/>
        <w:rPr>
          <w:sz w:val="20"/>
          <w:szCs w:val="20"/>
          <w:color w:val="auto"/>
        </w:rPr>
      </w:pPr>
      <w:r>
        <w:rPr>
          <w:rFonts w:ascii="Arial" w:cs="Arial" w:eastAsia="Arial" w:hAnsi="Arial"/>
          <w:sz w:val="14"/>
          <w:szCs w:val="14"/>
          <w:color w:val="auto"/>
        </w:rPr>
        <w:t>Aggregate market value of the Common Stock, $0.50 par value, held by non-affiliates of the registrant, computed by reference to the closing price as of the close of business on June 30, 2006: $8,297,538,556.</w:t>
      </w:r>
    </w:p>
    <w:p>
      <w:pPr>
        <w:spacing w:after="0" w:line="8"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Number of shares of the Common Stock, $0.50 par value, outstanding as of the close of business on January 31, 2007: 109,748,465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74295</wp:posOffset>
            </wp:positionV>
            <wp:extent cx="114236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192"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Documents Incorporated By Reference:</w:t>
      </w:r>
    </w:p>
    <w:p>
      <w:pPr>
        <w:spacing w:after="0" w:line="57"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(1) Portions of the Proxy Statement for the 2007 Annual Meeting of Stockholders of M&amp;T Bank Corporation in Parts II and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67945</wp:posOffset>
            </wp:positionV>
            <wp:extent cx="633539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3539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189865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127" w:right="1019" w:bottom="1440" w:gutter="0" w:footer="0" w:header="0"/>
          <w:type w:val="continuous"/>
        </w:sectPr>
      </w:pPr>
    </w:p>
    <w:bookmarkStart w:id="2" w:name="page3"/>
    <w:bookmarkEnd w:id="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w:t>
      </w:r>
    </w:p>
    <w:p>
      <w:pPr>
        <w:spacing w:after="0" w:line="99"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Form 10-K for the year ended December 31, 2006</w:t>
      </w:r>
    </w:p>
    <w:p>
      <w:pPr>
        <w:spacing w:after="0" w:line="173"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CROSS-REFERENCE SHEET</w:t>
      </w:r>
    </w:p>
    <w:p>
      <w:pPr>
        <w:spacing w:after="0" w:line="179" w:lineRule="exact"/>
        <w:rPr>
          <w:sz w:val="20"/>
          <w:szCs w:val="20"/>
          <w:color w:val="auto"/>
        </w:rPr>
      </w:pPr>
    </w:p>
    <w:p>
      <w:pPr>
        <w:jc w:val="center"/>
        <w:ind w:left="8280"/>
        <w:spacing w:after="0"/>
        <w:rPr>
          <w:sz w:val="20"/>
          <w:szCs w:val="20"/>
          <w:color w:val="auto"/>
        </w:rPr>
      </w:pPr>
      <w:r>
        <w:rPr>
          <w:rFonts w:ascii="Arial" w:cs="Arial" w:eastAsia="Arial" w:hAnsi="Arial"/>
          <w:sz w:val="10"/>
          <w:szCs w:val="10"/>
          <w:b w:val="1"/>
          <w:bCs w:val="1"/>
          <w:color w:val="auto"/>
        </w:rPr>
        <w:t>Form 10-K</w:t>
      </w:r>
    </w:p>
    <w:p>
      <w:pPr>
        <w:spacing w:after="0" w:line="5" w:lineRule="exact"/>
        <w:rPr>
          <w:sz w:val="20"/>
          <w:szCs w:val="20"/>
          <w:color w:val="auto"/>
        </w:rPr>
      </w:pPr>
    </w:p>
    <w:p>
      <w:pPr>
        <w:jc w:val="center"/>
        <w:ind w:left="8280"/>
        <w:spacing w:after="0"/>
        <w:rPr>
          <w:sz w:val="20"/>
          <w:szCs w:val="20"/>
          <w:color w:val="auto"/>
        </w:rPr>
      </w:pPr>
      <w:r>
        <w:rPr>
          <w:rFonts w:ascii="Arial" w:cs="Arial" w:eastAsia="Arial" w:hAnsi="Arial"/>
          <w:sz w:val="10"/>
          <w:szCs w:val="10"/>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5760085</wp:posOffset>
            </wp:positionH>
            <wp:positionV relativeFrom="paragraph">
              <wp:posOffset>-635</wp:posOffset>
            </wp:positionV>
            <wp:extent cx="101092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10920" cy="6350"/>
                    </a:xfrm>
                    <a:prstGeom prst="rect">
                      <a:avLst/>
                    </a:prstGeom>
                    <a:noFill/>
                  </pic:spPr>
                </pic:pic>
              </a:graphicData>
            </a:graphic>
          </wp:anchor>
        </w:drawing>
      </w:r>
    </w:p>
    <w:p>
      <w:pPr>
        <w:spacing w:after="0" w:line="4" w:lineRule="exact"/>
        <w:rPr>
          <w:sz w:val="20"/>
          <w:szCs w:val="20"/>
          <w:color w:val="auto"/>
        </w:rPr>
      </w:pPr>
    </w:p>
    <w:p>
      <w:pPr>
        <w:jc w:val="center"/>
        <w:ind w:right="100"/>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PART I</w:t>
        </w:r>
      </w:hyperlink>
    </w:p>
    <w:tbl>
      <w:tblPr>
        <w:tblLayout w:type="fixed"/>
        <w:tblInd w:w="680" w:type="dxa"/>
        <w:tblCellMar>
          <w:top w:w="0" w:type="dxa"/>
          <w:left w:w="0" w:type="dxa"/>
          <w:bottom w:w="0" w:type="dxa"/>
          <w:right w:w="0" w:type="dxa"/>
        </w:tblCellMar>
      </w:tblPr>
      <w:tr>
        <w:trPr>
          <w:trHeight w:val="147"/>
        </w:trPr>
        <w:tc>
          <w:tcPr>
            <w:tcW w:w="4760" w:type="dxa"/>
            <w:vAlign w:val="bottom"/>
            <w:gridSpan w:val="2"/>
          </w:tcPr>
          <w:p>
            <w:pPr>
              <w:spacing w:after="0" w:line="147" w:lineRule="exact"/>
              <w:rPr>
                <w:rFonts w:ascii="Arial" w:cs="Arial" w:eastAsia="Arial" w:hAnsi="Arial"/>
                <w:sz w:val="14"/>
                <w:szCs w:val="14"/>
                <w:color w:val="0000EE"/>
              </w:rPr>
            </w:pPr>
            <w:hyperlink w:anchor="page5">
              <w:r>
                <w:rPr>
                  <w:rFonts w:ascii="Arial" w:cs="Arial" w:eastAsia="Arial" w:hAnsi="Arial"/>
                  <w:sz w:val="14"/>
                  <w:szCs w:val="14"/>
                  <w:color w:val="0000EE"/>
                </w:rPr>
                <w:t>Item 1. Business</w:t>
              </w:r>
            </w:hyperlink>
          </w:p>
        </w:tc>
        <w:tc>
          <w:tcPr>
            <w:tcW w:w="460" w:type="dxa"/>
            <w:vAlign w:val="bottom"/>
            <w:tcBorders>
              <w:top w:val="single" w:sz="8" w:color="0000EE"/>
            </w:tcBorders>
          </w:tcPr>
          <w:p>
            <w:pPr>
              <w:spacing w:after="0"/>
              <w:rPr>
                <w:sz w:val="12"/>
                <w:szCs w:val="12"/>
                <w:color w:val="auto"/>
              </w:rPr>
            </w:pPr>
          </w:p>
        </w:tc>
        <w:tc>
          <w:tcPr>
            <w:tcW w:w="4760" w:type="dxa"/>
            <w:vAlign w:val="bottom"/>
          </w:tcPr>
          <w:p>
            <w:pPr>
              <w:jc w:val="right"/>
              <w:spacing w:after="0" w:line="147" w:lineRule="exact"/>
              <w:rPr>
                <w:sz w:val="20"/>
                <w:szCs w:val="20"/>
                <w:color w:val="auto"/>
              </w:rPr>
            </w:pPr>
            <w:r>
              <w:rPr>
                <w:rFonts w:ascii="Arial" w:cs="Arial" w:eastAsia="Arial" w:hAnsi="Arial"/>
                <w:sz w:val="14"/>
                <w:szCs w:val="14"/>
                <w:color w:val="auto"/>
              </w:rPr>
              <w:t>4</w:t>
            </w:r>
          </w:p>
        </w:tc>
      </w:tr>
      <w:tr>
        <w:trPr>
          <w:trHeight w:val="20"/>
        </w:trPr>
        <w:tc>
          <w:tcPr>
            <w:tcW w:w="960" w:type="dxa"/>
            <w:vAlign w:val="bottom"/>
            <w:shd w:val="clear" w:color="auto" w:fill="0000EE"/>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bl>
    <w:p>
      <w:pPr>
        <w:spacing w:after="0" w:line="174" w:lineRule="exact"/>
        <w:rPr>
          <w:sz w:val="20"/>
          <w:szCs w:val="20"/>
          <w:color w:val="auto"/>
        </w:rPr>
      </w:pPr>
    </w:p>
    <w:p>
      <w:pPr>
        <w:ind w:left="2280" w:hanging="540"/>
        <w:spacing w:after="0"/>
        <w:tabs>
          <w:tab w:leader="none" w:pos="2280" w:val="left"/>
        </w:tabs>
        <w:numPr>
          <w:ilvl w:val="0"/>
          <w:numId w:val="1"/>
        </w:numPr>
        <w:rPr>
          <w:rFonts w:ascii="Arial" w:cs="Arial" w:eastAsia="Arial" w:hAnsi="Arial"/>
          <w:sz w:val="14"/>
          <w:szCs w:val="14"/>
          <w:color w:val="auto"/>
        </w:rPr>
      </w:pPr>
      <w:r>
        <w:rPr>
          <w:rFonts w:ascii="Arial" w:cs="Arial" w:eastAsia="Arial" w:hAnsi="Arial"/>
          <w:sz w:val="14"/>
          <w:szCs w:val="14"/>
          <w:color w:val="auto"/>
        </w:rPr>
        <w:t>Distribution of assets, liabilities, and stockholders’ equity; interest rates and interest differential</w:t>
      </w:r>
    </w:p>
    <w:p>
      <w:pPr>
        <w:spacing w:after="0" w:line="12" w:lineRule="exact"/>
        <w:rPr>
          <w:sz w:val="20"/>
          <w:szCs w:val="20"/>
          <w:color w:val="auto"/>
        </w:rPr>
      </w:pPr>
    </w:p>
    <w:tbl>
      <w:tblPr>
        <w:tblLayout w:type="fixed"/>
        <w:tblInd w:w="174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7520" w:type="dxa"/>
            <w:vAlign w:val="bottom"/>
          </w:tcPr>
          <w:p>
            <w:pPr>
              <w:ind w:left="200"/>
              <w:spacing w:after="0"/>
              <w:rPr>
                <w:sz w:val="20"/>
                <w:szCs w:val="20"/>
                <w:color w:val="auto"/>
              </w:rPr>
            </w:pPr>
            <w:r>
              <w:rPr>
                <w:rFonts w:ascii="Arial" w:cs="Arial" w:eastAsia="Arial" w:hAnsi="Arial"/>
                <w:sz w:val="14"/>
                <w:szCs w:val="14"/>
                <w:color w:val="auto"/>
              </w:rPr>
              <w:t>A. Average balance sheets</w:t>
            </w:r>
          </w:p>
        </w:tc>
        <w:tc>
          <w:tcPr>
            <w:tcW w:w="10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167"/>
        </w:trPr>
        <w:tc>
          <w:tcPr>
            <w:tcW w:w="340" w:type="dxa"/>
            <w:vAlign w:val="bottom"/>
          </w:tcPr>
          <w:p>
            <w:pPr>
              <w:spacing w:after="0"/>
              <w:rPr>
                <w:sz w:val="14"/>
                <w:szCs w:val="14"/>
                <w:color w:val="auto"/>
              </w:rPr>
            </w:pPr>
          </w:p>
        </w:tc>
        <w:tc>
          <w:tcPr>
            <w:tcW w:w="7520" w:type="dxa"/>
            <w:vAlign w:val="bottom"/>
          </w:tcPr>
          <w:p>
            <w:pPr>
              <w:ind w:left="200"/>
              <w:spacing w:after="0"/>
              <w:rPr>
                <w:sz w:val="20"/>
                <w:szCs w:val="20"/>
                <w:color w:val="auto"/>
              </w:rPr>
            </w:pPr>
            <w:r>
              <w:rPr>
                <w:rFonts w:ascii="Arial" w:cs="Arial" w:eastAsia="Arial" w:hAnsi="Arial"/>
                <w:sz w:val="14"/>
                <w:szCs w:val="14"/>
                <w:color w:val="auto"/>
              </w:rPr>
              <w:t>B. Interest income/expense and resulting yield or rate on average interest-earning assets (including non-accrual</w:t>
            </w:r>
          </w:p>
        </w:tc>
        <w:tc>
          <w:tcPr>
            <w:tcW w:w="1060" w:type="dxa"/>
            <w:vAlign w:val="bottom"/>
          </w:tcPr>
          <w:p>
            <w:pPr>
              <w:spacing w:after="0"/>
              <w:rPr>
                <w:sz w:val="14"/>
                <w:szCs w:val="14"/>
                <w:color w:val="auto"/>
              </w:rPr>
            </w:pPr>
          </w:p>
        </w:tc>
      </w:tr>
      <w:tr>
        <w:trPr>
          <w:trHeight w:val="167"/>
        </w:trPr>
        <w:tc>
          <w:tcPr>
            <w:tcW w:w="340" w:type="dxa"/>
            <w:vAlign w:val="bottom"/>
          </w:tcPr>
          <w:p>
            <w:pPr>
              <w:spacing w:after="0"/>
              <w:rPr>
                <w:sz w:val="14"/>
                <w:szCs w:val="14"/>
                <w:color w:val="auto"/>
              </w:rPr>
            </w:pPr>
          </w:p>
        </w:tc>
        <w:tc>
          <w:tcPr>
            <w:tcW w:w="7520" w:type="dxa"/>
            <w:vAlign w:val="bottom"/>
          </w:tcPr>
          <w:p>
            <w:pPr>
              <w:ind w:left="380"/>
              <w:spacing w:after="0"/>
              <w:rPr>
                <w:sz w:val="20"/>
                <w:szCs w:val="20"/>
                <w:color w:val="auto"/>
              </w:rPr>
            </w:pPr>
            <w:r>
              <w:rPr>
                <w:rFonts w:ascii="Arial" w:cs="Arial" w:eastAsia="Arial" w:hAnsi="Arial"/>
                <w:sz w:val="14"/>
                <w:szCs w:val="14"/>
                <w:color w:val="auto"/>
              </w:rPr>
              <w:t>loans) and interest-bearing liabilities</w:t>
            </w:r>
          </w:p>
        </w:tc>
        <w:tc>
          <w:tcPr>
            <w:tcW w:w="106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167"/>
        </w:trPr>
        <w:tc>
          <w:tcPr>
            <w:tcW w:w="340" w:type="dxa"/>
            <w:vAlign w:val="bottom"/>
          </w:tcPr>
          <w:p>
            <w:pPr>
              <w:spacing w:after="0"/>
              <w:rPr>
                <w:sz w:val="14"/>
                <w:szCs w:val="14"/>
                <w:color w:val="auto"/>
              </w:rPr>
            </w:pPr>
          </w:p>
        </w:tc>
        <w:tc>
          <w:tcPr>
            <w:tcW w:w="7520" w:type="dxa"/>
            <w:vAlign w:val="bottom"/>
          </w:tcPr>
          <w:p>
            <w:pPr>
              <w:ind w:left="200"/>
              <w:spacing w:after="0"/>
              <w:rPr>
                <w:sz w:val="20"/>
                <w:szCs w:val="20"/>
                <w:color w:val="auto"/>
              </w:rPr>
            </w:pPr>
            <w:r>
              <w:rPr>
                <w:rFonts w:ascii="Arial" w:cs="Arial" w:eastAsia="Arial" w:hAnsi="Arial"/>
                <w:sz w:val="14"/>
                <w:szCs w:val="14"/>
                <w:color w:val="auto"/>
              </w:rPr>
              <w:t>C. Rate/volume variances</w:t>
            </w:r>
          </w:p>
        </w:tc>
        <w:tc>
          <w:tcPr>
            <w:tcW w:w="106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67"/>
        </w:trPr>
        <w:tc>
          <w:tcPr>
            <w:tcW w:w="340" w:type="dxa"/>
            <w:vAlign w:val="bottom"/>
          </w:tcPr>
          <w:p>
            <w:pPr>
              <w:spacing w:after="0"/>
              <w:rPr>
                <w:sz w:val="20"/>
                <w:szCs w:val="20"/>
                <w:color w:val="auto"/>
              </w:rPr>
            </w:pPr>
            <w:r>
              <w:rPr>
                <w:rFonts w:ascii="Arial" w:cs="Arial" w:eastAsia="Arial" w:hAnsi="Arial"/>
                <w:sz w:val="14"/>
                <w:szCs w:val="14"/>
                <w:color w:val="auto"/>
              </w:rPr>
              <w:t>II.</w:t>
            </w:r>
          </w:p>
        </w:tc>
        <w:tc>
          <w:tcPr>
            <w:tcW w:w="7520" w:type="dxa"/>
            <w:vAlign w:val="bottom"/>
          </w:tcPr>
          <w:p>
            <w:pPr>
              <w:ind w:left="200"/>
              <w:spacing w:after="0"/>
              <w:rPr>
                <w:sz w:val="20"/>
                <w:szCs w:val="20"/>
                <w:color w:val="auto"/>
              </w:rPr>
            </w:pPr>
            <w:r>
              <w:rPr>
                <w:rFonts w:ascii="Arial" w:cs="Arial" w:eastAsia="Arial" w:hAnsi="Arial"/>
                <w:sz w:val="14"/>
                <w:szCs w:val="14"/>
                <w:color w:val="auto"/>
              </w:rPr>
              <w:t>Investment portfolio</w:t>
            </w:r>
          </w:p>
        </w:tc>
        <w:tc>
          <w:tcPr>
            <w:tcW w:w="1060" w:type="dxa"/>
            <w:vAlign w:val="bottom"/>
          </w:tcPr>
          <w:p>
            <w:pPr>
              <w:spacing w:after="0"/>
              <w:rPr>
                <w:sz w:val="14"/>
                <w:szCs w:val="14"/>
                <w:color w:val="auto"/>
              </w:rPr>
            </w:pPr>
          </w:p>
        </w:tc>
      </w:tr>
      <w:tr>
        <w:trPr>
          <w:trHeight w:val="167"/>
        </w:trPr>
        <w:tc>
          <w:tcPr>
            <w:tcW w:w="340" w:type="dxa"/>
            <w:vAlign w:val="bottom"/>
          </w:tcPr>
          <w:p>
            <w:pPr>
              <w:spacing w:after="0"/>
              <w:rPr>
                <w:sz w:val="14"/>
                <w:szCs w:val="14"/>
                <w:color w:val="auto"/>
              </w:rPr>
            </w:pPr>
          </w:p>
        </w:tc>
        <w:tc>
          <w:tcPr>
            <w:tcW w:w="7520" w:type="dxa"/>
            <w:vAlign w:val="bottom"/>
          </w:tcPr>
          <w:p>
            <w:pPr>
              <w:ind w:left="200"/>
              <w:spacing w:after="0"/>
              <w:rPr>
                <w:sz w:val="20"/>
                <w:szCs w:val="20"/>
                <w:color w:val="auto"/>
              </w:rPr>
            </w:pPr>
            <w:r>
              <w:rPr>
                <w:rFonts w:ascii="Arial" w:cs="Arial" w:eastAsia="Arial" w:hAnsi="Arial"/>
                <w:sz w:val="14"/>
                <w:szCs w:val="14"/>
                <w:color w:val="auto"/>
              </w:rPr>
              <w:t>A. Year-end balances</w:t>
            </w:r>
          </w:p>
        </w:tc>
        <w:tc>
          <w:tcPr>
            <w:tcW w:w="106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67"/>
        </w:trPr>
        <w:tc>
          <w:tcPr>
            <w:tcW w:w="340" w:type="dxa"/>
            <w:vAlign w:val="bottom"/>
          </w:tcPr>
          <w:p>
            <w:pPr>
              <w:spacing w:after="0"/>
              <w:rPr>
                <w:sz w:val="14"/>
                <w:szCs w:val="14"/>
                <w:color w:val="auto"/>
              </w:rPr>
            </w:pPr>
          </w:p>
        </w:tc>
        <w:tc>
          <w:tcPr>
            <w:tcW w:w="7520" w:type="dxa"/>
            <w:vAlign w:val="bottom"/>
          </w:tcPr>
          <w:p>
            <w:pPr>
              <w:ind w:left="200"/>
              <w:spacing w:after="0"/>
              <w:rPr>
                <w:sz w:val="20"/>
                <w:szCs w:val="20"/>
                <w:color w:val="auto"/>
              </w:rPr>
            </w:pPr>
            <w:r>
              <w:rPr>
                <w:rFonts w:ascii="Arial" w:cs="Arial" w:eastAsia="Arial" w:hAnsi="Arial"/>
                <w:sz w:val="14"/>
                <w:szCs w:val="14"/>
                <w:color w:val="auto"/>
              </w:rPr>
              <w:t>B. Maturity schedule and weighted average yield</w:t>
            </w:r>
          </w:p>
        </w:tc>
        <w:tc>
          <w:tcPr>
            <w:tcW w:w="106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179"/>
        </w:trPr>
        <w:tc>
          <w:tcPr>
            <w:tcW w:w="340" w:type="dxa"/>
            <w:vAlign w:val="bottom"/>
          </w:tcPr>
          <w:p>
            <w:pPr>
              <w:spacing w:after="0"/>
              <w:rPr>
                <w:sz w:val="15"/>
                <w:szCs w:val="15"/>
                <w:color w:val="auto"/>
              </w:rPr>
            </w:pPr>
          </w:p>
        </w:tc>
        <w:tc>
          <w:tcPr>
            <w:tcW w:w="7520" w:type="dxa"/>
            <w:vAlign w:val="bottom"/>
          </w:tcPr>
          <w:p>
            <w:pPr>
              <w:ind w:left="200"/>
              <w:spacing w:after="0"/>
              <w:rPr>
                <w:sz w:val="20"/>
                <w:szCs w:val="20"/>
                <w:color w:val="auto"/>
              </w:rPr>
            </w:pPr>
            <w:r>
              <w:rPr>
                <w:rFonts w:ascii="Arial" w:cs="Arial" w:eastAsia="Arial" w:hAnsi="Arial"/>
                <w:sz w:val="14"/>
                <w:szCs w:val="14"/>
                <w:color w:val="auto"/>
              </w:rPr>
              <w:t>C. Aggregate carrying value of securities that exceed ten percent of stockholders’ equity</w:t>
            </w:r>
          </w:p>
        </w:tc>
        <w:tc>
          <w:tcPr>
            <w:tcW w:w="1060" w:type="dxa"/>
            <w:vAlign w:val="bottom"/>
          </w:tcPr>
          <w:p>
            <w:pPr>
              <w:jc w:val="right"/>
              <w:spacing w:after="0"/>
              <w:rPr>
                <w:sz w:val="20"/>
                <w:szCs w:val="20"/>
                <w:color w:val="auto"/>
              </w:rPr>
            </w:pPr>
            <w:r>
              <w:rPr>
                <w:rFonts w:ascii="Arial" w:cs="Arial" w:eastAsia="Arial" w:hAnsi="Arial"/>
                <w:sz w:val="14"/>
                <w:szCs w:val="14"/>
                <w:color w:val="auto"/>
              </w:rPr>
              <w:t>90</w:t>
            </w:r>
          </w:p>
        </w:tc>
      </w:tr>
    </w:tbl>
    <w:p>
      <w:pPr>
        <w:ind w:left="2280" w:hanging="540"/>
        <w:spacing w:after="0"/>
        <w:tabs>
          <w:tab w:leader="none" w:pos="2280" w:val="left"/>
        </w:tabs>
        <w:numPr>
          <w:ilvl w:val="0"/>
          <w:numId w:val="2"/>
        </w:numPr>
        <w:rPr>
          <w:rFonts w:ascii="Arial" w:cs="Arial" w:eastAsia="Arial" w:hAnsi="Arial"/>
          <w:sz w:val="14"/>
          <w:szCs w:val="14"/>
          <w:color w:val="auto"/>
        </w:rPr>
      </w:pPr>
      <w:r>
        <w:rPr>
          <w:rFonts w:ascii="Arial" w:cs="Arial" w:eastAsia="Arial" w:hAnsi="Arial"/>
          <w:sz w:val="14"/>
          <w:szCs w:val="14"/>
          <w:color w:val="auto"/>
        </w:rPr>
        <w:t>Loan portfolio</w:t>
      </w:r>
    </w:p>
    <w:tbl>
      <w:tblPr>
        <w:tblLayout w:type="fixed"/>
        <w:tblInd w:w="17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7100" w:type="dxa"/>
            <w:vAlign w:val="bottom"/>
          </w:tcPr>
          <w:p>
            <w:pPr>
              <w:ind w:left="180"/>
              <w:spacing w:after="0"/>
              <w:rPr>
                <w:sz w:val="20"/>
                <w:szCs w:val="20"/>
                <w:color w:val="auto"/>
              </w:rPr>
            </w:pPr>
            <w:r>
              <w:rPr>
                <w:rFonts w:ascii="Arial" w:cs="Arial" w:eastAsia="Arial" w:hAnsi="Arial"/>
                <w:sz w:val="14"/>
                <w:szCs w:val="14"/>
                <w:color w:val="auto"/>
              </w:rPr>
              <w:t>A. Year-end balances</w:t>
            </w:r>
          </w:p>
        </w:tc>
        <w:tc>
          <w:tcPr>
            <w:tcW w:w="1460" w:type="dxa"/>
            <w:vAlign w:val="bottom"/>
          </w:tcPr>
          <w:p>
            <w:pPr>
              <w:jc w:val="right"/>
              <w:spacing w:after="0"/>
              <w:rPr>
                <w:sz w:val="20"/>
                <w:szCs w:val="20"/>
                <w:color w:val="auto"/>
              </w:rPr>
            </w:pPr>
            <w:r>
              <w:rPr>
                <w:rFonts w:ascii="Arial" w:cs="Arial" w:eastAsia="Arial" w:hAnsi="Arial"/>
                <w:sz w:val="14"/>
                <w:szCs w:val="14"/>
                <w:color w:val="auto"/>
              </w:rPr>
              <w:t>20, 93</w:t>
            </w:r>
          </w:p>
        </w:tc>
      </w:tr>
      <w:tr>
        <w:trPr>
          <w:trHeight w:val="167"/>
        </w:trPr>
        <w:tc>
          <w:tcPr>
            <w:tcW w:w="360" w:type="dxa"/>
            <w:vAlign w:val="bottom"/>
          </w:tcPr>
          <w:p>
            <w:pPr>
              <w:spacing w:after="0"/>
              <w:rPr>
                <w:sz w:val="14"/>
                <w:szCs w:val="14"/>
                <w:color w:val="auto"/>
              </w:rPr>
            </w:pPr>
          </w:p>
        </w:tc>
        <w:tc>
          <w:tcPr>
            <w:tcW w:w="7100" w:type="dxa"/>
            <w:vAlign w:val="bottom"/>
          </w:tcPr>
          <w:p>
            <w:pPr>
              <w:ind w:left="180"/>
              <w:spacing w:after="0"/>
              <w:rPr>
                <w:sz w:val="20"/>
                <w:szCs w:val="20"/>
                <w:color w:val="auto"/>
              </w:rPr>
            </w:pPr>
            <w:r>
              <w:rPr>
                <w:rFonts w:ascii="Arial" w:cs="Arial" w:eastAsia="Arial" w:hAnsi="Arial"/>
                <w:sz w:val="14"/>
                <w:szCs w:val="14"/>
                <w:color w:val="auto"/>
              </w:rPr>
              <w:t>B. Maturities and sensitivities to changes in interest rates</w:t>
            </w:r>
          </w:p>
        </w:tc>
        <w:tc>
          <w:tcPr>
            <w:tcW w:w="146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167"/>
        </w:trPr>
        <w:tc>
          <w:tcPr>
            <w:tcW w:w="360" w:type="dxa"/>
            <w:vAlign w:val="bottom"/>
          </w:tcPr>
          <w:p>
            <w:pPr>
              <w:spacing w:after="0"/>
              <w:rPr>
                <w:sz w:val="14"/>
                <w:szCs w:val="14"/>
                <w:color w:val="auto"/>
              </w:rPr>
            </w:pPr>
          </w:p>
        </w:tc>
        <w:tc>
          <w:tcPr>
            <w:tcW w:w="7100" w:type="dxa"/>
            <w:vAlign w:val="bottom"/>
          </w:tcPr>
          <w:p>
            <w:pPr>
              <w:ind w:left="180"/>
              <w:spacing w:after="0"/>
              <w:rPr>
                <w:sz w:val="20"/>
                <w:szCs w:val="20"/>
                <w:color w:val="auto"/>
              </w:rPr>
            </w:pPr>
            <w:r>
              <w:rPr>
                <w:rFonts w:ascii="Arial" w:cs="Arial" w:eastAsia="Arial" w:hAnsi="Arial"/>
                <w:sz w:val="14"/>
                <w:szCs w:val="14"/>
                <w:color w:val="auto"/>
              </w:rPr>
              <w:t>C. Risk elements</w:t>
            </w:r>
          </w:p>
        </w:tc>
        <w:tc>
          <w:tcPr>
            <w:tcW w:w="146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7100" w:type="dxa"/>
            <w:vAlign w:val="bottom"/>
          </w:tcPr>
          <w:p>
            <w:pPr>
              <w:ind w:left="360"/>
              <w:spacing w:after="0"/>
              <w:rPr>
                <w:sz w:val="20"/>
                <w:szCs w:val="20"/>
                <w:color w:val="auto"/>
              </w:rPr>
            </w:pPr>
            <w:r>
              <w:rPr>
                <w:rFonts w:ascii="Arial" w:cs="Arial" w:eastAsia="Arial" w:hAnsi="Arial"/>
                <w:sz w:val="14"/>
                <w:szCs w:val="14"/>
                <w:color w:val="auto"/>
              </w:rPr>
              <w:t>Nonaccrual, past due and renegotiated loans</w:t>
            </w:r>
          </w:p>
        </w:tc>
        <w:tc>
          <w:tcPr>
            <w:tcW w:w="146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167"/>
        </w:trPr>
        <w:tc>
          <w:tcPr>
            <w:tcW w:w="360" w:type="dxa"/>
            <w:vAlign w:val="bottom"/>
          </w:tcPr>
          <w:p>
            <w:pPr>
              <w:spacing w:after="0"/>
              <w:rPr>
                <w:sz w:val="14"/>
                <w:szCs w:val="14"/>
                <w:color w:val="auto"/>
              </w:rPr>
            </w:pPr>
          </w:p>
        </w:tc>
        <w:tc>
          <w:tcPr>
            <w:tcW w:w="7100" w:type="dxa"/>
            <w:vAlign w:val="bottom"/>
          </w:tcPr>
          <w:p>
            <w:pPr>
              <w:ind w:left="360"/>
              <w:spacing w:after="0"/>
              <w:rPr>
                <w:sz w:val="20"/>
                <w:szCs w:val="20"/>
                <w:color w:val="auto"/>
              </w:rPr>
            </w:pPr>
            <w:r>
              <w:rPr>
                <w:rFonts w:ascii="Arial" w:cs="Arial" w:eastAsia="Arial" w:hAnsi="Arial"/>
                <w:sz w:val="14"/>
                <w:szCs w:val="14"/>
                <w:color w:val="auto"/>
              </w:rPr>
              <w:t>Actual and pro forma interest on certain loans</w:t>
            </w:r>
          </w:p>
        </w:tc>
        <w:tc>
          <w:tcPr>
            <w:tcW w:w="1460" w:type="dxa"/>
            <w:vAlign w:val="bottom"/>
          </w:tcPr>
          <w:p>
            <w:pPr>
              <w:jc w:val="right"/>
              <w:spacing w:after="0"/>
              <w:rPr>
                <w:sz w:val="20"/>
                <w:szCs w:val="20"/>
                <w:color w:val="auto"/>
              </w:rPr>
            </w:pPr>
            <w:r>
              <w:rPr>
                <w:rFonts w:ascii="Arial" w:cs="Arial" w:eastAsia="Arial" w:hAnsi="Arial"/>
                <w:sz w:val="14"/>
                <w:szCs w:val="14"/>
                <w:color w:val="auto"/>
              </w:rPr>
              <w:t>93-94</w:t>
            </w:r>
          </w:p>
        </w:tc>
      </w:tr>
      <w:tr>
        <w:trPr>
          <w:trHeight w:val="167"/>
        </w:trPr>
        <w:tc>
          <w:tcPr>
            <w:tcW w:w="360" w:type="dxa"/>
            <w:vAlign w:val="bottom"/>
          </w:tcPr>
          <w:p>
            <w:pPr>
              <w:spacing w:after="0"/>
              <w:rPr>
                <w:sz w:val="14"/>
                <w:szCs w:val="14"/>
                <w:color w:val="auto"/>
              </w:rPr>
            </w:pPr>
          </w:p>
        </w:tc>
        <w:tc>
          <w:tcPr>
            <w:tcW w:w="7100" w:type="dxa"/>
            <w:vAlign w:val="bottom"/>
          </w:tcPr>
          <w:p>
            <w:pPr>
              <w:ind w:left="360"/>
              <w:spacing w:after="0"/>
              <w:rPr>
                <w:sz w:val="20"/>
                <w:szCs w:val="20"/>
                <w:color w:val="auto"/>
              </w:rPr>
            </w:pPr>
            <w:r>
              <w:rPr>
                <w:rFonts w:ascii="Arial" w:cs="Arial" w:eastAsia="Arial" w:hAnsi="Arial"/>
                <w:sz w:val="14"/>
                <w:szCs w:val="14"/>
                <w:color w:val="auto"/>
              </w:rPr>
              <w:t>Nonaccrual policy</w:t>
            </w:r>
          </w:p>
        </w:tc>
        <w:tc>
          <w:tcPr>
            <w:tcW w:w="146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167"/>
        </w:trPr>
        <w:tc>
          <w:tcPr>
            <w:tcW w:w="360" w:type="dxa"/>
            <w:vAlign w:val="bottom"/>
          </w:tcPr>
          <w:p>
            <w:pPr>
              <w:spacing w:after="0"/>
              <w:rPr>
                <w:sz w:val="14"/>
                <w:szCs w:val="14"/>
                <w:color w:val="auto"/>
              </w:rPr>
            </w:pPr>
          </w:p>
        </w:tc>
        <w:tc>
          <w:tcPr>
            <w:tcW w:w="7100" w:type="dxa"/>
            <w:vAlign w:val="bottom"/>
          </w:tcPr>
          <w:p>
            <w:pPr>
              <w:ind w:left="360"/>
              <w:spacing w:after="0"/>
              <w:rPr>
                <w:sz w:val="20"/>
                <w:szCs w:val="20"/>
                <w:color w:val="auto"/>
              </w:rPr>
            </w:pPr>
            <w:r>
              <w:rPr>
                <w:rFonts w:ascii="Arial" w:cs="Arial" w:eastAsia="Arial" w:hAnsi="Arial"/>
                <w:sz w:val="14"/>
                <w:szCs w:val="14"/>
                <w:color w:val="auto"/>
              </w:rPr>
              <w:t>Loan concentrations</w:t>
            </w:r>
          </w:p>
        </w:tc>
        <w:tc>
          <w:tcPr>
            <w:tcW w:w="1460" w:type="dxa"/>
            <w:vAlign w:val="bottom"/>
          </w:tcPr>
          <w:p>
            <w:pPr>
              <w:jc w:val="right"/>
              <w:spacing w:after="0"/>
              <w:rPr>
                <w:sz w:val="20"/>
                <w:szCs w:val="20"/>
                <w:color w:val="auto"/>
              </w:rPr>
            </w:pPr>
            <w:r>
              <w:rPr>
                <w:rFonts w:ascii="Arial" w:cs="Arial" w:eastAsia="Arial" w:hAnsi="Arial"/>
                <w:sz w:val="14"/>
                <w:szCs w:val="14"/>
                <w:color w:val="auto"/>
              </w:rPr>
              <w:t>53</w:t>
            </w:r>
          </w:p>
        </w:tc>
      </w:tr>
      <w:tr>
        <w:trPr>
          <w:trHeight w:val="167"/>
        </w:trPr>
        <w:tc>
          <w:tcPr>
            <w:tcW w:w="360" w:type="dxa"/>
            <w:vAlign w:val="bottom"/>
          </w:tcPr>
          <w:p>
            <w:pPr>
              <w:spacing w:after="0"/>
              <w:rPr>
                <w:sz w:val="20"/>
                <w:szCs w:val="20"/>
                <w:color w:val="auto"/>
              </w:rPr>
            </w:pPr>
            <w:r>
              <w:rPr>
                <w:rFonts w:ascii="Arial" w:cs="Arial" w:eastAsia="Arial" w:hAnsi="Arial"/>
                <w:sz w:val="14"/>
                <w:szCs w:val="14"/>
                <w:color w:val="auto"/>
              </w:rPr>
              <w:t>IV.</w:t>
            </w:r>
          </w:p>
        </w:tc>
        <w:tc>
          <w:tcPr>
            <w:tcW w:w="7100" w:type="dxa"/>
            <w:vAlign w:val="bottom"/>
          </w:tcPr>
          <w:p>
            <w:pPr>
              <w:ind w:left="180"/>
              <w:spacing w:after="0"/>
              <w:rPr>
                <w:sz w:val="20"/>
                <w:szCs w:val="20"/>
                <w:color w:val="auto"/>
              </w:rPr>
            </w:pPr>
            <w:r>
              <w:rPr>
                <w:rFonts w:ascii="Arial" w:cs="Arial" w:eastAsia="Arial" w:hAnsi="Arial"/>
                <w:sz w:val="14"/>
                <w:szCs w:val="14"/>
                <w:color w:val="auto"/>
              </w:rPr>
              <w:t>Summary of loan loss experience</w:t>
            </w:r>
          </w:p>
        </w:tc>
        <w:tc>
          <w:tcPr>
            <w:tcW w:w="1460" w:type="dxa"/>
            <w:vAlign w:val="bottom"/>
          </w:tcPr>
          <w:p>
            <w:pPr>
              <w:spacing w:after="0"/>
              <w:rPr>
                <w:sz w:val="14"/>
                <w:szCs w:val="14"/>
                <w:color w:val="auto"/>
              </w:rPr>
            </w:pPr>
          </w:p>
        </w:tc>
      </w:tr>
      <w:tr>
        <w:trPr>
          <w:trHeight w:val="167"/>
        </w:trPr>
        <w:tc>
          <w:tcPr>
            <w:tcW w:w="360" w:type="dxa"/>
            <w:vAlign w:val="bottom"/>
          </w:tcPr>
          <w:p>
            <w:pPr>
              <w:spacing w:after="0"/>
              <w:rPr>
                <w:sz w:val="14"/>
                <w:szCs w:val="14"/>
                <w:color w:val="auto"/>
              </w:rPr>
            </w:pPr>
          </w:p>
        </w:tc>
        <w:tc>
          <w:tcPr>
            <w:tcW w:w="7100" w:type="dxa"/>
            <w:vAlign w:val="bottom"/>
          </w:tcPr>
          <w:p>
            <w:pPr>
              <w:ind w:left="180"/>
              <w:spacing w:after="0"/>
              <w:rPr>
                <w:sz w:val="20"/>
                <w:szCs w:val="20"/>
                <w:color w:val="auto"/>
              </w:rPr>
            </w:pPr>
            <w:r>
              <w:rPr>
                <w:rFonts w:ascii="Arial" w:cs="Arial" w:eastAsia="Arial" w:hAnsi="Arial"/>
                <w:sz w:val="14"/>
                <w:szCs w:val="14"/>
                <w:color w:val="auto"/>
              </w:rPr>
              <w:t>A. Analysis of the allowance for loan losses</w:t>
            </w:r>
          </w:p>
        </w:tc>
        <w:tc>
          <w:tcPr>
            <w:tcW w:w="146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167"/>
        </w:trPr>
        <w:tc>
          <w:tcPr>
            <w:tcW w:w="360" w:type="dxa"/>
            <w:vAlign w:val="bottom"/>
          </w:tcPr>
          <w:p>
            <w:pPr>
              <w:spacing w:after="0"/>
              <w:rPr>
                <w:sz w:val="14"/>
                <w:szCs w:val="14"/>
                <w:color w:val="auto"/>
              </w:rPr>
            </w:pPr>
          </w:p>
        </w:tc>
        <w:tc>
          <w:tcPr>
            <w:tcW w:w="7100" w:type="dxa"/>
            <w:vAlign w:val="bottom"/>
          </w:tcPr>
          <w:p>
            <w:pPr>
              <w:ind w:left="360"/>
              <w:spacing w:after="0"/>
              <w:rPr>
                <w:sz w:val="20"/>
                <w:szCs w:val="20"/>
                <w:color w:val="auto"/>
              </w:rPr>
            </w:pPr>
            <w:r>
              <w:rPr>
                <w:rFonts w:ascii="Arial" w:cs="Arial" w:eastAsia="Arial" w:hAnsi="Arial"/>
                <w:sz w:val="14"/>
                <w:szCs w:val="14"/>
                <w:color w:val="auto"/>
              </w:rPr>
              <w:t>Factors influencing management’s judgment concerning the adequacy of the allowance and provision</w:t>
            </w:r>
          </w:p>
        </w:tc>
        <w:tc>
          <w:tcPr>
            <w:tcW w:w="1460" w:type="dxa"/>
            <w:vAlign w:val="bottom"/>
          </w:tcPr>
          <w:p>
            <w:pPr>
              <w:jc w:val="right"/>
              <w:spacing w:after="0"/>
              <w:rPr>
                <w:sz w:val="20"/>
                <w:szCs w:val="20"/>
                <w:color w:val="auto"/>
              </w:rPr>
            </w:pPr>
            <w:r>
              <w:rPr>
                <w:rFonts w:ascii="Arial" w:cs="Arial" w:eastAsia="Arial" w:hAnsi="Arial"/>
                <w:sz w:val="14"/>
                <w:szCs w:val="14"/>
                <w:color w:val="auto"/>
              </w:rPr>
              <w:t>47-53, 86</w:t>
            </w:r>
          </w:p>
        </w:tc>
      </w:tr>
      <w:tr>
        <w:trPr>
          <w:trHeight w:val="179"/>
        </w:trPr>
        <w:tc>
          <w:tcPr>
            <w:tcW w:w="360" w:type="dxa"/>
            <w:vAlign w:val="bottom"/>
          </w:tcPr>
          <w:p>
            <w:pPr>
              <w:spacing w:after="0"/>
              <w:rPr>
                <w:sz w:val="15"/>
                <w:szCs w:val="15"/>
                <w:color w:val="auto"/>
              </w:rPr>
            </w:pPr>
          </w:p>
        </w:tc>
        <w:tc>
          <w:tcPr>
            <w:tcW w:w="7100" w:type="dxa"/>
            <w:vAlign w:val="bottom"/>
          </w:tcPr>
          <w:p>
            <w:pPr>
              <w:ind w:left="180"/>
              <w:spacing w:after="0"/>
              <w:rPr>
                <w:sz w:val="20"/>
                <w:szCs w:val="20"/>
                <w:color w:val="auto"/>
              </w:rPr>
            </w:pPr>
            <w:r>
              <w:rPr>
                <w:rFonts w:ascii="Arial" w:cs="Arial" w:eastAsia="Arial" w:hAnsi="Arial"/>
                <w:sz w:val="14"/>
                <w:szCs w:val="14"/>
                <w:color w:val="auto"/>
              </w:rPr>
              <w:t>B. Allocation of the allowance for loan losses</w:t>
            </w:r>
          </w:p>
        </w:tc>
        <w:tc>
          <w:tcPr>
            <w:tcW w:w="1460" w:type="dxa"/>
            <w:vAlign w:val="bottom"/>
          </w:tcPr>
          <w:p>
            <w:pPr>
              <w:jc w:val="right"/>
              <w:spacing w:after="0"/>
              <w:rPr>
                <w:sz w:val="20"/>
                <w:szCs w:val="20"/>
                <w:color w:val="auto"/>
              </w:rPr>
            </w:pPr>
            <w:r>
              <w:rPr>
                <w:rFonts w:ascii="Arial" w:cs="Arial" w:eastAsia="Arial" w:hAnsi="Arial"/>
                <w:sz w:val="14"/>
                <w:szCs w:val="14"/>
                <w:color w:val="auto"/>
              </w:rPr>
              <w:t>52</w:t>
            </w:r>
          </w:p>
        </w:tc>
      </w:tr>
    </w:tbl>
    <w:p>
      <w:pPr>
        <w:ind w:left="2280" w:hanging="540"/>
        <w:spacing w:after="0"/>
        <w:tabs>
          <w:tab w:leader="none" w:pos="2280" w:val="left"/>
        </w:tabs>
        <w:numPr>
          <w:ilvl w:val="0"/>
          <w:numId w:val="3"/>
        </w:numPr>
        <w:rPr>
          <w:rFonts w:ascii="Arial" w:cs="Arial" w:eastAsia="Arial" w:hAnsi="Arial"/>
          <w:sz w:val="14"/>
          <w:szCs w:val="14"/>
          <w:color w:val="auto"/>
        </w:rPr>
      </w:pPr>
      <w:r>
        <w:rPr>
          <w:rFonts w:ascii="Arial" w:cs="Arial" w:eastAsia="Arial" w:hAnsi="Arial"/>
          <w:sz w:val="14"/>
          <w:szCs w:val="14"/>
          <w:color w:val="auto"/>
        </w:rPr>
        <w:t>Deposits</w:t>
      </w: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0" w:type="dxa"/>
            <w:vAlign w:val="bottom"/>
            <w:gridSpan w:val="7"/>
          </w:tcPr>
          <w:p>
            <w:pPr>
              <w:ind w:left="80"/>
              <w:spacing w:after="0"/>
              <w:rPr>
                <w:sz w:val="20"/>
                <w:szCs w:val="20"/>
                <w:color w:val="auto"/>
              </w:rPr>
            </w:pPr>
            <w:r>
              <w:rPr>
                <w:rFonts w:ascii="Arial" w:cs="Arial" w:eastAsia="Arial" w:hAnsi="Arial"/>
                <w:sz w:val="14"/>
                <w:szCs w:val="14"/>
                <w:color w:val="auto"/>
              </w:rPr>
              <w:t>A. Average balances and rates</w:t>
            </w:r>
          </w:p>
        </w:tc>
        <w:tc>
          <w:tcPr>
            <w:tcW w:w="2660" w:type="dxa"/>
            <w:vAlign w:val="bottom"/>
          </w:tcPr>
          <w:p>
            <w:pPr>
              <w:jc w:val="right"/>
              <w:ind w:right="728"/>
              <w:spacing w:after="0"/>
              <w:rPr>
                <w:sz w:val="20"/>
                <w:szCs w:val="20"/>
                <w:color w:val="auto"/>
              </w:rPr>
            </w:pPr>
            <w:r>
              <w:rPr>
                <w:rFonts w:ascii="Arial" w:cs="Arial" w:eastAsia="Arial" w:hAnsi="Arial"/>
                <w:sz w:val="14"/>
                <w:szCs w:val="14"/>
                <w:color w:val="auto"/>
              </w:rPr>
              <w:t>36</w:t>
            </w:r>
          </w:p>
        </w:tc>
      </w:tr>
      <w:tr>
        <w:trPr>
          <w:trHeight w:val="167"/>
        </w:trPr>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0" w:type="dxa"/>
            <w:vAlign w:val="bottom"/>
            <w:gridSpan w:val="7"/>
          </w:tcPr>
          <w:p>
            <w:pPr>
              <w:ind w:left="80"/>
              <w:spacing w:after="0"/>
              <w:rPr>
                <w:sz w:val="20"/>
                <w:szCs w:val="20"/>
                <w:color w:val="auto"/>
              </w:rPr>
            </w:pPr>
            <w:r>
              <w:rPr>
                <w:rFonts w:ascii="Arial" w:cs="Arial" w:eastAsia="Arial" w:hAnsi="Arial"/>
                <w:sz w:val="14"/>
                <w:szCs w:val="14"/>
                <w:color w:val="auto"/>
              </w:rPr>
              <w:t>B. Maturity schedule of domestic time deposits with balances of $100,000 or more</w:t>
            </w:r>
          </w:p>
        </w:tc>
        <w:tc>
          <w:tcPr>
            <w:tcW w:w="2660" w:type="dxa"/>
            <w:vAlign w:val="bottom"/>
          </w:tcPr>
          <w:p>
            <w:pPr>
              <w:jc w:val="right"/>
              <w:ind w:right="728"/>
              <w:spacing w:after="0"/>
              <w:rPr>
                <w:sz w:val="20"/>
                <w:szCs w:val="20"/>
                <w:color w:val="auto"/>
              </w:rPr>
            </w:pPr>
            <w:r>
              <w:rPr>
                <w:rFonts w:ascii="Arial" w:cs="Arial" w:eastAsia="Arial" w:hAnsi="Arial"/>
                <w:sz w:val="14"/>
                <w:szCs w:val="14"/>
                <w:color w:val="auto"/>
              </w:rPr>
              <w:t>64</w:t>
            </w:r>
          </w:p>
        </w:tc>
      </w:tr>
      <w:tr>
        <w:trPr>
          <w:trHeight w:val="167"/>
        </w:trPr>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gridSpan w:val="2"/>
          </w:tcPr>
          <w:p>
            <w:pPr>
              <w:ind w:left="20"/>
              <w:spacing w:after="0"/>
              <w:rPr>
                <w:sz w:val="20"/>
                <w:szCs w:val="20"/>
                <w:color w:val="auto"/>
              </w:rPr>
            </w:pPr>
            <w:r>
              <w:rPr>
                <w:rFonts w:ascii="Arial" w:cs="Arial" w:eastAsia="Arial" w:hAnsi="Arial"/>
                <w:sz w:val="14"/>
                <w:szCs w:val="14"/>
                <w:color w:val="auto"/>
              </w:rPr>
              <w:t>VI.</w:t>
            </w:r>
          </w:p>
        </w:tc>
        <w:tc>
          <w:tcPr>
            <w:tcW w:w="6600" w:type="dxa"/>
            <w:vAlign w:val="bottom"/>
            <w:gridSpan w:val="7"/>
          </w:tcPr>
          <w:p>
            <w:pPr>
              <w:ind w:left="80"/>
              <w:spacing w:after="0"/>
              <w:rPr>
                <w:sz w:val="20"/>
                <w:szCs w:val="20"/>
                <w:color w:val="auto"/>
              </w:rPr>
            </w:pPr>
            <w:r>
              <w:rPr>
                <w:rFonts w:ascii="Arial" w:cs="Arial" w:eastAsia="Arial" w:hAnsi="Arial"/>
                <w:sz w:val="14"/>
                <w:szCs w:val="14"/>
                <w:color w:val="auto"/>
              </w:rPr>
              <w:t>Return on equity and assets</w:t>
            </w:r>
          </w:p>
        </w:tc>
        <w:tc>
          <w:tcPr>
            <w:tcW w:w="2660" w:type="dxa"/>
            <w:vAlign w:val="bottom"/>
          </w:tcPr>
          <w:p>
            <w:pPr>
              <w:jc w:val="right"/>
              <w:ind w:right="728"/>
              <w:spacing w:after="0"/>
              <w:rPr>
                <w:sz w:val="20"/>
                <w:szCs w:val="20"/>
                <w:color w:val="auto"/>
              </w:rPr>
            </w:pPr>
            <w:r>
              <w:rPr>
                <w:rFonts w:ascii="Arial" w:cs="Arial" w:eastAsia="Arial" w:hAnsi="Arial"/>
                <w:sz w:val="14"/>
                <w:szCs w:val="14"/>
                <w:color w:val="auto"/>
              </w:rPr>
              <w:t>22, 31, 67</w:t>
            </w:r>
          </w:p>
        </w:tc>
      </w:tr>
      <w:tr>
        <w:trPr>
          <w:trHeight w:val="167"/>
        </w:trPr>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gridSpan w:val="2"/>
          </w:tcPr>
          <w:p>
            <w:pPr>
              <w:ind w:left="20"/>
              <w:spacing w:after="0"/>
              <w:rPr>
                <w:sz w:val="20"/>
                <w:szCs w:val="20"/>
                <w:color w:val="auto"/>
              </w:rPr>
            </w:pPr>
            <w:r>
              <w:rPr>
                <w:rFonts w:ascii="Arial" w:cs="Arial" w:eastAsia="Arial" w:hAnsi="Arial"/>
                <w:sz w:val="14"/>
                <w:szCs w:val="14"/>
                <w:color w:val="auto"/>
              </w:rPr>
              <w:t>VII.</w:t>
            </w:r>
          </w:p>
        </w:tc>
        <w:tc>
          <w:tcPr>
            <w:tcW w:w="6600" w:type="dxa"/>
            <w:vAlign w:val="bottom"/>
            <w:gridSpan w:val="7"/>
          </w:tcPr>
          <w:p>
            <w:pPr>
              <w:ind w:left="80"/>
              <w:spacing w:after="0"/>
              <w:rPr>
                <w:sz w:val="20"/>
                <w:szCs w:val="20"/>
                <w:color w:val="auto"/>
              </w:rPr>
            </w:pPr>
            <w:r>
              <w:rPr>
                <w:rFonts w:ascii="Arial" w:cs="Arial" w:eastAsia="Arial" w:hAnsi="Arial"/>
                <w:sz w:val="14"/>
                <w:szCs w:val="14"/>
                <w:color w:val="auto"/>
              </w:rPr>
              <w:t>Short-term borrowings</w:t>
            </w:r>
          </w:p>
        </w:tc>
        <w:tc>
          <w:tcPr>
            <w:tcW w:w="2660" w:type="dxa"/>
            <w:vAlign w:val="bottom"/>
          </w:tcPr>
          <w:p>
            <w:pPr>
              <w:jc w:val="right"/>
              <w:ind w:right="728"/>
              <w:spacing w:after="0"/>
              <w:rPr>
                <w:sz w:val="20"/>
                <w:szCs w:val="20"/>
                <w:color w:val="auto"/>
              </w:rPr>
            </w:pPr>
            <w:r>
              <w:rPr>
                <w:rFonts w:ascii="Arial" w:cs="Arial" w:eastAsia="Arial" w:hAnsi="Arial"/>
                <w:sz w:val="14"/>
                <w:szCs w:val="14"/>
                <w:color w:val="auto"/>
              </w:rPr>
              <w:t>99</w:t>
            </w:r>
          </w:p>
        </w:tc>
      </w:tr>
      <w:tr>
        <w:trPr>
          <w:trHeight w:val="150"/>
        </w:trPr>
        <w:tc>
          <w:tcPr>
            <w:tcW w:w="680" w:type="dxa"/>
            <w:vAlign w:val="bottom"/>
          </w:tcPr>
          <w:p>
            <w:pPr>
              <w:spacing w:after="0"/>
              <w:rPr>
                <w:sz w:val="13"/>
                <w:szCs w:val="13"/>
                <w:color w:val="auto"/>
              </w:rPr>
            </w:pPr>
          </w:p>
        </w:tc>
        <w:tc>
          <w:tcPr>
            <w:tcW w:w="1520" w:type="dxa"/>
            <w:vAlign w:val="bottom"/>
            <w:gridSpan w:val="3"/>
          </w:tcPr>
          <w:p>
            <w:pPr>
              <w:spacing w:after="0" w:line="150" w:lineRule="exact"/>
              <w:rPr>
                <w:rFonts w:ascii="Arial" w:cs="Arial" w:eastAsia="Arial" w:hAnsi="Arial"/>
                <w:sz w:val="14"/>
                <w:szCs w:val="14"/>
                <w:color w:val="0000EE"/>
              </w:rPr>
            </w:pPr>
            <w:hyperlink w:anchor="page23">
              <w:r>
                <w:rPr>
                  <w:rFonts w:ascii="Arial" w:cs="Arial" w:eastAsia="Arial" w:hAnsi="Arial"/>
                  <w:sz w:val="14"/>
                  <w:szCs w:val="14"/>
                  <w:color w:val="0000EE"/>
                </w:rPr>
                <w:t>Item 1A. Risk Factors</w:t>
              </w:r>
            </w:hyperlink>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60" w:type="dxa"/>
            <w:vAlign w:val="bottom"/>
          </w:tcPr>
          <w:p>
            <w:pPr>
              <w:jc w:val="right"/>
              <w:ind w:right="728"/>
              <w:spacing w:after="0" w:line="150" w:lineRule="exact"/>
              <w:rPr>
                <w:sz w:val="20"/>
                <w:szCs w:val="20"/>
                <w:color w:val="auto"/>
              </w:rPr>
            </w:pPr>
            <w:r>
              <w:rPr>
                <w:rFonts w:ascii="Arial" w:cs="Arial" w:eastAsia="Arial" w:hAnsi="Arial"/>
                <w:sz w:val="14"/>
                <w:szCs w:val="14"/>
                <w:color w:val="auto"/>
              </w:rPr>
              <w:t>22-24</w:t>
            </w:r>
          </w:p>
        </w:tc>
      </w:tr>
      <w:tr>
        <w:trPr>
          <w:trHeight w:val="20"/>
        </w:trPr>
        <w:tc>
          <w:tcPr>
            <w:tcW w:w="6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8120" w:type="dxa"/>
            <w:vAlign w:val="bottom"/>
            <w:gridSpan w:val="10"/>
          </w:tcPr>
          <w:p>
            <w:pPr>
              <w:spacing w:after="0" w:line="147" w:lineRule="exact"/>
              <w:rPr>
                <w:rFonts w:ascii="Arial" w:cs="Arial" w:eastAsia="Arial" w:hAnsi="Arial"/>
                <w:sz w:val="14"/>
                <w:szCs w:val="14"/>
                <w:color w:val="0000EE"/>
              </w:rPr>
            </w:pPr>
            <w:hyperlink w:anchor="page25">
              <w:r>
                <w:rPr>
                  <w:rFonts w:ascii="Arial" w:cs="Arial" w:eastAsia="Arial" w:hAnsi="Arial"/>
                  <w:sz w:val="14"/>
                  <w:szCs w:val="14"/>
                  <w:color w:val="0000EE"/>
                </w:rPr>
                <w:t>Item 1B. Unresolved Staff Comments</w:t>
              </w:r>
            </w:hyperlink>
          </w:p>
        </w:tc>
        <w:tc>
          <w:tcPr>
            <w:tcW w:w="2660" w:type="dxa"/>
            <w:vAlign w:val="bottom"/>
          </w:tcPr>
          <w:p>
            <w:pPr>
              <w:jc w:val="right"/>
              <w:ind w:right="728"/>
              <w:spacing w:after="0" w:line="147" w:lineRule="exact"/>
              <w:rPr>
                <w:sz w:val="20"/>
                <w:szCs w:val="20"/>
                <w:color w:val="auto"/>
              </w:rPr>
            </w:pPr>
            <w:r>
              <w:rPr>
                <w:rFonts w:ascii="Arial" w:cs="Arial" w:eastAsia="Arial" w:hAnsi="Arial"/>
                <w:sz w:val="14"/>
                <w:szCs w:val="14"/>
                <w:color w:val="auto"/>
              </w:rPr>
              <w:t>24</w:t>
            </w:r>
          </w:p>
        </w:tc>
      </w:tr>
      <w:tr>
        <w:trPr>
          <w:trHeight w:val="147"/>
        </w:trPr>
        <w:tc>
          <w:tcPr>
            <w:tcW w:w="680" w:type="dxa"/>
            <w:vAlign w:val="bottom"/>
          </w:tcPr>
          <w:p>
            <w:pPr>
              <w:spacing w:after="0"/>
              <w:rPr>
                <w:sz w:val="12"/>
                <w:szCs w:val="12"/>
                <w:color w:val="auto"/>
              </w:rPr>
            </w:pPr>
          </w:p>
        </w:tc>
        <w:tc>
          <w:tcPr>
            <w:tcW w:w="1040" w:type="dxa"/>
            <w:vAlign w:val="bottom"/>
            <w:tcBorders>
              <w:top w:val="single" w:sz="8" w:color="0000EE"/>
              <w:bottom w:val="single" w:sz="8" w:color="0000EE"/>
            </w:tcBorders>
          </w:tcPr>
          <w:p>
            <w:pPr>
              <w:spacing w:after="0" w:line="147" w:lineRule="exact"/>
              <w:rPr>
                <w:rFonts w:ascii="Arial" w:cs="Arial" w:eastAsia="Arial" w:hAnsi="Arial"/>
                <w:sz w:val="14"/>
                <w:szCs w:val="14"/>
                <w:color w:val="0000EE"/>
                <w:w w:val="92"/>
              </w:rPr>
            </w:pPr>
            <w:hyperlink w:anchor="page25">
              <w:r>
                <w:rPr>
                  <w:rFonts w:ascii="Arial" w:cs="Arial" w:eastAsia="Arial" w:hAnsi="Arial"/>
                  <w:sz w:val="14"/>
                  <w:szCs w:val="14"/>
                  <w:color w:val="0000EE"/>
                  <w:w w:val="92"/>
                </w:rPr>
                <w:t>Item 2. Properties</w:t>
              </w:r>
            </w:hyperlink>
          </w:p>
        </w:tc>
        <w:tc>
          <w:tcPr>
            <w:tcW w:w="480" w:type="dxa"/>
            <w:vAlign w:val="bottom"/>
            <w:tcBorders>
              <w:top w:val="single" w:sz="8" w:color="0000EE"/>
            </w:tcBorders>
            <w:gridSpan w:val="2"/>
          </w:tcPr>
          <w:p>
            <w:pPr>
              <w:spacing w:after="0"/>
              <w:rPr>
                <w:sz w:val="12"/>
                <w:szCs w:val="12"/>
                <w:color w:val="auto"/>
              </w:rPr>
            </w:pPr>
          </w:p>
        </w:tc>
        <w:tc>
          <w:tcPr>
            <w:tcW w:w="660" w:type="dxa"/>
            <w:vAlign w:val="bottom"/>
            <w:tcBorders>
              <w:top w:val="single" w:sz="8" w:color="0000EE"/>
            </w:tcBorders>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60" w:type="dxa"/>
            <w:vAlign w:val="bottom"/>
          </w:tcPr>
          <w:p>
            <w:pPr>
              <w:jc w:val="right"/>
              <w:ind w:right="728"/>
              <w:spacing w:after="0" w:line="147" w:lineRule="exact"/>
              <w:rPr>
                <w:sz w:val="20"/>
                <w:szCs w:val="20"/>
                <w:color w:val="auto"/>
              </w:rPr>
            </w:pPr>
            <w:r>
              <w:rPr>
                <w:rFonts w:ascii="Arial" w:cs="Arial" w:eastAsia="Arial" w:hAnsi="Arial"/>
                <w:sz w:val="14"/>
                <w:szCs w:val="14"/>
                <w:color w:val="auto"/>
              </w:rPr>
              <w:t>24-25, 95-96</w:t>
            </w:r>
          </w:p>
        </w:tc>
      </w:tr>
      <w:tr>
        <w:trPr>
          <w:trHeight w:val="147"/>
        </w:trPr>
        <w:tc>
          <w:tcPr>
            <w:tcW w:w="680" w:type="dxa"/>
            <w:vAlign w:val="bottom"/>
          </w:tcPr>
          <w:p>
            <w:pPr>
              <w:spacing w:after="0"/>
              <w:rPr>
                <w:sz w:val="12"/>
                <w:szCs w:val="12"/>
                <w:color w:val="auto"/>
              </w:rPr>
            </w:pPr>
          </w:p>
        </w:tc>
        <w:tc>
          <w:tcPr>
            <w:tcW w:w="1520" w:type="dxa"/>
            <w:vAlign w:val="bottom"/>
            <w:tcBorders>
              <w:bottom w:val="single" w:sz="8" w:color="0000EE"/>
            </w:tcBorders>
            <w:gridSpan w:val="3"/>
          </w:tcPr>
          <w:p>
            <w:pPr>
              <w:spacing w:after="0" w:line="147" w:lineRule="exact"/>
              <w:rPr>
                <w:rFonts w:ascii="Arial" w:cs="Arial" w:eastAsia="Arial" w:hAnsi="Arial"/>
                <w:sz w:val="14"/>
                <w:szCs w:val="14"/>
                <w:color w:val="0000EE"/>
                <w:w w:val="92"/>
              </w:rPr>
            </w:pPr>
            <w:hyperlink w:anchor="page26">
              <w:r>
                <w:rPr>
                  <w:rFonts w:ascii="Arial" w:cs="Arial" w:eastAsia="Arial" w:hAnsi="Arial"/>
                  <w:sz w:val="14"/>
                  <w:szCs w:val="14"/>
                  <w:color w:val="0000EE"/>
                  <w:w w:val="92"/>
                </w:rPr>
                <w:t>Item 3. Legal Proceedings</w:t>
              </w:r>
            </w:hyperlink>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60" w:type="dxa"/>
            <w:vAlign w:val="bottom"/>
          </w:tcPr>
          <w:p>
            <w:pPr>
              <w:jc w:val="right"/>
              <w:ind w:right="728"/>
              <w:spacing w:after="0" w:line="147" w:lineRule="exact"/>
              <w:rPr>
                <w:sz w:val="20"/>
                <w:szCs w:val="20"/>
                <w:color w:val="auto"/>
              </w:rPr>
            </w:pPr>
            <w:r>
              <w:rPr>
                <w:rFonts w:ascii="Arial" w:cs="Arial" w:eastAsia="Arial" w:hAnsi="Arial"/>
                <w:sz w:val="14"/>
                <w:szCs w:val="14"/>
                <w:color w:val="auto"/>
              </w:rPr>
              <w:t>25</w:t>
            </w:r>
          </w:p>
        </w:tc>
      </w:tr>
      <w:tr>
        <w:trPr>
          <w:trHeight w:val="147"/>
        </w:trPr>
        <w:tc>
          <w:tcPr>
            <w:tcW w:w="680" w:type="dxa"/>
            <w:vAlign w:val="bottom"/>
          </w:tcPr>
          <w:p>
            <w:pPr>
              <w:spacing w:after="0"/>
              <w:rPr>
                <w:sz w:val="12"/>
                <w:szCs w:val="12"/>
                <w:color w:val="auto"/>
              </w:rPr>
            </w:pPr>
          </w:p>
        </w:tc>
        <w:tc>
          <w:tcPr>
            <w:tcW w:w="8120" w:type="dxa"/>
            <w:vAlign w:val="bottom"/>
            <w:gridSpan w:val="10"/>
          </w:tcPr>
          <w:p>
            <w:pPr>
              <w:spacing w:after="0" w:line="147" w:lineRule="exact"/>
              <w:rPr>
                <w:rFonts w:ascii="Arial" w:cs="Arial" w:eastAsia="Arial" w:hAnsi="Arial"/>
                <w:sz w:val="14"/>
                <w:szCs w:val="14"/>
                <w:color w:val="0000EE"/>
              </w:rPr>
            </w:pPr>
            <w:hyperlink w:anchor="page26">
              <w:r>
                <w:rPr>
                  <w:rFonts w:ascii="Arial" w:cs="Arial" w:eastAsia="Arial" w:hAnsi="Arial"/>
                  <w:sz w:val="14"/>
                  <w:szCs w:val="14"/>
                  <w:color w:val="0000EE"/>
                </w:rPr>
                <w:t>Item 4. Submission of Matters to a Vote of Security Holders</w:t>
              </w:r>
            </w:hyperlink>
          </w:p>
        </w:tc>
        <w:tc>
          <w:tcPr>
            <w:tcW w:w="2660" w:type="dxa"/>
            <w:vAlign w:val="bottom"/>
          </w:tcPr>
          <w:p>
            <w:pPr>
              <w:jc w:val="right"/>
              <w:ind w:right="728"/>
              <w:spacing w:after="0" w:line="147" w:lineRule="exact"/>
              <w:rPr>
                <w:sz w:val="20"/>
                <w:szCs w:val="20"/>
                <w:color w:val="auto"/>
              </w:rPr>
            </w:pPr>
            <w:r>
              <w:rPr>
                <w:rFonts w:ascii="Arial" w:cs="Arial" w:eastAsia="Arial" w:hAnsi="Arial"/>
                <w:sz w:val="14"/>
                <w:szCs w:val="14"/>
                <w:color w:val="auto"/>
              </w:rPr>
              <w:t>25</w:t>
            </w:r>
          </w:p>
        </w:tc>
      </w:tr>
      <w:tr>
        <w:trPr>
          <w:trHeight w:val="147"/>
        </w:trPr>
        <w:tc>
          <w:tcPr>
            <w:tcW w:w="680" w:type="dxa"/>
            <w:vAlign w:val="bottom"/>
          </w:tcPr>
          <w:p>
            <w:pPr>
              <w:spacing w:after="0"/>
              <w:rPr>
                <w:sz w:val="12"/>
                <w:szCs w:val="12"/>
                <w:color w:val="auto"/>
              </w:rPr>
            </w:pPr>
          </w:p>
        </w:tc>
        <w:tc>
          <w:tcPr>
            <w:tcW w:w="3460" w:type="dxa"/>
            <w:vAlign w:val="bottom"/>
            <w:tcBorders>
              <w:top w:val="single" w:sz="8" w:color="0000EE"/>
            </w:tcBorders>
            <w:gridSpan w:val="6"/>
          </w:tcPr>
          <w:p>
            <w:pPr>
              <w:ind w:left="440"/>
              <w:spacing w:after="0" w:line="147" w:lineRule="exact"/>
              <w:rPr>
                <w:rFonts w:ascii="Arial" w:cs="Arial" w:eastAsia="Arial" w:hAnsi="Arial"/>
                <w:sz w:val="14"/>
                <w:szCs w:val="14"/>
                <w:color w:val="0000EE"/>
              </w:rPr>
            </w:pPr>
            <w:hyperlink w:anchor="page26">
              <w:r>
                <w:rPr>
                  <w:rFonts w:ascii="Arial" w:cs="Arial" w:eastAsia="Arial" w:hAnsi="Arial"/>
                  <w:sz w:val="14"/>
                  <w:szCs w:val="14"/>
                  <w:color w:val="0000EE"/>
                </w:rPr>
                <w:t>Executive Officers of the Registrant</w:t>
              </w:r>
            </w:hyperlink>
          </w:p>
        </w:tc>
        <w:tc>
          <w:tcPr>
            <w:tcW w:w="4660" w:type="dxa"/>
            <w:vAlign w:val="bottom"/>
            <w:gridSpan w:val="4"/>
          </w:tcPr>
          <w:p>
            <w:pPr>
              <w:spacing w:after="0"/>
              <w:rPr>
                <w:sz w:val="12"/>
                <w:szCs w:val="12"/>
                <w:color w:val="auto"/>
              </w:rPr>
            </w:pPr>
          </w:p>
        </w:tc>
        <w:tc>
          <w:tcPr>
            <w:tcW w:w="2660" w:type="dxa"/>
            <w:vAlign w:val="bottom"/>
          </w:tcPr>
          <w:p>
            <w:pPr>
              <w:jc w:val="right"/>
              <w:ind w:right="728"/>
              <w:spacing w:after="0" w:line="147" w:lineRule="exact"/>
              <w:rPr>
                <w:sz w:val="20"/>
                <w:szCs w:val="20"/>
                <w:color w:val="auto"/>
              </w:rPr>
            </w:pPr>
            <w:r>
              <w:rPr>
                <w:rFonts w:ascii="Arial" w:cs="Arial" w:eastAsia="Arial" w:hAnsi="Arial"/>
                <w:sz w:val="14"/>
                <w:szCs w:val="14"/>
                <w:color w:val="auto"/>
              </w:rPr>
              <w:t>25-26</w:t>
            </w:r>
          </w:p>
        </w:tc>
      </w:tr>
      <w:tr>
        <w:trPr>
          <w:trHeight w:val="265"/>
        </w:trPr>
        <w:tc>
          <w:tcPr>
            <w:tcW w:w="680" w:type="dxa"/>
            <w:vAlign w:val="bottom"/>
          </w:tcPr>
          <w:p>
            <w:pPr>
              <w:spacing w:after="0"/>
              <w:rPr>
                <w:sz w:val="23"/>
                <w:szCs w:val="23"/>
                <w:color w:val="auto"/>
              </w:rPr>
            </w:pPr>
          </w:p>
        </w:tc>
        <w:tc>
          <w:tcPr>
            <w:tcW w:w="104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240" w:type="dxa"/>
            <w:vAlign w:val="bottom"/>
            <w:tcBorders>
              <w:top w:val="single" w:sz="8" w:color="0000EE"/>
            </w:tcBorders>
          </w:tcPr>
          <w:p>
            <w:pPr>
              <w:spacing w:after="0"/>
              <w:rPr>
                <w:sz w:val="23"/>
                <w:szCs w:val="23"/>
                <w:color w:val="auto"/>
              </w:rPr>
            </w:pPr>
          </w:p>
        </w:tc>
        <w:tc>
          <w:tcPr>
            <w:tcW w:w="66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9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20" w:type="dxa"/>
            <w:vAlign w:val="bottom"/>
            <w:tcBorders>
              <w:bottom w:val="single" w:sz="8" w:color="0000EE"/>
            </w:tcBorders>
          </w:tcPr>
          <w:p>
            <w:pPr>
              <w:spacing w:after="0"/>
              <w:rPr>
                <w:rFonts w:ascii="Arial" w:cs="Arial" w:eastAsia="Arial" w:hAnsi="Arial"/>
                <w:sz w:val="14"/>
                <w:szCs w:val="14"/>
                <w:b w:val="1"/>
                <w:bCs w:val="1"/>
                <w:color w:val="0000EE"/>
              </w:rPr>
            </w:pPr>
            <w:hyperlink w:anchor="page27">
              <w:r>
                <w:rPr>
                  <w:rFonts w:ascii="Arial" w:cs="Arial" w:eastAsia="Arial" w:hAnsi="Arial"/>
                  <w:sz w:val="14"/>
                  <w:szCs w:val="14"/>
                  <w:b w:val="1"/>
                  <w:bCs w:val="1"/>
                  <w:color w:val="0000EE"/>
                </w:rPr>
                <w:t>PART II</w:t>
              </w:r>
            </w:hyperlink>
          </w:p>
        </w:tc>
        <w:tc>
          <w:tcPr>
            <w:tcW w:w="2860" w:type="dxa"/>
            <w:vAlign w:val="bottom"/>
            <w:gridSpan w:val="2"/>
          </w:tcPr>
          <w:p>
            <w:pPr>
              <w:spacing w:after="0"/>
              <w:rPr>
                <w:sz w:val="23"/>
                <w:szCs w:val="23"/>
                <w:color w:val="auto"/>
              </w:rPr>
            </w:pPr>
          </w:p>
        </w:tc>
        <w:tc>
          <w:tcPr>
            <w:tcW w:w="2660" w:type="dxa"/>
            <w:vAlign w:val="bottom"/>
          </w:tcPr>
          <w:p>
            <w:pPr>
              <w:spacing w:after="0"/>
              <w:rPr>
                <w:sz w:val="23"/>
                <w:szCs w:val="23"/>
                <w:color w:val="auto"/>
              </w:rPr>
            </w:pPr>
          </w:p>
        </w:tc>
      </w:tr>
      <w:tr>
        <w:trPr>
          <w:trHeight w:val="147"/>
        </w:trPr>
        <w:tc>
          <w:tcPr>
            <w:tcW w:w="680" w:type="dxa"/>
            <w:vAlign w:val="bottom"/>
          </w:tcPr>
          <w:p>
            <w:pPr>
              <w:spacing w:after="0"/>
              <w:rPr>
                <w:sz w:val="12"/>
                <w:szCs w:val="12"/>
                <w:color w:val="auto"/>
              </w:rPr>
            </w:pPr>
          </w:p>
        </w:tc>
        <w:tc>
          <w:tcPr>
            <w:tcW w:w="8120" w:type="dxa"/>
            <w:vAlign w:val="bottom"/>
            <w:gridSpan w:val="10"/>
          </w:tcPr>
          <w:p>
            <w:pPr>
              <w:spacing w:after="0" w:line="147" w:lineRule="exact"/>
              <w:rPr>
                <w:rFonts w:ascii="Arial" w:cs="Arial" w:eastAsia="Arial" w:hAnsi="Arial"/>
                <w:sz w:val="14"/>
                <w:szCs w:val="14"/>
                <w:color w:val="0000EE"/>
              </w:rPr>
            </w:pPr>
            <w:hyperlink w:anchor="page27">
              <w:r>
                <w:rPr>
                  <w:rFonts w:ascii="Arial" w:cs="Arial" w:eastAsia="Arial" w:hAnsi="Arial"/>
                  <w:sz w:val="14"/>
                  <w:szCs w:val="14"/>
                  <w:color w:val="0000EE"/>
                </w:rPr>
                <w:t>Item 5. Market for Registrant’s Common Equity, Related Stockholder Matters and  Issuer Purchases of Equity Securities</w:t>
              </w:r>
            </w:hyperlink>
          </w:p>
        </w:tc>
        <w:tc>
          <w:tcPr>
            <w:tcW w:w="2660" w:type="dxa"/>
            <w:vAlign w:val="bottom"/>
          </w:tcPr>
          <w:p>
            <w:pPr>
              <w:jc w:val="right"/>
              <w:ind w:right="728"/>
              <w:spacing w:after="0" w:line="147" w:lineRule="exact"/>
              <w:rPr>
                <w:sz w:val="20"/>
                <w:szCs w:val="20"/>
                <w:color w:val="auto"/>
              </w:rPr>
            </w:pPr>
            <w:r>
              <w:rPr>
                <w:rFonts w:ascii="Arial" w:cs="Arial" w:eastAsia="Arial" w:hAnsi="Arial"/>
                <w:sz w:val="14"/>
                <w:szCs w:val="14"/>
                <w:color w:val="auto"/>
              </w:rPr>
              <w:t>26-29</w:t>
            </w:r>
          </w:p>
        </w:tc>
      </w:tr>
      <w:tr>
        <w:trPr>
          <w:trHeight w:val="164"/>
        </w:trPr>
        <w:tc>
          <w:tcPr>
            <w:tcW w:w="680" w:type="dxa"/>
            <w:vAlign w:val="bottom"/>
          </w:tcPr>
          <w:p>
            <w:pPr>
              <w:spacing w:after="0"/>
              <w:rPr>
                <w:sz w:val="14"/>
                <w:szCs w:val="14"/>
                <w:color w:val="auto"/>
              </w:rPr>
            </w:pPr>
          </w:p>
        </w:tc>
        <w:tc>
          <w:tcPr>
            <w:tcW w:w="104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5460" w:type="dxa"/>
            <w:vAlign w:val="bottom"/>
            <w:tcBorders>
              <w:top w:val="single" w:sz="8" w:color="0000EE"/>
            </w:tcBorders>
            <w:gridSpan w:val="6"/>
          </w:tcPr>
          <w:p>
            <w:pPr>
              <w:ind w:left="80"/>
              <w:spacing w:after="0"/>
              <w:rPr>
                <w:sz w:val="20"/>
                <w:szCs w:val="20"/>
                <w:color w:val="auto"/>
              </w:rPr>
            </w:pPr>
            <w:r>
              <w:rPr>
                <w:rFonts w:ascii="Arial" w:cs="Arial" w:eastAsia="Arial" w:hAnsi="Arial"/>
                <w:sz w:val="14"/>
                <w:szCs w:val="14"/>
                <w:color w:val="auto"/>
              </w:rPr>
              <w:t>A. Principal market</w:t>
            </w:r>
          </w:p>
        </w:tc>
        <w:tc>
          <w:tcPr>
            <w:tcW w:w="1140" w:type="dxa"/>
            <w:vAlign w:val="bottom"/>
          </w:tcPr>
          <w:p>
            <w:pPr>
              <w:spacing w:after="0"/>
              <w:rPr>
                <w:sz w:val="14"/>
                <w:szCs w:val="14"/>
                <w:color w:val="auto"/>
              </w:rPr>
            </w:pPr>
          </w:p>
        </w:tc>
        <w:tc>
          <w:tcPr>
            <w:tcW w:w="2660" w:type="dxa"/>
            <w:vAlign w:val="bottom"/>
          </w:tcPr>
          <w:p>
            <w:pPr>
              <w:jc w:val="right"/>
              <w:ind w:right="728"/>
              <w:spacing w:after="0"/>
              <w:rPr>
                <w:sz w:val="20"/>
                <w:szCs w:val="20"/>
                <w:color w:val="auto"/>
              </w:rPr>
            </w:pPr>
            <w:r>
              <w:rPr>
                <w:rFonts w:ascii="Arial" w:cs="Arial" w:eastAsia="Arial" w:hAnsi="Arial"/>
                <w:sz w:val="14"/>
                <w:szCs w:val="14"/>
                <w:color w:val="auto"/>
              </w:rPr>
              <w:t>26</w:t>
            </w:r>
          </w:p>
        </w:tc>
      </w:tr>
      <w:tr>
        <w:trPr>
          <w:trHeight w:val="167"/>
        </w:trPr>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0" w:type="dxa"/>
            <w:vAlign w:val="bottom"/>
            <w:gridSpan w:val="7"/>
          </w:tcPr>
          <w:p>
            <w:pPr>
              <w:ind w:left="260"/>
              <w:spacing w:after="0"/>
              <w:rPr>
                <w:sz w:val="20"/>
                <w:szCs w:val="20"/>
                <w:color w:val="auto"/>
              </w:rPr>
            </w:pPr>
            <w:r>
              <w:rPr>
                <w:rFonts w:ascii="Arial" w:cs="Arial" w:eastAsia="Arial" w:hAnsi="Arial"/>
                <w:sz w:val="14"/>
                <w:szCs w:val="14"/>
                <w:color w:val="auto"/>
              </w:rPr>
              <w:t>Market prices</w:t>
            </w:r>
          </w:p>
        </w:tc>
        <w:tc>
          <w:tcPr>
            <w:tcW w:w="2660" w:type="dxa"/>
            <w:vAlign w:val="bottom"/>
          </w:tcPr>
          <w:p>
            <w:pPr>
              <w:jc w:val="right"/>
              <w:ind w:right="728"/>
              <w:spacing w:after="0"/>
              <w:rPr>
                <w:sz w:val="20"/>
                <w:szCs w:val="20"/>
                <w:color w:val="auto"/>
              </w:rPr>
            </w:pPr>
            <w:r>
              <w:rPr>
                <w:rFonts w:ascii="Arial" w:cs="Arial" w:eastAsia="Arial" w:hAnsi="Arial"/>
                <w:sz w:val="14"/>
                <w:szCs w:val="14"/>
                <w:color w:val="auto"/>
              </w:rPr>
              <w:t>75</w:t>
            </w:r>
          </w:p>
        </w:tc>
      </w:tr>
      <w:tr>
        <w:trPr>
          <w:trHeight w:val="182"/>
        </w:trPr>
        <w:tc>
          <w:tcPr>
            <w:tcW w:w="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0" w:type="dxa"/>
            <w:vAlign w:val="bottom"/>
            <w:gridSpan w:val="7"/>
          </w:tcPr>
          <w:p>
            <w:pPr>
              <w:ind w:left="80"/>
              <w:spacing w:after="0"/>
              <w:rPr>
                <w:sz w:val="20"/>
                <w:szCs w:val="20"/>
                <w:color w:val="auto"/>
              </w:rPr>
            </w:pPr>
            <w:r>
              <w:rPr>
                <w:rFonts w:ascii="Arial" w:cs="Arial" w:eastAsia="Arial" w:hAnsi="Arial"/>
                <w:sz w:val="14"/>
                <w:szCs w:val="14"/>
                <w:color w:val="auto"/>
              </w:rPr>
              <w:t>B. Approximate number of holders at year-end</w:t>
            </w:r>
          </w:p>
        </w:tc>
        <w:tc>
          <w:tcPr>
            <w:tcW w:w="2660" w:type="dxa"/>
            <w:vAlign w:val="bottom"/>
          </w:tcPr>
          <w:p>
            <w:pPr>
              <w:jc w:val="right"/>
              <w:ind w:right="728"/>
              <w:spacing w:after="0"/>
              <w:rPr>
                <w:sz w:val="20"/>
                <w:szCs w:val="20"/>
                <w:color w:val="auto"/>
              </w:rPr>
            </w:pPr>
            <w:r>
              <w:rPr>
                <w:rFonts w:ascii="Arial" w:cs="Arial" w:eastAsia="Arial" w:hAnsi="Arial"/>
                <w:sz w:val="14"/>
                <w:szCs w:val="14"/>
                <w:color w:val="auto"/>
              </w:rPr>
              <w:t>20</w:t>
            </w:r>
          </w:p>
        </w:tc>
      </w:tr>
      <w:tr>
        <w:trPr>
          <w:trHeight w:val="307"/>
        </w:trPr>
        <w:tc>
          <w:tcPr>
            <w:tcW w:w="1720" w:type="dxa"/>
            <w:vAlign w:val="bottom"/>
            <w:gridSpan w:val="2"/>
          </w:tcPr>
          <w:p>
            <w:pPr>
              <w:ind w:left="680"/>
              <w:spacing w:after="0"/>
              <w:rPr>
                <w:sz w:val="20"/>
                <w:szCs w:val="20"/>
                <w:color w:val="auto"/>
              </w:rPr>
            </w:pPr>
            <w:r>
              <w:rPr>
                <w:rFonts w:ascii="Arial" w:cs="Arial" w:eastAsia="Arial" w:hAnsi="Arial"/>
                <w:sz w:val="12"/>
                <w:szCs w:val="12"/>
                <w:color w:val="auto"/>
              </w:rPr>
              <w:t>2</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10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940" w:type="dxa"/>
            <w:vAlign w:val="bottom"/>
            <w:tcBorders>
              <w:bottom w:val="single" w:sz="8" w:color="808080"/>
            </w:tcBorders>
          </w:tcPr>
          <w:p>
            <w:pPr>
              <w:spacing w:after="0"/>
              <w:rPr>
                <w:sz w:val="14"/>
                <w:szCs w:val="14"/>
                <w:color w:val="auto"/>
              </w:rPr>
            </w:pPr>
          </w:p>
        </w:tc>
        <w:tc>
          <w:tcPr>
            <w:tcW w:w="12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c>
          <w:tcPr>
            <w:tcW w:w="26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600" w:type="dxa"/>
            <w:vAlign w:val="bottom"/>
          </w:tcPr>
          <w:p>
            <w:pPr>
              <w:jc w:val="right"/>
              <w:ind w:right="469"/>
              <w:spacing w:after="0"/>
              <w:rPr>
                <w:sz w:val="20"/>
                <w:szCs w:val="20"/>
                <w:color w:val="auto"/>
              </w:rPr>
            </w:pPr>
            <w:r>
              <w:rPr>
                <w:rFonts w:ascii="Arial" w:cs="Arial" w:eastAsia="Arial" w:hAnsi="Arial"/>
                <w:sz w:val="10"/>
                <w:szCs w:val="10"/>
                <w:b w:val="1"/>
                <w:bCs w:val="1"/>
                <w:color w:val="auto"/>
              </w:rPr>
              <w:t>Form 10-K</w:t>
            </w:r>
          </w:p>
        </w:tc>
      </w:tr>
      <w:tr>
        <w:trPr>
          <w:trHeight w:val="125"/>
        </w:trPr>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600" w:type="dxa"/>
            <w:vAlign w:val="bottom"/>
            <w:tcBorders>
              <w:bottom w:val="single" w:sz="8" w:color="auto"/>
            </w:tcBorders>
          </w:tcPr>
          <w:p>
            <w:pPr>
              <w:jc w:val="right"/>
              <w:ind w:right="609"/>
              <w:spacing w:after="0"/>
              <w:rPr>
                <w:sz w:val="20"/>
                <w:szCs w:val="20"/>
                <w:color w:val="auto"/>
              </w:rPr>
            </w:pPr>
            <w:r>
              <w:rPr>
                <w:rFonts w:ascii="Arial" w:cs="Arial" w:eastAsia="Arial" w:hAnsi="Arial"/>
                <w:sz w:val="10"/>
                <w:szCs w:val="10"/>
                <w:b w:val="1"/>
                <w:bCs w:val="1"/>
                <w:color w:val="auto"/>
              </w:rPr>
              <w:t>Page</w:t>
            </w:r>
          </w:p>
        </w:tc>
      </w:tr>
      <w:tr>
        <w:trPr>
          <w:trHeight w:val="184"/>
        </w:trPr>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320" w:type="dxa"/>
            <w:vAlign w:val="bottom"/>
            <w:gridSpan w:val="18"/>
          </w:tcPr>
          <w:p>
            <w:pPr>
              <w:ind w:left="440"/>
              <w:spacing w:after="0"/>
              <w:rPr>
                <w:sz w:val="20"/>
                <w:szCs w:val="20"/>
                <w:color w:val="auto"/>
              </w:rPr>
            </w:pPr>
            <w:r>
              <w:rPr>
                <w:rFonts w:ascii="Arial" w:cs="Arial" w:eastAsia="Arial" w:hAnsi="Arial"/>
                <w:sz w:val="14"/>
                <w:szCs w:val="14"/>
                <w:color w:val="auto"/>
              </w:rPr>
              <w:t>C. Frequency and amount of dividends declared</w:t>
            </w:r>
          </w:p>
        </w:tc>
        <w:tc>
          <w:tcPr>
            <w:tcW w:w="1600" w:type="dxa"/>
            <w:vAlign w:val="bottom"/>
          </w:tcPr>
          <w:p>
            <w:pPr>
              <w:jc w:val="right"/>
              <w:spacing w:after="0"/>
              <w:rPr>
                <w:sz w:val="20"/>
                <w:szCs w:val="20"/>
                <w:color w:val="auto"/>
              </w:rPr>
            </w:pPr>
            <w:r>
              <w:rPr>
                <w:rFonts w:ascii="Arial" w:cs="Arial" w:eastAsia="Arial" w:hAnsi="Arial"/>
                <w:sz w:val="14"/>
                <w:szCs w:val="14"/>
                <w:color w:val="auto"/>
              </w:rPr>
              <w:t>21-22, 75, 84</w:t>
            </w:r>
          </w:p>
        </w:tc>
      </w:tr>
      <w:tr>
        <w:trPr>
          <w:trHeight w:val="167"/>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20" w:type="dxa"/>
            <w:vAlign w:val="bottom"/>
            <w:gridSpan w:val="18"/>
          </w:tcPr>
          <w:p>
            <w:pPr>
              <w:ind w:left="440"/>
              <w:spacing w:after="0"/>
              <w:rPr>
                <w:sz w:val="20"/>
                <w:szCs w:val="20"/>
                <w:color w:val="auto"/>
              </w:rPr>
            </w:pPr>
            <w:r>
              <w:rPr>
                <w:rFonts w:ascii="Arial" w:cs="Arial" w:eastAsia="Arial" w:hAnsi="Arial"/>
                <w:sz w:val="14"/>
                <w:szCs w:val="14"/>
                <w:color w:val="auto"/>
              </w:rPr>
              <w:t>D. Restrictions on dividends</w:t>
            </w:r>
          </w:p>
        </w:tc>
        <w:tc>
          <w:tcPr>
            <w:tcW w:w="1600" w:type="dxa"/>
            <w:vAlign w:val="bottom"/>
          </w:tcPr>
          <w:p>
            <w:pPr>
              <w:jc w:val="right"/>
              <w:spacing w:after="0"/>
              <w:rPr>
                <w:sz w:val="20"/>
                <w:szCs w:val="20"/>
                <w:color w:val="auto"/>
              </w:rPr>
            </w:pPr>
            <w:r>
              <w:rPr>
                <w:rFonts w:ascii="Arial" w:cs="Arial" w:eastAsia="Arial" w:hAnsi="Arial"/>
                <w:sz w:val="14"/>
                <w:szCs w:val="14"/>
                <w:color w:val="auto"/>
              </w:rPr>
              <w:t>6, 14-17, 102, 125, 127</w:t>
            </w:r>
          </w:p>
        </w:tc>
      </w:tr>
      <w:tr>
        <w:trPr>
          <w:trHeight w:val="167"/>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20" w:type="dxa"/>
            <w:vAlign w:val="bottom"/>
            <w:gridSpan w:val="18"/>
          </w:tcPr>
          <w:p>
            <w:pPr>
              <w:ind w:left="440"/>
              <w:spacing w:after="0"/>
              <w:rPr>
                <w:sz w:val="20"/>
                <w:szCs w:val="20"/>
                <w:color w:val="auto"/>
              </w:rPr>
            </w:pPr>
            <w:r>
              <w:rPr>
                <w:rFonts w:ascii="Arial" w:cs="Arial" w:eastAsia="Arial" w:hAnsi="Arial"/>
                <w:sz w:val="14"/>
                <w:szCs w:val="14"/>
                <w:color w:val="auto"/>
              </w:rPr>
              <w:t>E. Securities authorized for issuance under equity compensation plans</w:t>
            </w:r>
          </w:p>
        </w:tc>
        <w:tc>
          <w:tcPr>
            <w:tcW w:w="1600" w:type="dxa"/>
            <w:vAlign w:val="bottom"/>
          </w:tcPr>
          <w:p>
            <w:pPr>
              <w:jc w:val="right"/>
              <w:spacing w:after="0"/>
              <w:rPr>
                <w:sz w:val="20"/>
                <w:szCs w:val="20"/>
                <w:color w:val="auto"/>
              </w:rPr>
            </w:pPr>
            <w:r>
              <w:rPr>
                <w:rFonts w:ascii="Arial" w:cs="Arial" w:eastAsia="Arial" w:hAnsi="Arial"/>
                <w:sz w:val="14"/>
                <w:szCs w:val="14"/>
                <w:color w:val="auto"/>
              </w:rPr>
              <w:t>27-28</w:t>
            </w:r>
          </w:p>
        </w:tc>
      </w:tr>
      <w:tr>
        <w:trPr>
          <w:trHeight w:val="167"/>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20" w:type="dxa"/>
            <w:vAlign w:val="bottom"/>
            <w:gridSpan w:val="18"/>
          </w:tcPr>
          <w:p>
            <w:pPr>
              <w:ind w:left="440"/>
              <w:spacing w:after="0"/>
              <w:rPr>
                <w:sz w:val="20"/>
                <w:szCs w:val="20"/>
                <w:color w:val="auto"/>
              </w:rPr>
            </w:pPr>
            <w:r>
              <w:rPr>
                <w:rFonts w:ascii="Arial" w:cs="Arial" w:eastAsia="Arial" w:hAnsi="Arial"/>
                <w:sz w:val="14"/>
                <w:szCs w:val="14"/>
                <w:color w:val="auto"/>
              </w:rPr>
              <w:t>F. Performance graph</w:t>
            </w:r>
          </w:p>
        </w:tc>
        <w:tc>
          <w:tcPr>
            <w:tcW w:w="160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167"/>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20" w:type="dxa"/>
            <w:vAlign w:val="bottom"/>
            <w:gridSpan w:val="18"/>
          </w:tcPr>
          <w:p>
            <w:pPr>
              <w:ind w:left="440"/>
              <w:spacing w:after="0"/>
              <w:rPr>
                <w:sz w:val="20"/>
                <w:szCs w:val="20"/>
                <w:color w:val="auto"/>
              </w:rPr>
            </w:pPr>
            <w:r>
              <w:rPr>
                <w:rFonts w:ascii="Arial" w:cs="Arial" w:eastAsia="Arial" w:hAnsi="Arial"/>
                <w:sz w:val="14"/>
                <w:szCs w:val="14"/>
                <w:color w:val="auto"/>
              </w:rPr>
              <w:t>G. Repurchases of common stock</w:t>
            </w:r>
          </w:p>
        </w:tc>
        <w:tc>
          <w:tcPr>
            <w:tcW w:w="1600" w:type="dxa"/>
            <w:vAlign w:val="bottom"/>
          </w:tcPr>
          <w:p>
            <w:pPr>
              <w:jc w:val="right"/>
              <w:spacing w:after="0"/>
              <w:rPr>
                <w:sz w:val="20"/>
                <w:szCs w:val="20"/>
                <w:color w:val="auto"/>
              </w:rPr>
            </w:pPr>
            <w:r>
              <w:rPr>
                <w:rFonts w:ascii="Arial" w:cs="Arial" w:eastAsia="Arial" w:hAnsi="Arial"/>
                <w:sz w:val="14"/>
                <w:szCs w:val="14"/>
                <w:color w:val="auto"/>
              </w:rPr>
              <w:t>28-29</w:t>
            </w:r>
          </w:p>
        </w:tc>
      </w:tr>
      <w:tr>
        <w:trPr>
          <w:trHeight w:val="150"/>
        </w:trPr>
        <w:tc>
          <w:tcPr>
            <w:tcW w:w="8380" w:type="dxa"/>
            <w:vAlign w:val="bottom"/>
            <w:gridSpan w:val="20"/>
          </w:tcPr>
          <w:p>
            <w:pPr>
              <w:spacing w:after="0" w:line="150" w:lineRule="exact"/>
              <w:rPr>
                <w:rFonts w:ascii="Arial" w:cs="Arial" w:eastAsia="Arial" w:hAnsi="Arial"/>
                <w:sz w:val="14"/>
                <w:szCs w:val="14"/>
                <w:color w:val="0000EE"/>
              </w:rPr>
            </w:pPr>
            <w:hyperlink w:anchor="page30">
              <w:r>
                <w:rPr>
                  <w:rFonts w:ascii="Arial" w:cs="Arial" w:eastAsia="Arial" w:hAnsi="Arial"/>
                  <w:sz w:val="14"/>
                  <w:szCs w:val="14"/>
                  <w:color w:val="0000EE"/>
                </w:rPr>
                <w:t>Item 6. Selected Financial Data</w:t>
              </w:r>
            </w:hyperlink>
          </w:p>
        </w:tc>
        <w:tc>
          <w:tcPr>
            <w:tcW w:w="1600" w:type="dxa"/>
            <w:vAlign w:val="bottom"/>
          </w:tcPr>
          <w:p>
            <w:pPr>
              <w:jc w:val="right"/>
              <w:spacing w:after="0" w:line="150" w:lineRule="exact"/>
              <w:rPr>
                <w:sz w:val="20"/>
                <w:szCs w:val="20"/>
                <w:color w:val="auto"/>
              </w:rPr>
            </w:pPr>
            <w:r>
              <w:rPr>
                <w:rFonts w:ascii="Arial" w:cs="Arial" w:eastAsia="Arial" w:hAnsi="Arial"/>
                <w:sz w:val="14"/>
                <w:szCs w:val="14"/>
                <w:color w:val="auto"/>
              </w:rPr>
              <w:t>29</w:t>
            </w:r>
          </w:p>
        </w:tc>
      </w:tr>
      <w:tr>
        <w:trPr>
          <w:trHeight w:val="20"/>
        </w:trPr>
        <w:tc>
          <w:tcPr>
            <w:tcW w:w="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64"/>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20" w:type="dxa"/>
            <w:vAlign w:val="bottom"/>
            <w:gridSpan w:val="18"/>
          </w:tcPr>
          <w:p>
            <w:pPr>
              <w:ind w:left="440"/>
              <w:spacing w:after="0"/>
              <w:rPr>
                <w:sz w:val="20"/>
                <w:szCs w:val="20"/>
                <w:color w:val="auto"/>
              </w:rPr>
            </w:pPr>
            <w:r>
              <w:rPr>
                <w:rFonts w:ascii="Arial" w:cs="Arial" w:eastAsia="Arial" w:hAnsi="Arial"/>
                <w:sz w:val="14"/>
                <w:szCs w:val="14"/>
                <w:color w:val="auto"/>
              </w:rPr>
              <w:t>A. Selected consolidated year-end balances</w:t>
            </w:r>
          </w:p>
        </w:tc>
        <w:tc>
          <w:tcPr>
            <w:tcW w:w="160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167"/>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20" w:type="dxa"/>
            <w:vAlign w:val="bottom"/>
            <w:gridSpan w:val="18"/>
          </w:tcPr>
          <w:p>
            <w:pPr>
              <w:ind w:left="440"/>
              <w:spacing w:after="0"/>
              <w:rPr>
                <w:sz w:val="20"/>
                <w:szCs w:val="20"/>
                <w:color w:val="auto"/>
              </w:rPr>
            </w:pPr>
            <w:r>
              <w:rPr>
                <w:rFonts w:ascii="Arial" w:cs="Arial" w:eastAsia="Arial" w:hAnsi="Arial"/>
                <w:sz w:val="14"/>
                <w:szCs w:val="14"/>
                <w:color w:val="auto"/>
              </w:rPr>
              <w:t>B. Consolidated earnings, etc</w:t>
            </w:r>
          </w:p>
        </w:tc>
        <w:tc>
          <w:tcPr>
            <w:tcW w:w="1600" w:type="dxa"/>
            <w:vAlign w:val="bottom"/>
          </w:tcPr>
          <w:p>
            <w:pPr>
              <w:jc w:val="right"/>
              <w:spacing w:after="0"/>
              <w:rPr>
                <w:sz w:val="20"/>
                <w:szCs w:val="20"/>
                <w:color w:val="auto"/>
              </w:rPr>
            </w:pPr>
            <w:r>
              <w:rPr>
                <w:rFonts w:ascii="Arial" w:cs="Arial" w:eastAsia="Arial" w:hAnsi="Arial"/>
                <w:sz w:val="14"/>
                <w:szCs w:val="14"/>
                <w:color w:val="auto"/>
              </w:rPr>
              <w:t>21-22</w:t>
            </w:r>
          </w:p>
        </w:tc>
      </w:tr>
      <w:tr>
        <w:trPr>
          <w:trHeight w:val="150"/>
        </w:trPr>
        <w:tc>
          <w:tcPr>
            <w:tcW w:w="5660" w:type="dxa"/>
            <w:vAlign w:val="bottom"/>
            <w:tcBorders>
              <w:bottom w:val="single" w:sz="8" w:color="0000EE"/>
            </w:tcBorders>
            <w:gridSpan w:val="17"/>
          </w:tcPr>
          <w:p>
            <w:pPr>
              <w:spacing w:after="0" w:line="150" w:lineRule="exact"/>
              <w:rPr>
                <w:rFonts w:ascii="Arial" w:cs="Arial" w:eastAsia="Arial" w:hAnsi="Arial"/>
                <w:sz w:val="14"/>
                <w:szCs w:val="14"/>
                <w:color w:val="0000EE"/>
                <w:w w:val="94"/>
              </w:rPr>
            </w:pPr>
            <w:hyperlink w:anchor="page30">
              <w:r>
                <w:rPr>
                  <w:rFonts w:ascii="Arial" w:cs="Arial" w:eastAsia="Arial" w:hAnsi="Arial"/>
                  <w:sz w:val="14"/>
                  <w:szCs w:val="14"/>
                  <w:color w:val="0000EE"/>
                  <w:w w:val="94"/>
                </w:rPr>
                <w:t>Item 7. Management’s Discussion and Analysis of Financial Condition and Results of Operations</w:t>
              </w:r>
            </w:hyperlink>
          </w:p>
        </w:tc>
        <w:tc>
          <w:tcPr>
            <w:tcW w:w="2720" w:type="dxa"/>
            <w:vAlign w:val="bottom"/>
            <w:gridSpan w:val="3"/>
          </w:tcPr>
          <w:p>
            <w:pPr>
              <w:spacing w:after="0"/>
              <w:rPr>
                <w:sz w:val="13"/>
                <w:szCs w:val="13"/>
                <w:color w:val="auto"/>
              </w:rPr>
            </w:pPr>
          </w:p>
        </w:tc>
        <w:tc>
          <w:tcPr>
            <w:tcW w:w="1600" w:type="dxa"/>
            <w:vAlign w:val="bottom"/>
          </w:tcPr>
          <w:p>
            <w:pPr>
              <w:jc w:val="right"/>
              <w:spacing w:after="0" w:line="150" w:lineRule="exact"/>
              <w:rPr>
                <w:sz w:val="20"/>
                <w:szCs w:val="20"/>
                <w:color w:val="auto"/>
              </w:rPr>
            </w:pPr>
            <w:r>
              <w:rPr>
                <w:rFonts w:ascii="Arial" w:cs="Arial" w:eastAsia="Arial" w:hAnsi="Arial"/>
                <w:sz w:val="14"/>
                <w:szCs w:val="14"/>
                <w:color w:val="auto"/>
              </w:rPr>
              <w:t>29-76</w:t>
            </w:r>
          </w:p>
        </w:tc>
      </w:tr>
      <w:tr>
        <w:trPr>
          <w:trHeight w:val="147"/>
        </w:trPr>
        <w:tc>
          <w:tcPr>
            <w:tcW w:w="8380" w:type="dxa"/>
            <w:vAlign w:val="bottom"/>
            <w:gridSpan w:val="20"/>
          </w:tcPr>
          <w:p>
            <w:pPr>
              <w:spacing w:after="0" w:line="147" w:lineRule="exact"/>
              <w:rPr>
                <w:rFonts w:ascii="Arial" w:cs="Arial" w:eastAsia="Arial" w:hAnsi="Arial"/>
                <w:sz w:val="14"/>
                <w:szCs w:val="14"/>
                <w:color w:val="0000EE"/>
              </w:rPr>
            </w:pPr>
            <w:hyperlink w:anchor="page78">
              <w:r>
                <w:rPr>
                  <w:rFonts w:ascii="Arial" w:cs="Arial" w:eastAsia="Arial" w:hAnsi="Arial"/>
                  <w:sz w:val="14"/>
                  <w:szCs w:val="14"/>
                  <w:color w:val="0000EE"/>
                </w:rPr>
                <w:t>Item 7A. Quantitative and Qualitative Disclosures About Market Risk</w:t>
              </w:r>
            </w:hyperlink>
          </w:p>
        </w:tc>
        <w:tc>
          <w:tcPr>
            <w:tcW w:w="1600" w:type="dxa"/>
            <w:vAlign w:val="bottom"/>
          </w:tcPr>
          <w:p>
            <w:pPr>
              <w:jc w:val="right"/>
              <w:spacing w:after="0" w:line="147" w:lineRule="exact"/>
              <w:rPr>
                <w:sz w:val="20"/>
                <w:szCs w:val="20"/>
                <w:color w:val="auto"/>
              </w:rPr>
            </w:pPr>
            <w:r>
              <w:rPr>
                <w:rFonts w:ascii="Arial" w:cs="Arial" w:eastAsia="Arial" w:hAnsi="Arial"/>
                <w:sz w:val="14"/>
                <w:szCs w:val="14"/>
                <w:color w:val="auto"/>
              </w:rPr>
              <w:t>77</w:t>
            </w:r>
          </w:p>
        </w:tc>
      </w:tr>
      <w:tr>
        <w:trPr>
          <w:trHeight w:val="147"/>
        </w:trPr>
        <w:tc>
          <w:tcPr>
            <w:tcW w:w="3120" w:type="dxa"/>
            <w:vAlign w:val="bottom"/>
            <w:tcBorders>
              <w:top w:val="single" w:sz="8" w:color="0000EE"/>
              <w:bottom w:val="single" w:sz="8" w:color="0000EE"/>
            </w:tcBorders>
            <w:gridSpan w:val="9"/>
          </w:tcPr>
          <w:p>
            <w:pPr>
              <w:spacing w:after="0" w:line="147" w:lineRule="exact"/>
              <w:rPr>
                <w:rFonts w:ascii="Arial" w:cs="Arial" w:eastAsia="Arial" w:hAnsi="Arial"/>
                <w:sz w:val="14"/>
                <w:szCs w:val="14"/>
                <w:color w:val="0000EE"/>
                <w:w w:val="92"/>
              </w:rPr>
            </w:pPr>
            <w:hyperlink w:anchor="page78">
              <w:r>
                <w:rPr>
                  <w:rFonts w:ascii="Arial" w:cs="Arial" w:eastAsia="Arial" w:hAnsi="Arial"/>
                  <w:sz w:val="14"/>
                  <w:szCs w:val="14"/>
                  <w:color w:val="0000EE"/>
                  <w:w w:val="92"/>
                </w:rPr>
                <w:t>Item 8. Financial Statements and Supplementary Data</w:t>
              </w:r>
            </w:hyperlink>
          </w:p>
        </w:tc>
        <w:tc>
          <w:tcPr>
            <w:tcW w:w="920" w:type="dxa"/>
            <w:vAlign w:val="bottom"/>
            <w:tcBorders>
              <w:top w:val="single" w:sz="8" w:color="0000EE"/>
            </w:tcBorders>
            <w:gridSpan w:val="2"/>
          </w:tcPr>
          <w:p>
            <w:pPr>
              <w:spacing w:after="0"/>
              <w:rPr>
                <w:sz w:val="12"/>
                <w:szCs w:val="12"/>
                <w:color w:val="auto"/>
              </w:rPr>
            </w:pPr>
          </w:p>
        </w:tc>
        <w:tc>
          <w:tcPr>
            <w:tcW w:w="4340" w:type="dxa"/>
            <w:vAlign w:val="bottom"/>
            <w:gridSpan w:val="9"/>
          </w:tcPr>
          <w:p>
            <w:pPr>
              <w:spacing w:after="0"/>
              <w:rPr>
                <w:sz w:val="12"/>
                <w:szCs w:val="12"/>
                <w:color w:val="auto"/>
              </w:rPr>
            </w:pPr>
          </w:p>
        </w:tc>
        <w:tc>
          <w:tcPr>
            <w:tcW w:w="1600" w:type="dxa"/>
            <w:vAlign w:val="bottom"/>
          </w:tcPr>
          <w:p>
            <w:pPr>
              <w:jc w:val="right"/>
              <w:spacing w:after="0" w:line="147" w:lineRule="exact"/>
              <w:rPr>
                <w:sz w:val="20"/>
                <w:szCs w:val="20"/>
                <w:color w:val="auto"/>
              </w:rPr>
            </w:pPr>
            <w:r>
              <w:rPr>
                <w:rFonts w:ascii="Arial" w:cs="Arial" w:eastAsia="Arial" w:hAnsi="Arial"/>
                <w:sz w:val="14"/>
                <w:szCs w:val="14"/>
                <w:color w:val="auto"/>
              </w:rPr>
              <w:t>77</w:t>
            </w:r>
          </w:p>
        </w:tc>
      </w:tr>
      <w:tr>
        <w:trPr>
          <w:trHeight w:val="164"/>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20" w:type="dxa"/>
            <w:vAlign w:val="bottom"/>
            <w:gridSpan w:val="18"/>
          </w:tcPr>
          <w:p>
            <w:pPr>
              <w:ind w:left="440"/>
              <w:spacing w:after="0"/>
              <w:rPr>
                <w:sz w:val="20"/>
                <w:szCs w:val="20"/>
                <w:color w:val="auto"/>
              </w:rPr>
            </w:pPr>
            <w:r>
              <w:rPr>
                <w:rFonts w:ascii="Arial" w:cs="Arial" w:eastAsia="Arial" w:hAnsi="Arial"/>
                <w:sz w:val="14"/>
                <w:szCs w:val="14"/>
                <w:color w:val="auto"/>
              </w:rPr>
              <w:t>A. Report on Internal Control Over Financial Reporting</w:t>
            </w:r>
          </w:p>
        </w:tc>
        <w:tc>
          <w:tcPr>
            <w:tcW w:w="1600" w:type="dxa"/>
            <w:vAlign w:val="bottom"/>
          </w:tcPr>
          <w:p>
            <w:pPr>
              <w:jc w:val="right"/>
              <w:spacing w:after="0"/>
              <w:rPr>
                <w:sz w:val="20"/>
                <w:szCs w:val="20"/>
                <w:color w:val="auto"/>
              </w:rPr>
            </w:pPr>
            <w:r>
              <w:rPr>
                <w:rFonts w:ascii="Arial" w:cs="Arial" w:eastAsia="Arial" w:hAnsi="Arial"/>
                <w:sz w:val="14"/>
                <w:szCs w:val="14"/>
                <w:color w:val="auto"/>
              </w:rPr>
              <w:t>78</w:t>
            </w:r>
          </w:p>
        </w:tc>
      </w:tr>
      <w:tr>
        <w:trPr>
          <w:trHeight w:val="167"/>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20" w:type="dxa"/>
            <w:vAlign w:val="bottom"/>
            <w:gridSpan w:val="18"/>
          </w:tcPr>
          <w:p>
            <w:pPr>
              <w:ind w:left="440"/>
              <w:spacing w:after="0"/>
              <w:rPr>
                <w:sz w:val="20"/>
                <w:szCs w:val="20"/>
                <w:color w:val="auto"/>
              </w:rPr>
            </w:pPr>
            <w:r>
              <w:rPr>
                <w:rFonts w:ascii="Arial" w:cs="Arial" w:eastAsia="Arial" w:hAnsi="Arial"/>
                <w:sz w:val="14"/>
                <w:szCs w:val="14"/>
                <w:color w:val="auto"/>
              </w:rPr>
              <w:t>B. Report of Independent Registered Public Accounting Firm</w:t>
            </w:r>
          </w:p>
        </w:tc>
        <w:tc>
          <w:tcPr>
            <w:tcW w:w="1600" w:type="dxa"/>
            <w:vAlign w:val="bottom"/>
          </w:tcPr>
          <w:p>
            <w:pPr>
              <w:jc w:val="right"/>
              <w:spacing w:after="0"/>
              <w:rPr>
                <w:sz w:val="20"/>
                <w:szCs w:val="20"/>
                <w:color w:val="auto"/>
              </w:rPr>
            </w:pPr>
            <w:r>
              <w:rPr>
                <w:rFonts w:ascii="Arial" w:cs="Arial" w:eastAsia="Arial" w:hAnsi="Arial"/>
                <w:sz w:val="14"/>
                <w:szCs w:val="14"/>
                <w:color w:val="auto"/>
              </w:rPr>
              <w:t>79-80</w:t>
            </w:r>
          </w:p>
        </w:tc>
      </w:tr>
      <w:tr>
        <w:trPr>
          <w:trHeight w:val="167"/>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20" w:type="dxa"/>
            <w:vAlign w:val="bottom"/>
            <w:gridSpan w:val="18"/>
          </w:tcPr>
          <w:p>
            <w:pPr>
              <w:ind w:left="440"/>
              <w:spacing w:after="0"/>
              <w:rPr>
                <w:sz w:val="20"/>
                <w:szCs w:val="20"/>
                <w:color w:val="auto"/>
              </w:rPr>
            </w:pPr>
            <w:r>
              <w:rPr>
                <w:rFonts w:ascii="Arial" w:cs="Arial" w:eastAsia="Arial" w:hAnsi="Arial"/>
                <w:sz w:val="14"/>
                <w:szCs w:val="14"/>
                <w:color w:val="auto"/>
              </w:rPr>
              <w:t>C. Consolidated Balance Sheet — December 31, 2006 and 2005</w:t>
            </w:r>
          </w:p>
        </w:tc>
        <w:tc>
          <w:tcPr>
            <w:tcW w:w="1600" w:type="dxa"/>
            <w:vAlign w:val="bottom"/>
          </w:tcPr>
          <w:p>
            <w:pPr>
              <w:jc w:val="right"/>
              <w:spacing w:after="0"/>
              <w:rPr>
                <w:sz w:val="20"/>
                <w:szCs w:val="20"/>
                <w:color w:val="auto"/>
              </w:rPr>
            </w:pPr>
            <w:r>
              <w:rPr>
                <w:rFonts w:ascii="Arial" w:cs="Arial" w:eastAsia="Arial" w:hAnsi="Arial"/>
                <w:sz w:val="14"/>
                <w:szCs w:val="14"/>
                <w:color w:val="auto"/>
              </w:rPr>
              <w:t>81</w:t>
            </w:r>
          </w:p>
        </w:tc>
      </w:tr>
      <w:tr>
        <w:trPr>
          <w:trHeight w:val="167"/>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20" w:type="dxa"/>
            <w:vAlign w:val="bottom"/>
            <w:gridSpan w:val="18"/>
          </w:tcPr>
          <w:p>
            <w:pPr>
              <w:ind w:left="440"/>
              <w:spacing w:after="0"/>
              <w:rPr>
                <w:sz w:val="20"/>
                <w:szCs w:val="20"/>
                <w:color w:val="auto"/>
              </w:rPr>
            </w:pPr>
            <w:r>
              <w:rPr>
                <w:rFonts w:ascii="Arial" w:cs="Arial" w:eastAsia="Arial" w:hAnsi="Arial"/>
                <w:sz w:val="14"/>
                <w:szCs w:val="14"/>
                <w:color w:val="auto"/>
              </w:rPr>
              <w:t>D. Consolidated Statement of Income — Years ended December 31, 2006, 2005 and 2004</w:t>
            </w:r>
          </w:p>
        </w:tc>
        <w:tc>
          <w:tcPr>
            <w:tcW w:w="1600" w:type="dxa"/>
            <w:vAlign w:val="bottom"/>
          </w:tcPr>
          <w:p>
            <w:pPr>
              <w:jc w:val="right"/>
              <w:spacing w:after="0"/>
              <w:rPr>
                <w:sz w:val="20"/>
                <w:szCs w:val="20"/>
                <w:color w:val="auto"/>
              </w:rPr>
            </w:pPr>
            <w:r>
              <w:rPr>
                <w:rFonts w:ascii="Arial" w:cs="Arial" w:eastAsia="Arial" w:hAnsi="Arial"/>
                <w:sz w:val="14"/>
                <w:szCs w:val="14"/>
                <w:color w:val="auto"/>
              </w:rPr>
              <w:t>82</w:t>
            </w:r>
          </w:p>
        </w:tc>
      </w:tr>
      <w:tr>
        <w:trPr>
          <w:trHeight w:val="167"/>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20" w:type="dxa"/>
            <w:vAlign w:val="bottom"/>
            <w:gridSpan w:val="18"/>
          </w:tcPr>
          <w:p>
            <w:pPr>
              <w:ind w:left="440"/>
              <w:spacing w:after="0"/>
              <w:rPr>
                <w:sz w:val="20"/>
                <w:szCs w:val="20"/>
                <w:color w:val="auto"/>
              </w:rPr>
            </w:pPr>
            <w:r>
              <w:rPr>
                <w:rFonts w:ascii="Arial" w:cs="Arial" w:eastAsia="Arial" w:hAnsi="Arial"/>
                <w:sz w:val="14"/>
                <w:szCs w:val="14"/>
                <w:color w:val="auto"/>
              </w:rPr>
              <w:t>E. Consolidated Statement of Cash Flows — Years ended December 31, 2006, 2005 and 2004</w:t>
            </w:r>
          </w:p>
        </w:tc>
        <w:tc>
          <w:tcPr>
            <w:tcW w:w="160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167"/>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20" w:type="dxa"/>
            <w:vAlign w:val="bottom"/>
            <w:gridSpan w:val="18"/>
          </w:tcPr>
          <w:p>
            <w:pPr>
              <w:ind w:left="440"/>
              <w:spacing w:after="0"/>
              <w:rPr>
                <w:sz w:val="20"/>
                <w:szCs w:val="20"/>
                <w:color w:val="auto"/>
              </w:rPr>
            </w:pPr>
            <w:r>
              <w:rPr>
                <w:rFonts w:ascii="Arial" w:cs="Arial" w:eastAsia="Arial" w:hAnsi="Arial"/>
                <w:sz w:val="14"/>
                <w:szCs w:val="14"/>
                <w:color w:val="auto"/>
                <w:w w:val="95"/>
              </w:rPr>
              <w:t>F. Consolidated Statement of Changes in Stockholders’ Equity — Years ended December 31, 2006, 2005 and 2004</w:t>
            </w:r>
          </w:p>
        </w:tc>
        <w:tc>
          <w:tcPr>
            <w:tcW w:w="160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167"/>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20" w:type="dxa"/>
            <w:vAlign w:val="bottom"/>
            <w:gridSpan w:val="18"/>
          </w:tcPr>
          <w:p>
            <w:pPr>
              <w:ind w:left="440"/>
              <w:spacing w:after="0"/>
              <w:rPr>
                <w:sz w:val="20"/>
                <w:szCs w:val="20"/>
                <w:color w:val="auto"/>
              </w:rPr>
            </w:pPr>
            <w:r>
              <w:rPr>
                <w:rFonts w:ascii="Arial" w:cs="Arial" w:eastAsia="Arial" w:hAnsi="Arial"/>
                <w:sz w:val="14"/>
                <w:szCs w:val="14"/>
                <w:color w:val="auto"/>
              </w:rPr>
              <w:t>G. Notes to Financial Statements</w:t>
            </w:r>
          </w:p>
        </w:tc>
        <w:tc>
          <w:tcPr>
            <w:tcW w:w="1600" w:type="dxa"/>
            <w:vAlign w:val="bottom"/>
          </w:tcPr>
          <w:p>
            <w:pPr>
              <w:jc w:val="right"/>
              <w:spacing w:after="0"/>
              <w:rPr>
                <w:sz w:val="20"/>
                <w:szCs w:val="20"/>
                <w:color w:val="auto"/>
              </w:rPr>
            </w:pPr>
            <w:r>
              <w:rPr>
                <w:rFonts w:ascii="Arial" w:cs="Arial" w:eastAsia="Arial" w:hAnsi="Arial"/>
                <w:sz w:val="14"/>
                <w:szCs w:val="14"/>
                <w:color w:val="auto"/>
              </w:rPr>
              <w:t>85-130</w:t>
            </w:r>
          </w:p>
        </w:tc>
      </w:tr>
      <w:tr>
        <w:trPr>
          <w:trHeight w:val="167"/>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20" w:type="dxa"/>
            <w:vAlign w:val="bottom"/>
            <w:gridSpan w:val="18"/>
          </w:tcPr>
          <w:p>
            <w:pPr>
              <w:ind w:left="440"/>
              <w:spacing w:after="0"/>
              <w:rPr>
                <w:sz w:val="20"/>
                <w:szCs w:val="20"/>
                <w:color w:val="auto"/>
              </w:rPr>
            </w:pPr>
            <w:r>
              <w:rPr>
                <w:rFonts w:ascii="Arial" w:cs="Arial" w:eastAsia="Arial" w:hAnsi="Arial"/>
                <w:sz w:val="14"/>
                <w:szCs w:val="14"/>
                <w:color w:val="auto"/>
              </w:rPr>
              <w:t>H. Quarterly Trends</w:t>
            </w:r>
          </w:p>
        </w:tc>
        <w:tc>
          <w:tcPr>
            <w:tcW w:w="160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150"/>
        </w:trPr>
        <w:tc>
          <w:tcPr>
            <w:tcW w:w="5680" w:type="dxa"/>
            <w:vAlign w:val="bottom"/>
            <w:tcBorders>
              <w:bottom w:val="single" w:sz="8" w:color="0000EE"/>
            </w:tcBorders>
            <w:gridSpan w:val="18"/>
          </w:tcPr>
          <w:p>
            <w:pPr>
              <w:spacing w:after="0" w:line="150" w:lineRule="exact"/>
              <w:rPr>
                <w:rFonts w:ascii="Arial" w:cs="Arial" w:eastAsia="Arial" w:hAnsi="Arial"/>
                <w:sz w:val="14"/>
                <w:szCs w:val="14"/>
                <w:color w:val="0000EE"/>
                <w:w w:val="94"/>
              </w:rPr>
            </w:pPr>
            <w:hyperlink w:anchor="page132">
              <w:r>
                <w:rPr>
                  <w:rFonts w:ascii="Arial" w:cs="Arial" w:eastAsia="Arial" w:hAnsi="Arial"/>
                  <w:sz w:val="14"/>
                  <w:szCs w:val="14"/>
                  <w:color w:val="0000EE"/>
                  <w:w w:val="94"/>
                </w:rPr>
                <w:t>Item 9. Changes in and Disagreements with Accountants on Accounting and Financial Disclosure</w:t>
              </w:r>
            </w:hyperlink>
          </w:p>
        </w:tc>
        <w:tc>
          <w:tcPr>
            <w:tcW w:w="2700" w:type="dxa"/>
            <w:vAlign w:val="bottom"/>
            <w:gridSpan w:val="2"/>
          </w:tcPr>
          <w:p>
            <w:pPr>
              <w:spacing w:after="0"/>
              <w:rPr>
                <w:sz w:val="13"/>
                <w:szCs w:val="13"/>
                <w:color w:val="auto"/>
              </w:rPr>
            </w:pPr>
          </w:p>
        </w:tc>
        <w:tc>
          <w:tcPr>
            <w:tcW w:w="1600" w:type="dxa"/>
            <w:vAlign w:val="bottom"/>
          </w:tcPr>
          <w:p>
            <w:pPr>
              <w:jc w:val="right"/>
              <w:spacing w:after="0" w:line="150" w:lineRule="exact"/>
              <w:rPr>
                <w:sz w:val="20"/>
                <w:szCs w:val="20"/>
                <w:color w:val="auto"/>
              </w:rPr>
            </w:pPr>
            <w:r>
              <w:rPr>
                <w:rFonts w:ascii="Arial" w:cs="Arial" w:eastAsia="Arial" w:hAnsi="Arial"/>
                <w:sz w:val="14"/>
                <w:szCs w:val="14"/>
                <w:color w:val="auto"/>
              </w:rPr>
              <w:t>131</w:t>
            </w:r>
          </w:p>
        </w:tc>
      </w:tr>
      <w:tr>
        <w:trPr>
          <w:trHeight w:val="147"/>
        </w:trPr>
        <w:tc>
          <w:tcPr>
            <w:tcW w:w="1980" w:type="dxa"/>
            <w:vAlign w:val="bottom"/>
            <w:tcBorders>
              <w:bottom w:val="single" w:sz="8" w:color="0000EE"/>
            </w:tcBorders>
            <w:gridSpan w:val="6"/>
          </w:tcPr>
          <w:p>
            <w:pPr>
              <w:spacing w:after="0" w:line="147" w:lineRule="exact"/>
              <w:rPr>
                <w:rFonts w:ascii="Arial" w:cs="Arial" w:eastAsia="Arial" w:hAnsi="Arial"/>
                <w:sz w:val="14"/>
                <w:szCs w:val="14"/>
                <w:color w:val="0000EE"/>
                <w:w w:val="92"/>
              </w:rPr>
            </w:pPr>
            <w:hyperlink w:anchor="page132">
              <w:r>
                <w:rPr>
                  <w:rFonts w:ascii="Arial" w:cs="Arial" w:eastAsia="Arial" w:hAnsi="Arial"/>
                  <w:sz w:val="14"/>
                  <w:szCs w:val="14"/>
                  <w:color w:val="0000EE"/>
                  <w:w w:val="92"/>
                </w:rPr>
                <w:t>Item 9A. Controls and Procedures</w:t>
              </w:r>
            </w:hyperlink>
          </w:p>
        </w:tc>
        <w:tc>
          <w:tcPr>
            <w:tcW w:w="6400" w:type="dxa"/>
            <w:vAlign w:val="bottom"/>
            <w:gridSpan w:val="14"/>
          </w:tcPr>
          <w:p>
            <w:pPr>
              <w:spacing w:after="0"/>
              <w:rPr>
                <w:sz w:val="12"/>
                <w:szCs w:val="12"/>
                <w:color w:val="auto"/>
              </w:rPr>
            </w:pPr>
          </w:p>
        </w:tc>
        <w:tc>
          <w:tcPr>
            <w:tcW w:w="1600" w:type="dxa"/>
            <w:vAlign w:val="bottom"/>
          </w:tcPr>
          <w:p>
            <w:pPr>
              <w:jc w:val="right"/>
              <w:spacing w:after="0" w:line="147" w:lineRule="exact"/>
              <w:rPr>
                <w:sz w:val="20"/>
                <w:szCs w:val="20"/>
                <w:color w:val="auto"/>
              </w:rPr>
            </w:pPr>
            <w:r>
              <w:rPr>
                <w:rFonts w:ascii="Arial" w:cs="Arial" w:eastAsia="Arial" w:hAnsi="Arial"/>
                <w:sz w:val="14"/>
                <w:szCs w:val="14"/>
                <w:color w:val="auto"/>
              </w:rPr>
              <w:t>131</w:t>
            </w:r>
          </w:p>
        </w:tc>
      </w:tr>
      <w:tr>
        <w:trPr>
          <w:trHeight w:val="164"/>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20" w:type="dxa"/>
            <w:vAlign w:val="bottom"/>
            <w:gridSpan w:val="18"/>
          </w:tcPr>
          <w:p>
            <w:pPr>
              <w:ind w:left="440"/>
              <w:spacing w:after="0"/>
              <w:rPr>
                <w:sz w:val="20"/>
                <w:szCs w:val="20"/>
                <w:color w:val="auto"/>
              </w:rPr>
            </w:pPr>
            <w:r>
              <w:rPr>
                <w:rFonts w:ascii="Arial" w:cs="Arial" w:eastAsia="Arial" w:hAnsi="Arial"/>
                <w:sz w:val="14"/>
                <w:szCs w:val="14"/>
                <w:color w:val="auto"/>
              </w:rPr>
              <w:t>A. Conclusions of principal executive officer and principal financial officer regarding disclosure controls and</w:t>
            </w:r>
          </w:p>
        </w:tc>
        <w:tc>
          <w:tcPr>
            <w:tcW w:w="160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780" w:type="dxa"/>
            <w:vAlign w:val="bottom"/>
            <w:gridSpan w:val="17"/>
          </w:tcPr>
          <w:p>
            <w:pPr>
              <w:ind w:left="80"/>
              <w:spacing w:after="0"/>
              <w:rPr>
                <w:sz w:val="20"/>
                <w:szCs w:val="20"/>
                <w:color w:val="auto"/>
              </w:rPr>
            </w:pPr>
            <w:r>
              <w:rPr>
                <w:rFonts w:ascii="Arial" w:cs="Arial" w:eastAsia="Arial" w:hAnsi="Arial"/>
                <w:sz w:val="14"/>
                <w:szCs w:val="14"/>
                <w:color w:val="auto"/>
              </w:rPr>
              <w:t>procedures</w:t>
            </w:r>
          </w:p>
        </w:tc>
        <w:tc>
          <w:tcPr>
            <w:tcW w:w="1600" w:type="dxa"/>
            <w:vAlign w:val="bottom"/>
          </w:tcPr>
          <w:p>
            <w:pPr>
              <w:jc w:val="right"/>
              <w:spacing w:after="0"/>
              <w:rPr>
                <w:sz w:val="20"/>
                <w:szCs w:val="20"/>
                <w:color w:val="auto"/>
              </w:rPr>
            </w:pPr>
            <w:r>
              <w:rPr>
                <w:rFonts w:ascii="Arial" w:cs="Arial" w:eastAsia="Arial" w:hAnsi="Arial"/>
                <w:sz w:val="14"/>
                <w:szCs w:val="14"/>
                <w:color w:val="auto"/>
              </w:rPr>
              <w:t>131</w:t>
            </w:r>
          </w:p>
        </w:tc>
      </w:tr>
      <w:tr>
        <w:trPr>
          <w:trHeight w:val="167"/>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20" w:type="dxa"/>
            <w:vAlign w:val="bottom"/>
            <w:gridSpan w:val="18"/>
          </w:tcPr>
          <w:p>
            <w:pPr>
              <w:ind w:left="440"/>
              <w:spacing w:after="0"/>
              <w:rPr>
                <w:sz w:val="20"/>
                <w:szCs w:val="20"/>
                <w:color w:val="auto"/>
              </w:rPr>
            </w:pPr>
            <w:r>
              <w:rPr>
                <w:rFonts w:ascii="Arial" w:cs="Arial" w:eastAsia="Arial" w:hAnsi="Arial"/>
                <w:sz w:val="14"/>
                <w:szCs w:val="14"/>
                <w:color w:val="auto"/>
              </w:rPr>
              <w:t>B. Management’s annual report on internal control over financial reporting</w:t>
            </w:r>
          </w:p>
        </w:tc>
        <w:tc>
          <w:tcPr>
            <w:tcW w:w="1600" w:type="dxa"/>
            <w:vAlign w:val="bottom"/>
          </w:tcPr>
          <w:p>
            <w:pPr>
              <w:jc w:val="right"/>
              <w:spacing w:after="0"/>
              <w:rPr>
                <w:sz w:val="20"/>
                <w:szCs w:val="20"/>
                <w:color w:val="auto"/>
              </w:rPr>
            </w:pPr>
            <w:r>
              <w:rPr>
                <w:rFonts w:ascii="Arial" w:cs="Arial" w:eastAsia="Arial" w:hAnsi="Arial"/>
                <w:sz w:val="14"/>
                <w:szCs w:val="14"/>
                <w:color w:val="auto"/>
              </w:rPr>
              <w:t>131</w:t>
            </w:r>
          </w:p>
        </w:tc>
      </w:tr>
      <w:tr>
        <w:trPr>
          <w:trHeight w:val="167"/>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20" w:type="dxa"/>
            <w:vAlign w:val="bottom"/>
            <w:gridSpan w:val="18"/>
          </w:tcPr>
          <w:p>
            <w:pPr>
              <w:ind w:left="440"/>
              <w:spacing w:after="0"/>
              <w:rPr>
                <w:sz w:val="20"/>
                <w:szCs w:val="20"/>
                <w:color w:val="auto"/>
              </w:rPr>
            </w:pPr>
            <w:r>
              <w:rPr>
                <w:rFonts w:ascii="Arial" w:cs="Arial" w:eastAsia="Arial" w:hAnsi="Arial"/>
                <w:sz w:val="14"/>
                <w:szCs w:val="14"/>
                <w:color w:val="auto"/>
              </w:rPr>
              <w:t>C. Attestation report of the registered public accounting firm</w:t>
            </w:r>
          </w:p>
        </w:tc>
        <w:tc>
          <w:tcPr>
            <w:tcW w:w="1600" w:type="dxa"/>
            <w:vAlign w:val="bottom"/>
          </w:tcPr>
          <w:p>
            <w:pPr>
              <w:jc w:val="right"/>
              <w:spacing w:after="0"/>
              <w:rPr>
                <w:sz w:val="20"/>
                <w:szCs w:val="20"/>
                <w:color w:val="auto"/>
              </w:rPr>
            </w:pPr>
            <w:r>
              <w:rPr>
                <w:rFonts w:ascii="Arial" w:cs="Arial" w:eastAsia="Arial" w:hAnsi="Arial"/>
                <w:sz w:val="14"/>
                <w:szCs w:val="14"/>
                <w:color w:val="auto"/>
              </w:rPr>
              <w:t>131</w:t>
            </w:r>
          </w:p>
        </w:tc>
      </w:tr>
      <w:tr>
        <w:trPr>
          <w:trHeight w:val="167"/>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20" w:type="dxa"/>
            <w:vAlign w:val="bottom"/>
            <w:gridSpan w:val="18"/>
          </w:tcPr>
          <w:p>
            <w:pPr>
              <w:ind w:left="440"/>
              <w:spacing w:after="0"/>
              <w:rPr>
                <w:sz w:val="20"/>
                <w:szCs w:val="20"/>
                <w:color w:val="auto"/>
              </w:rPr>
            </w:pPr>
            <w:r>
              <w:rPr>
                <w:rFonts w:ascii="Arial" w:cs="Arial" w:eastAsia="Arial" w:hAnsi="Arial"/>
                <w:sz w:val="14"/>
                <w:szCs w:val="14"/>
                <w:color w:val="auto"/>
              </w:rPr>
              <w:t>D. Changes in internal control over financial reporting</w:t>
            </w:r>
          </w:p>
        </w:tc>
        <w:tc>
          <w:tcPr>
            <w:tcW w:w="1600" w:type="dxa"/>
            <w:vAlign w:val="bottom"/>
          </w:tcPr>
          <w:p>
            <w:pPr>
              <w:jc w:val="right"/>
              <w:spacing w:after="0"/>
              <w:rPr>
                <w:sz w:val="20"/>
                <w:szCs w:val="20"/>
                <w:color w:val="auto"/>
              </w:rPr>
            </w:pPr>
            <w:r>
              <w:rPr>
                <w:rFonts w:ascii="Arial" w:cs="Arial" w:eastAsia="Arial" w:hAnsi="Arial"/>
                <w:sz w:val="14"/>
                <w:szCs w:val="14"/>
                <w:color w:val="auto"/>
              </w:rPr>
              <w:t>131</w:t>
            </w:r>
          </w:p>
        </w:tc>
      </w:tr>
      <w:tr>
        <w:trPr>
          <w:trHeight w:val="150"/>
        </w:trPr>
        <w:tc>
          <w:tcPr>
            <w:tcW w:w="8380" w:type="dxa"/>
            <w:vAlign w:val="bottom"/>
            <w:gridSpan w:val="20"/>
          </w:tcPr>
          <w:p>
            <w:pPr>
              <w:spacing w:after="0" w:line="150" w:lineRule="exact"/>
              <w:rPr>
                <w:rFonts w:ascii="Arial" w:cs="Arial" w:eastAsia="Arial" w:hAnsi="Arial"/>
                <w:sz w:val="14"/>
                <w:szCs w:val="14"/>
                <w:color w:val="0000EE"/>
              </w:rPr>
            </w:pPr>
            <w:hyperlink w:anchor="page132">
              <w:r>
                <w:rPr>
                  <w:rFonts w:ascii="Arial" w:cs="Arial" w:eastAsia="Arial" w:hAnsi="Arial"/>
                  <w:sz w:val="14"/>
                  <w:szCs w:val="14"/>
                  <w:color w:val="0000EE"/>
                </w:rPr>
                <w:t>Item 9B. Other Information</w:t>
              </w:r>
            </w:hyperlink>
          </w:p>
        </w:tc>
        <w:tc>
          <w:tcPr>
            <w:tcW w:w="1600" w:type="dxa"/>
            <w:vAlign w:val="bottom"/>
          </w:tcPr>
          <w:p>
            <w:pPr>
              <w:jc w:val="right"/>
              <w:spacing w:after="0" w:line="150" w:lineRule="exact"/>
              <w:rPr>
                <w:sz w:val="20"/>
                <w:szCs w:val="20"/>
                <w:color w:val="auto"/>
              </w:rPr>
            </w:pPr>
            <w:r>
              <w:rPr>
                <w:rFonts w:ascii="Arial" w:cs="Arial" w:eastAsia="Arial" w:hAnsi="Arial"/>
                <w:sz w:val="14"/>
                <w:szCs w:val="14"/>
                <w:color w:val="auto"/>
              </w:rPr>
              <w:t>131</w:t>
            </w:r>
          </w:p>
        </w:tc>
      </w:tr>
      <w:tr>
        <w:trPr>
          <w:trHeight w:val="265"/>
        </w:trPr>
        <w:tc>
          <w:tcPr>
            <w:tcW w:w="88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0" w:type="dxa"/>
            <w:vAlign w:val="bottom"/>
            <w:tcBorders>
              <w:bottom w:val="single" w:sz="8" w:color="0000EE"/>
            </w:tcBorders>
            <w:gridSpan w:val="4"/>
          </w:tcPr>
          <w:p>
            <w:pPr>
              <w:spacing w:after="0"/>
              <w:rPr>
                <w:rFonts w:ascii="Arial" w:cs="Arial" w:eastAsia="Arial" w:hAnsi="Arial"/>
                <w:sz w:val="14"/>
                <w:szCs w:val="14"/>
                <w:b w:val="1"/>
                <w:bCs w:val="1"/>
                <w:color w:val="0000EE"/>
              </w:rPr>
            </w:pPr>
            <w:hyperlink w:anchor="page132">
              <w:r>
                <w:rPr>
                  <w:rFonts w:ascii="Arial" w:cs="Arial" w:eastAsia="Arial" w:hAnsi="Arial"/>
                  <w:sz w:val="14"/>
                  <w:szCs w:val="14"/>
                  <w:b w:val="1"/>
                  <w:bCs w:val="1"/>
                  <w:color w:val="0000EE"/>
                </w:rPr>
                <w:t>PART III</w:t>
              </w:r>
            </w:hyperlink>
          </w:p>
        </w:tc>
        <w:tc>
          <w:tcPr>
            <w:tcW w:w="3080" w:type="dxa"/>
            <w:vAlign w:val="bottom"/>
            <w:gridSpan w:val="4"/>
          </w:tcPr>
          <w:p>
            <w:pPr>
              <w:spacing w:after="0"/>
              <w:rPr>
                <w:sz w:val="23"/>
                <w:szCs w:val="23"/>
                <w:color w:val="auto"/>
              </w:rPr>
            </w:pPr>
          </w:p>
        </w:tc>
        <w:tc>
          <w:tcPr>
            <w:tcW w:w="1600" w:type="dxa"/>
            <w:vAlign w:val="bottom"/>
          </w:tcPr>
          <w:p>
            <w:pPr>
              <w:spacing w:after="0"/>
              <w:rPr>
                <w:sz w:val="23"/>
                <w:szCs w:val="23"/>
                <w:color w:val="auto"/>
              </w:rPr>
            </w:pPr>
          </w:p>
        </w:tc>
      </w:tr>
      <w:tr>
        <w:trPr>
          <w:trHeight w:val="147"/>
        </w:trPr>
        <w:tc>
          <w:tcPr>
            <w:tcW w:w="8380" w:type="dxa"/>
            <w:vAlign w:val="bottom"/>
            <w:gridSpan w:val="20"/>
          </w:tcPr>
          <w:p>
            <w:pPr>
              <w:spacing w:after="0" w:line="147" w:lineRule="exact"/>
              <w:rPr>
                <w:rFonts w:ascii="Arial" w:cs="Arial" w:eastAsia="Arial" w:hAnsi="Arial"/>
                <w:sz w:val="14"/>
                <w:szCs w:val="14"/>
                <w:color w:val="0000EE"/>
              </w:rPr>
            </w:pPr>
            <w:hyperlink w:anchor="page132">
              <w:r>
                <w:rPr>
                  <w:rFonts w:ascii="Arial" w:cs="Arial" w:eastAsia="Arial" w:hAnsi="Arial"/>
                  <w:sz w:val="14"/>
                  <w:szCs w:val="14"/>
                  <w:color w:val="0000EE"/>
                </w:rPr>
                <w:t>Item 10. Directors, Executive Officers and Corporate Governance</w:t>
              </w:r>
            </w:hyperlink>
          </w:p>
        </w:tc>
        <w:tc>
          <w:tcPr>
            <w:tcW w:w="1600" w:type="dxa"/>
            <w:vAlign w:val="bottom"/>
          </w:tcPr>
          <w:p>
            <w:pPr>
              <w:jc w:val="right"/>
              <w:spacing w:after="0" w:line="147" w:lineRule="exact"/>
              <w:rPr>
                <w:sz w:val="20"/>
                <w:szCs w:val="20"/>
                <w:color w:val="auto"/>
              </w:rPr>
            </w:pPr>
            <w:r>
              <w:rPr>
                <w:rFonts w:ascii="Arial" w:cs="Arial" w:eastAsia="Arial" w:hAnsi="Arial"/>
                <w:sz w:val="14"/>
                <w:szCs w:val="14"/>
                <w:color w:val="auto"/>
              </w:rPr>
              <w:t>131</w:t>
            </w:r>
          </w:p>
        </w:tc>
      </w:tr>
      <w:tr>
        <w:trPr>
          <w:trHeight w:val="147"/>
        </w:trPr>
        <w:tc>
          <w:tcPr>
            <w:tcW w:w="3800" w:type="dxa"/>
            <w:vAlign w:val="bottom"/>
            <w:tcBorders>
              <w:top w:val="single" w:sz="8" w:color="0000EE"/>
            </w:tcBorders>
            <w:gridSpan w:val="10"/>
          </w:tcPr>
          <w:p>
            <w:pPr>
              <w:spacing w:after="0" w:line="147" w:lineRule="exact"/>
              <w:rPr>
                <w:rFonts w:ascii="Arial" w:cs="Arial" w:eastAsia="Arial" w:hAnsi="Arial"/>
                <w:sz w:val="14"/>
                <w:szCs w:val="14"/>
                <w:color w:val="0000EE"/>
              </w:rPr>
            </w:pPr>
            <w:hyperlink w:anchor="page133">
              <w:r>
                <w:rPr>
                  <w:rFonts w:ascii="Arial" w:cs="Arial" w:eastAsia="Arial" w:hAnsi="Arial"/>
                  <w:sz w:val="14"/>
                  <w:szCs w:val="14"/>
                  <w:color w:val="0000EE"/>
                </w:rPr>
                <w:t>Item 11. Executive Compensation</w:t>
              </w:r>
            </w:hyperlink>
          </w:p>
        </w:tc>
        <w:tc>
          <w:tcPr>
            <w:tcW w:w="4580" w:type="dxa"/>
            <w:vAlign w:val="bottom"/>
            <w:gridSpan w:val="10"/>
          </w:tcPr>
          <w:p>
            <w:pPr>
              <w:spacing w:after="0"/>
              <w:rPr>
                <w:sz w:val="12"/>
                <w:szCs w:val="12"/>
                <w:color w:val="auto"/>
              </w:rPr>
            </w:pPr>
          </w:p>
        </w:tc>
        <w:tc>
          <w:tcPr>
            <w:tcW w:w="1600" w:type="dxa"/>
            <w:vAlign w:val="bottom"/>
          </w:tcPr>
          <w:p>
            <w:pPr>
              <w:jc w:val="right"/>
              <w:spacing w:after="0" w:line="147" w:lineRule="exact"/>
              <w:rPr>
                <w:sz w:val="20"/>
                <w:szCs w:val="20"/>
                <w:color w:val="auto"/>
              </w:rPr>
            </w:pPr>
            <w:r>
              <w:rPr>
                <w:rFonts w:ascii="Arial" w:cs="Arial" w:eastAsia="Arial" w:hAnsi="Arial"/>
                <w:sz w:val="14"/>
                <w:szCs w:val="14"/>
                <w:color w:val="auto"/>
              </w:rPr>
              <w:t>132</w:t>
            </w:r>
          </w:p>
        </w:tc>
      </w:tr>
      <w:tr>
        <w:trPr>
          <w:trHeight w:val="20"/>
        </w:trPr>
        <w:tc>
          <w:tcPr>
            <w:tcW w:w="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47"/>
        </w:trPr>
        <w:tc>
          <w:tcPr>
            <w:tcW w:w="6400" w:type="dxa"/>
            <w:vAlign w:val="bottom"/>
            <w:tcBorders>
              <w:bottom w:val="single" w:sz="8" w:color="0000EE"/>
            </w:tcBorders>
            <w:gridSpan w:val="19"/>
          </w:tcPr>
          <w:p>
            <w:pPr>
              <w:spacing w:after="0" w:line="147" w:lineRule="exact"/>
              <w:rPr>
                <w:rFonts w:ascii="Arial" w:cs="Arial" w:eastAsia="Arial" w:hAnsi="Arial"/>
                <w:sz w:val="14"/>
                <w:szCs w:val="14"/>
                <w:color w:val="0000EE"/>
                <w:w w:val="94"/>
              </w:rPr>
            </w:pPr>
            <w:hyperlink w:anchor="page133">
              <w:r>
                <w:rPr>
                  <w:rFonts w:ascii="Arial" w:cs="Arial" w:eastAsia="Arial" w:hAnsi="Arial"/>
                  <w:sz w:val="14"/>
                  <w:szCs w:val="14"/>
                  <w:color w:val="0000EE"/>
                  <w:w w:val="94"/>
                </w:rPr>
                <w:t>Item 12. Security Ownership of Certain Beneficial Owners and Management and Related Stockholder Matters</w:t>
              </w:r>
            </w:hyperlink>
          </w:p>
        </w:tc>
        <w:tc>
          <w:tcPr>
            <w:tcW w:w="1980" w:type="dxa"/>
            <w:vAlign w:val="bottom"/>
          </w:tcPr>
          <w:p>
            <w:pPr>
              <w:spacing w:after="0"/>
              <w:rPr>
                <w:sz w:val="12"/>
                <w:szCs w:val="12"/>
                <w:color w:val="auto"/>
              </w:rPr>
            </w:pPr>
          </w:p>
        </w:tc>
        <w:tc>
          <w:tcPr>
            <w:tcW w:w="1600" w:type="dxa"/>
            <w:vAlign w:val="bottom"/>
          </w:tcPr>
          <w:p>
            <w:pPr>
              <w:jc w:val="right"/>
              <w:spacing w:after="0" w:line="147" w:lineRule="exact"/>
              <w:rPr>
                <w:sz w:val="20"/>
                <w:szCs w:val="20"/>
                <w:color w:val="auto"/>
              </w:rPr>
            </w:pPr>
            <w:r>
              <w:rPr>
                <w:rFonts w:ascii="Arial" w:cs="Arial" w:eastAsia="Arial" w:hAnsi="Arial"/>
                <w:sz w:val="14"/>
                <w:szCs w:val="14"/>
                <w:color w:val="auto"/>
              </w:rPr>
              <w:t>132</w:t>
            </w:r>
          </w:p>
        </w:tc>
      </w:tr>
      <w:tr>
        <w:trPr>
          <w:trHeight w:val="147"/>
        </w:trPr>
        <w:tc>
          <w:tcPr>
            <w:tcW w:w="8380" w:type="dxa"/>
            <w:vAlign w:val="bottom"/>
            <w:gridSpan w:val="20"/>
          </w:tcPr>
          <w:p>
            <w:pPr>
              <w:spacing w:after="0" w:line="147" w:lineRule="exact"/>
              <w:rPr>
                <w:rFonts w:ascii="Arial" w:cs="Arial" w:eastAsia="Arial" w:hAnsi="Arial"/>
                <w:sz w:val="14"/>
                <w:szCs w:val="14"/>
                <w:color w:val="0000EE"/>
              </w:rPr>
            </w:pPr>
            <w:hyperlink w:anchor="page133">
              <w:r>
                <w:rPr>
                  <w:rFonts w:ascii="Arial" w:cs="Arial" w:eastAsia="Arial" w:hAnsi="Arial"/>
                  <w:sz w:val="14"/>
                  <w:szCs w:val="14"/>
                  <w:color w:val="0000EE"/>
                </w:rPr>
                <w:t>Item 13. Certain Relationships and Related Transactions, and Director Independence</w:t>
              </w:r>
            </w:hyperlink>
          </w:p>
        </w:tc>
        <w:tc>
          <w:tcPr>
            <w:tcW w:w="1600" w:type="dxa"/>
            <w:vAlign w:val="bottom"/>
          </w:tcPr>
          <w:p>
            <w:pPr>
              <w:jc w:val="right"/>
              <w:spacing w:after="0" w:line="147" w:lineRule="exact"/>
              <w:rPr>
                <w:sz w:val="20"/>
                <w:szCs w:val="20"/>
                <w:color w:val="auto"/>
              </w:rPr>
            </w:pPr>
            <w:r>
              <w:rPr>
                <w:rFonts w:ascii="Arial" w:cs="Arial" w:eastAsia="Arial" w:hAnsi="Arial"/>
                <w:sz w:val="14"/>
                <w:szCs w:val="14"/>
                <w:color w:val="auto"/>
              </w:rPr>
              <w:t>132</w:t>
            </w:r>
          </w:p>
        </w:tc>
      </w:tr>
      <w:tr>
        <w:trPr>
          <w:trHeight w:val="147"/>
        </w:trPr>
        <w:tc>
          <w:tcPr>
            <w:tcW w:w="4880" w:type="dxa"/>
            <w:vAlign w:val="bottom"/>
            <w:tcBorders>
              <w:top w:val="single" w:sz="8" w:color="0000EE"/>
            </w:tcBorders>
            <w:gridSpan w:val="14"/>
          </w:tcPr>
          <w:p>
            <w:pPr>
              <w:spacing w:after="0" w:line="147" w:lineRule="exact"/>
              <w:rPr>
                <w:rFonts w:ascii="Arial" w:cs="Arial" w:eastAsia="Arial" w:hAnsi="Arial"/>
                <w:sz w:val="14"/>
                <w:szCs w:val="14"/>
                <w:color w:val="0000EE"/>
              </w:rPr>
            </w:pPr>
            <w:hyperlink w:anchor="page133">
              <w:r>
                <w:rPr>
                  <w:rFonts w:ascii="Arial" w:cs="Arial" w:eastAsia="Arial" w:hAnsi="Arial"/>
                  <w:sz w:val="14"/>
                  <w:szCs w:val="14"/>
                  <w:color w:val="0000EE"/>
                </w:rPr>
                <w:t>Item 14. Principal Accountant Fees and Services</w:t>
              </w:r>
            </w:hyperlink>
          </w:p>
        </w:tc>
        <w:tc>
          <w:tcPr>
            <w:tcW w:w="3500" w:type="dxa"/>
            <w:vAlign w:val="bottom"/>
            <w:gridSpan w:val="6"/>
          </w:tcPr>
          <w:p>
            <w:pPr>
              <w:spacing w:after="0"/>
              <w:rPr>
                <w:sz w:val="12"/>
                <w:szCs w:val="12"/>
                <w:color w:val="auto"/>
              </w:rPr>
            </w:pPr>
          </w:p>
        </w:tc>
        <w:tc>
          <w:tcPr>
            <w:tcW w:w="1600" w:type="dxa"/>
            <w:vAlign w:val="bottom"/>
          </w:tcPr>
          <w:p>
            <w:pPr>
              <w:jc w:val="right"/>
              <w:spacing w:after="0" w:line="147" w:lineRule="exact"/>
              <w:rPr>
                <w:sz w:val="20"/>
                <w:szCs w:val="20"/>
                <w:color w:val="auto"/>
              </w:rPr>
            </w:pPr>
            <w:r>
              <w:rPr>
                <w:rFonts w:ascii="Arial" w:cs="Arial" w:eastAsia="Arial" w:hAnsi="Arial"/>
                <w:sz w:val="14"/>
                <w:szCs w:val="14"/>
                <w:color w:val="auto"/>
              </w:rPr>
              <w:t>132</w:t>
            </w:r>
          </w:p>
        </w:tc>
      </w:tr>
      <w:tr>
        <w:trPr>
          <w:trHeight w:val="265"/>
        </w:trPr>
        <w:tc>
          <w:tcPr>
            <w:tcW w:w="88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840" w:type="dxa"/>
            <w:vAlign w:val="bottom"/>
            <w:tcBorders>
              <w:top w:val="single" w:sz="8" w:color="0000EE"/>
            </w:tcBorders>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80" w:type="dxa"/>
            <w:vAlign w:val="bottom"/>
            <w:gridSpan w:val="8"/>
          </w:tcPr>
          <w:p>
            <w:pPr>
              <w:ind w:left="20"/>
              <w:spacing w:after="0"/>
              <w:rPr>
                <w:rFonts w:ascii="Arial" w:cs="Arial" w:eastAsia="Arial" w:hAnsi="Arial"/>
                <w:sz w:val="14"/>
                <w:szCs w:val="14"/>
                <w:b w:val="1"/>
                <w:bCs w:val="1"/>
                <w:color w:val="0000EE"/>
              </w:rPr>
            </w:pPr>
            <w:hyperlink w:anchor="page133">
              <w:r>
                <w:rPr>
                  <w:rFonts w:ascii="Arial" w:cs="Arial" w:eastAsia="Arial" w:hAnsi="Arial"/>
                  <w:sz w:val="14"/>
                  <w:szCs w:val="14"/>
                  <w:b w:val="1"/>
                  <w:bCs w:val="1"/>
                  <w:color w:val="0000EE"/>
                </w:rPr>
                <w:t>PART IV</w:t>
              </w:r>
            </w:hyperlink>
          </w:p>
        </w:tc>
        <w:tc>
          <w:tcPr>
            <w:tcW w:w="1600" w:type="dxa"/>
            <w:vAlign w:val="bottom"/>
          </w:tcPr>
          <w:p>
            <w:pPr>
              <w:spacing w:after="0"/>
              <w:rPr>
                <w:sz w:val="23"/>
                <w:szCs w:val="23"/>
                <w:color w:val="auto"/>
              </w:rPr>
            </w:pPr>
          </w:p>
        </w:tc>
      </w:tr>
      <w:tr>
        <w:trPr>
          <w:trHeight w:val="147"/>
        </w:trPr>
        <w:tc>
          <w:tcPr>
            <w:tcW w:w="3060" w:type="dxa"/>
            <w:vAlign w:val="bottom"/>
            <w:tcBorders>
              <w:bottom w:val="single" w:sz="8" w:color="0000EE"/>
            </w:tcBorders>
            <w:gridSpan w:val="8"/>
          </w:tcPr>
          <w:p>
            <w:pPr>
              <w:spacing w:after="0" w:line="147" w:lineRule="exact"/>
              <w:rPr>
                <w:rFonts w:ascii="Arial" w:cs="Arial" w:eastAsia="Arial" w:hAnsi="Arial"/>
                <w:sz w:val="14"/>
                <w:szCs w:val="14"/>
                <w:color w:val="0000EE"/>
                <w:w w:val="92"/>
              </w:rPr>
            </w:pPr>
            <w:hyperlink w:anchor="page133">
              <w:r>
                <w:rPr>
                  <w:rFonts w:ascii="Arial" w:cs="Arial" w:eastAsia="Arial" w:hAnsi="Arial"/>
                  <w:sz w:val="14"/>
                  <w:szCs w:val="14"/>
                  <w:color w:val="0000EE"/>
                  <w:w w:val="92"/>
                </w:rPr>
                <w:t>Item 15. Exhibits and Financial Statement Schedules</w:t>
              </w:r>
            </w:hyperlink>
          </w:p>
        </w:tc>
        <w:tc>
          <w:tcPr>
            <w:tcW w:w="1660" w:type="dxa"/>
            <w:vAlign w:val="bottom"/>
            <w:gridSpan w:val="5"/>
          </w:tcPr>
          <w:p>
            <w:pPr>
              <w:spacing w:after="0"/>
              <w:rPr>
                <w:sz w:val="12"/>
                <w:szCs w:val="12"/>
                <w:color w:val="auto"/>
              </w:rPr>
            </w:pPr>
          </w:p>
        </w:tc>
        <w:tc>
          <w:tcPr>
            <w:tcW w:w="560" w:type="dxa"/>
            <w:vAlign w:val="bottom"/>
            <w:tcBorders>
              <w:top w:val="single" w:sz="8" w:color="0000EE"/>
            </w:tcBorders>
            <w:gridSpan w:val="2"/>
          </w:tcPr>
          <w:p>
            <w:pPr>
              <w:spacing w:after="0"/>
              <w:rPr>
                <w:sz w:val="12"/>
                <w:szCs w:val="12"/>
                <w:color w:val="auto"/>
              </w:rPr>
            </w:pPr>
          </w:p>
        </w:tc>
        <w:tc>
          <w:tcPr>
            <w:tcW w:w="3100" w:type="dxa"/>
            <w:vAlign w:val="bottom"/>
            <w:gridSpan w:val="5"/>
          </w:tcPr>
          <w:p>
            <w:pPr>
              <w:spacing w:after="0"/>
              <w:rPr>
                <w:sz w:val="12"/>
                <w:szCs w:val="12"/>
                <w:color w:val="auto"/>
              </w:rPr>
            </w:pPr>
          </w:p>
        </w:tc>
        <w:tc>
          <w:tcPr>
            <w:tcW w:w="1600" w:type="dxa"/>
            <w:vAlign w:val="bottom"/>
          </w:tcPr>
          <w:p>
            <w:pPr>
              <w:jc w:val="right"/>
              <w:spacing w:after="0" w:line="147" w:lineRule="exact"/>
              <w:rPr>
                <w:sz w:val="20"/>
                <w:szCs w:val="20"/>
                <w:color w:val="auto"/>
              </w:rPr>
            </w:pPr>
            <w:r>
              <w:rPr>
                <w:rFonts w:ascii="Arial" w:cs="Arial" w:eastAsia="Arial" w:hAnsi="Arial"/>
                <w:sz w:val="14"/>
                <w:szCs w:val="14"/>
                <w:color w:val="auto"/>
              </w:rPr>
              <w:t>132</w:t>
            </w:r>
          </w:p>
        </w:tc>
      </w:tr>
      <w:tr>
        <w:trPr>
          <w:trHeight w:val="147"/>
        </w:trPr>
        <w:tc>
          <w:tcPr>
            <w:tcW w:w="8380" w:type="dxa"/>
            <w:vAlign w:val="bottom"/>
            <w:gridSpan w:val="20"/>
          </w:tcPr>
          <w:p>
            <w:pPr>
              <w:spacing w:after="0" w:line="147" w:lineRule="exact"/>
              <w:rPr>
                <w:rFonts w:ascii="Arial" w:cs="Arial" w:eastAsia="Arial" w:hAnsi="Arial"/>
                <w:sz w:val="14"/>
                <w:szCs w:val="14"/>
                <w:color w:val="0000EE"/>
              </w:rPr>
            </w:pPr>
            <w:hyperlink w:anchor="page134">
              <w:r>
                <w:rPr>
                  <w:rFonts w:ascii="Arial" w:cs="Arial" w:eastAsia="Arial" w:hAnsi="Arial"/>
                  <w:sz w:val="14"/>
                  <w:szCs w:val="14"/>
                  <w:color w:val="0000EE"/>
                </w:rPr>
                <w:t>SIGNATURES</w:t>
              </w:r>
            </w:hyperlink>
          </w:p>
        </w:tc>
        <w:tc>
          <w:tcPr>
            <w:tcW w:w="1600" w:type="dxa"/>
            <w:vAlign w:val="bottom"/>
          </w:tcPr>
          <w:p>
            <w:pPr>
              <w:jc w:val="right"/>
              <w:spacing w:after="0" w:line="147" w:lineRule="exact"/>
              <w:rPr>
                <w:sz w:val="20"/>
                <w:szCs w:val="20"/>
                <w:color w:val="auto"/>
              </w:rPr>
            </w:pPr>
            <w:r>
              <w:rPr>
                <w:rFonts w:ascii="Arial" w:cs="Arial" w:eastAsia="Arial" w:hAnsi="Arial"/>
                <w:sz w:val="14"/>
                <w:szCs w:val="14"/>
                <w:color w:val="auto"/>
              </w:rPr>
              <w:t>133-134</w:t>
            </w:r>
          </w:p>
        </w:tc>
      </w:tr>
      <w:tr>
        <w:trPr>
          <w:trHeight w:val="20"/>
        </w:trPr>
        <w:tc>
          <w:tcPr>
            <w:tcW w:w="8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320" w:type="dxa"/>
            <w:vAlign w:val="bottom"/>
            <w:gridSpan w:val="18"/>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47"/>
        </w:trPr>
        <w:tc>
          <w:tcPr>
            <w:tcW w:w="8380" w:type="dxa"/>
            <w:vAlign w:val="bottom"/>
            <w:gridSpan w:val="20"/>
          </w:tcPr>
          <w:p>
            <w:pPr>
              <w:spacing w:after="0" w:line="147" w:lineRule="exact"/>
              <w:rPr>
                <w:rFonts w:ascii="Arial" w:cs="Arial" w:eastAsia="Arial" w:hAnsi="Arial"/>
                <w:sz w:val="14"/>
                <w:szCs w:val="14"/>
                <w:color w:val="0000EE"/>
              </w:rPr>
            </w:pPr>
            <w:hyperlink w:anchor="page136">
              <w:r>
                <w:rPr>
                  <w:rFonts w:ascii="Arial" w:cs="Arial" w:eastAsia="Arial" w:hAnsi="Arial"/>
                  <w:sz w:val="14"/>
                  <w:szCs w:val="14"/>
                  <w:color w:val="0000EE"/>
                </w:rPr>
                <w:t>EXHIBIT INDEX</w:t>
              </w:r>
            </w:hyperlink>
          </w:p>
        </w:tc>
        <w:tc>
          <w:tcPr>
            <w:tcW w:w="1600" w:type="dxa"/>
            <w:vAlign w:val="bottom"/>
          </w:tcPr>
          <w:p>
            <w:pPr>
              <w:jc w:val="right"/>
              <w:spacing w:after="0" w:line="147" w:lineRule="exact"/>
              <w:rPr>
                <w:sz w:val="20"/>
                <w:szCs w:val="20"/>
                <w:color w:val="auto"/>
              </w:rPr>
            </w:pPr>
            <w:r>
              <w:rPr>
                <w:rFonts w:ascii="Arial" w:cs="Arial" w:eastAsia="Arial" w:hAnsi="Arial"/>
                <w:sz w:val="14"/>
                <w:szCs w:val="14"/>
                <w:color w:val="auto"/>
              </w:rPr>
              <w:t>135-139</w:t>
            </w:r>
          </w:p>
        </w:tc>
      </w:tr>
      <w:tr>
        <w:trPr>
          <w:trHeight w:val="20"/>
        </w:trPr>
        <w:tc>
          <w:tcPr>
            <w:tcW w:w="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4" w:lineRule="exact"/>
        <w:rPr>
          <w:sz w:val="20"/>
          <w:szCs w:val="20"/>
          <w:color w:val="auto"/>
        </w:rPr>
      </w:pPr>
    </w:p>
    <w:p>
      <w:pPr>
        <w:ind w:left="720"/>
        <w:spacing w:after="0"/>
        <w:rPr>
          <w:sz w:val="20"/>
          <w:szCs w:val="20"/>
          <w:color w:val="auto"/>
        </w:rPr>
      </w:pPr>
      <w:r>
        <w:rPr>
          <w:rFonts w:ascii="Arial" w:cs="Arial" w:eastAsia="Arial" w:hAnsi="Arial"/>
          <w:sz w:val="13"/>
          <w:szCs w:val="13"/>
          <w:u w:val="single" w:color="auto"/>
          <w:color w:val="0000EE"/>
        </w:rPr>
        <w:t>EX-23.1</w:t>
      </w:r>
    </w:p>
    <w:p>
      <w:pPr>
        <w:spacing w:after="0" w:line="12" w:lineRule="exact"/>
        <w:rPr>
          <w:sz w:val="20"/>
          <w:szCs w:val="20"/>
          <w:color w:val="auto"/>
        </w:rPr>
      </w:pPr>
    </w:p>
    <w:p>
      <w:pPr>
        <w:ind w:left="720"/>
        <w:spacing w:after="0"/>
        <w:rPr>
          <w:sz w:val="20"/>
          <w:szCs w:val="20"/>
          <w:color w:val="auto"/>
        </w:rPr>
      </w:pPr>
      <w:r>
        <w:rPr>
          <w:rFonts w:ascii="Arial" w:cs="Arial" w:eastAsia="Arial" w:hAnsi="Arial"/>
          <w:sz w:val="13"/>
          <w:szCs w:val="13"/>
          <w:u w:val="single" w:color="auto"/>
          <w:color w:val="0000EE"/>
        </w:rPr>
        <w:t>EX-31.1</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13"/>
          <w:szCs w:val="13"/>
          <w:u w:val="single" w:color="auto"/>
          <w:color w:val="0000EE"/>
        </w:rPr>
        <w:t>EX-31.2</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13"/>
          <w:szCs w:val="13"/>
          <w:u w:val="single" w:color="auto"/>
          <w:color w:val="0000EE"/>
        </w:rPr>
        <w:t>EX-32.1</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13"/>
          <w:szCs w:val="13"/>
          <w:u w:val="single" w:color="auto"/>
          <w:color w:val="0000EE"/>
        </w:rPr>
        <w:t>EX-32.2</w:t>
      </w:r>
    </w:p>
    <w:p>
      <w:pPr>
        <w:spacing w:after="0" w:line="163" w:lineRule="exact"/>
        <w:rPr>
          <w:sz w:val="20"/>
          <w:szCs w:val="20"/>
          <w:color w:val="auto"/>
        </w:rPr>
      </w:pPr>
    </w:p>
    <w:p>
      <w:pPr>
        <w:jc w:val="right"/>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5440"/>
        <w:spacing w:after="0"/>
        <w:rPr>
          <w:sz w:val="20"/>
          <w:szCs w:val="20"/>
          <w:color w:val="auto"/>
        </w:rPr>
      </w:pPr>
      <w:r>
        <w:rPr>
          <w:rFonts w:ascii="Arial" w:cs="Arial" w:eastAsia="Arial" w:hAnsi="Arial"/>
          <w:sz w:val="14"/>
          <w:szCs w:val="14"/>
          <w:b w:val="1"/>
          <w:bCs w:val="1"/>
          <w:color w:val="auto"/>
        </w:rPr>
        <w:t>PART I</w:t>
      </w:r>
    </w:p>
    <w:p>
      <w:pPr>
        <w:spacing w:after="0" w:line="17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1"/>
          <w:szCs w:val="11"/>
          <w:b w:val="1"/>
          <w:bCs w:val="1"/>
          <w:i w:val="1"/>
          <w:iCs w:val="1"/>
          <w:color w:val="auto"/>
        </w:rPr>
        <w:t>Business.</w:t>
      </w:r>
    </w:p>
    <w:p>
      <w:pPr>
        <w:spacing w:after="0" w:line="99" w:lineRule="exact"/>
        <w:rPr>
          <w:sz w:val="20"/>
          <w:szCs w:val="20"/>
          <w:color w:val="auto"/>
        </w:rPr>
      </w:pPr>
    </w:p>
    <w:p>
      <w:pPr>
        <w:ind w:left="680"/>
        <w:spacing w:after="0" w:line="252" w:lineRule="auto"/>
        <w:rPr>
          <w:sz w:val="20"/>
          <w:szCs w:val="20"/>
          <w:color w:val="auto"/>
        </w:rPr>
      </w:pPr>
      <w:r>
        <w:rPr>
          <w:rFonts w:ascii="Arial" w:cs="Arial" w:eastAsia="Arial" w:hAnsi="Arial"/>
          <w:sz w:val="14"/>
          <w:szCs w:val="14"/>
          <w:color w:val="auto"/>
        </w:rPr>
        <w:t>M</w:t>
      </w:r>
      <w:r>
        <w:rPr>
          <w:rFonts w:ascii="Arial" w:cs="Arial" w:eastAsia="Arial" w:hAnsi="Arial"/>
          <w:sz w:val="13"/>
          <w:szCs w:val="13"/>
          <w:color w:val="auto"/>
        </w:rPr>
        <w:t>&amp;</w:t>
      </w:r>
      <w:r>
        <w:rPr>
          <w:rFonts w:ascii="Arial" w:cs="Arial" w:eastAsia="Arial" w:hAnsi="Arial"/>
          <w:sz w:val="14"/>
          <w:szCs w:val="14"/>
          <w:color w:val="auto"/>
        </w:rPr>
        <w:t>T Bank Corporation (“Registrant” or “M</w:t>
      </w:r>
      <w:r>
        <w:rPr>
          <w:rFonts w:ascii="Arial" w:cs="Arial" w:eastAsia="Arial" w:hAnsi="Arial"/>
          <w:sz w:val="13"/>
          <w:szCs w:val="13"/>
          <w:color w:val="auto"/>
        </w:rPr>
        <w:t>&amp;</w:t>
      </w:r>
      <w:r>
        <w:rPr>
          <w:rFonts w:ascii="Arial" w:cs="Arial" w:eastAsia="Arial" w:hAnsi="Arial"/>
          <w:sz w:val="14"/>
          <w:szCs w:val="14"/>
          <w:color w:val="auto"/>
        </w:rPr>
        <w:t>T”) is a New York business corporation which is registered as a bank holding company under the Bank Holding Company Act of 1956, as amended (“BHCA”) and under Article III-A of the New York Banking Law (“Banking Law”). The principal executive offices of the Registrant are located at One M</w:t>
      </w:r>
      <w:r>
        <w:rPr>
          <w:rFonts w:ascii="Arial" w:cs="Arial" w:eastAsia="Arial" w:hAnsi="Arial"/>
          <w:sz w:val="13"/>
          <w:szCs w:val="13"/>
          <w:color w:val="auto"/>
        </w:rPr>
        <w:t>&amp;</w:t>
      </w:r>
      <w:r>
        <w:rPr>
          <w:rFonts w:ascii="Arial" w:cs="Arial" w:eastAsia="Arial" w:hAnsi="Arial"/>
          <w:sz w:val="14"/>
          <w:szCs w:val="14"/>
          <w:color w:val="auto"/>
        </w:rPr>
        <w:t>T Plaza, Buffalo, New York 14203. The Registrant was incorporated in November 1969. The Registrant and its direct and indirect subsidiaries are collectively referred to herein as the “Company.” As of December 31, 2006 the Company had consolidated total assets of $57.1 billion, deposits of $39.9 billion and stockholders’ equity of $6.3 billion. The Company had 11,904 full-time and 1,448 part-time employees as of December 31, 2006.</w:t>
      </w:r>
    </w:p>
    <w:p>
      <w:pPr>
        <w:spacing w:after="0" w:line="2" w:lineRule="exact"/>
        <w:rPr>
          <w:sz w:val="20"/>
          <w:szCs w:val="20"/>
          <w:color w:val="auto"/>
        </w:rPr>
      </w:pPr>
    </w:p>
    <w:p>
      <w:pPr>
        <w:ind w:left="680" w:right="280" w:firstLine="599"/>
        <w:spacing w:after="0" w:line="249" w:lineRule="auto"/>
        <w:rPr>
          <w:sz w:val="20"/>
          <w:szCs w:val="20"/>
          <w:color w:val="auto"/>
        </w:rPr>
      </w:pPr>
      <w:r>
        <w:rPr>
          <w:rFonts w:ascii="Arial" w:cs="Arial" w:eastAsia="Arial" w:hAnsi="Arial"/>
          <w:sz w:val="14"/>
          <w:szCs w:val="14"/>
          <w:color w:val="auto"/>
        </w:rPr>
        <w:t>At December 31, 2006, the Registrant had two wholly owned bank subsidiaries: M</w:t>
      </w:r>
      <w:r>
        <w:rPr>
          <w:rFonts w:ascii="Arial" w:cs="Arial" w:eastAsia="Arial" w:hAnsi="Arial"/>
          <w:sz w:val="13"/>
          <w:szCs w:val="13"/>
          <w:color w:val="auto"/>
        </w:rPr>
        <w:t>&amp;</w:t>
      </w:r>
      <w:r>
        <w:rPr>
          <w:rFonts w:ascii="Arial" w:cs="Arial" w:eastAsia="Arial" w:hAnsi="Arial"/>
          <w:sz w:val="14"/>
          <w:szCs w:val="14"/>
          <w:color w:val="auto"/>
        </w:rPr>
        <w:t>T Bank and M</w:t>
      </w:r>
      <w:r>
        <w:rPr>
          <w:rFonts w:ascii="Arial" w:cs="Arial" w:eastAsia="Arial" w:hAnsi="Arial"/>
          <w:sz w:val="13"/>
          <w:szCs w:val="13"/>
          <w:color w:val="auto"/>
        </w:rPr>
        <w:t>&amp;</w:t>
      </w:r>
      <w:r>
        <w:rPr>
          <w:rFonts w:ascii="Arial" w:cs="Arial" w:eastAsia="Arial" w:hAnsi="Arial"/>
          <w:sz w:val="14"/>
          <w:szCs w:val="14"/>
          <w:color w:val="auto"/>
        </w:rPr>
        <w:t>T Bank, National Association (“M</w:t>
      </w:r>
      <w:r>
        <w:rPr>
          <w:rFonts w:ascii="Arial" w:cs="Arial" w:eastAsia="Arial" w:hAnsi="Arial"/>
          <w:sz w:val="13"/>
          <w:szCs w:val="13"/>
          <w:color w:val="auto"/>
        </w:rPr>
        <w:t>&amp;</w:t>
      </w:r>
      <w:r>
        <w:rPr>
          <w:rFonts w:ascii="Arial" w:cs="Arial" w:eastAsia="Arial" w:hAnsi="Arial"/>
          <w:sz w:val="14"/>
          <w:szCs w:val="14"/>
          <w:color w:val="auto"/>
        </w:rPr>
        <w:t>T Bank, N.A.”). The banks collectively offer a wide range of commercial banking, trust and investment services to their customers. At December 31, 2006, M</w:t>
      </w:r>
      <w:r>
        <w:rPr>
          <w:rFonts w:ascii="Arial" w:cs="Arial" w:eastAsia="Arial" w:hAnsi="Arial"/>
          <w:sz w:val="13"/>
          <w:szCs w:val="13"/>
          <w:color w:val="auto"/>
        </w:rPr>
        <w:t>&amp;</w:t>
      </w:r>
      <w:r>
        <w:rPr>
          <w:rFonts w:ascii="Arial" w:cs="Arial" w:eastAsia="Arial" w:hAnsi="Arial"/>
          <w:sz w:val="14"/>
          <w:szCs w:val="14"/>
          <w:color w:val="auto"/>
        </w:rPr>
        <w:t>T Bank represented 99% of consolidated assets of the Company. M</w:t>
      </w:r>
      <w:r>
        <w:rPr>
          <w:rFonts w:ascii="Arial" w:cs="Arial" w:eastAsia="Arial" w:hAnsi="Arial"/>
          <w:sz w:val="13"/>
          <w:szCs w:val="13"/>
          <w:color w:val="auto"/>
        </w:rPr>
        <w:t>&amp;</w:t>
      </w:r>
      <w:r>
        <w:rPr>
          <w:rFonts w:ascii="Arial" w:cs="Arial" w:eastAsia="Arial" w:hAnsi="Arial"/>
          <w:sz w:val="14"/>
          <w:szCs w:val="14"/>
          <w:color w:val="auto"/>
        </w:rPr>
        <w:t>T Bank operates branch offices in New York, Maryland, Pennsylvania, Virginia, West Virginia, Delaware and the District of Columbia.</w:t>
      </w:r>
    </w:p>
    <w:p>
      <w:pPr>
        <w:ind w:left="680" w:right="300" w:firstLine="599"/>
        <w:spacing w:after="0" w:line="285" w:lineRule="auto"/>
        <w:rPr>
          <w:sz w:val="20"/>
          <w:szCs w:val="20"/>
          <w:color w:val="auto"/>
        </w:rPr>
      </w:pPr>
      <w:r>
        <w:rPr>
          <w:rFonts w:ascii="Arial" w:cs="Arial" w:eastAsia="Arial" w:hAnsi="Arial"/>
          <w:sz w:val="13"/>
          <w:szCs w:val="13"/>
          <w:color w:val="auto"/>
        </w:rPr>
        <w:t>The Company from time to time considers acquiring banks, thrift institutions, branch offices of banks or thrift institutions, or other businesses within markets currently served by the Company or in other locations that would complement the Company’s business or its geographic reach. The Company has pursued acquisition opportunities in the past, continues to review different opportunities, including the possibility of major acquisitions, and intends to continue this practice.</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Relationship With Allied Irish Banks, p.l.c.</w:t>
      </w:r>
    </w:p>
    <w:p>
      <w:pPr>
        <w:spacing w:after="0" w:line="22" w:lineRule="exact"/>
        <w:rPr>
          <w:sz w:val="20"/>
          <w:szCs w:val="20"/>
          <w:color w:val="auto"/>
        </w:rPr>
      </w:pPr>
    </w:p>
    <w:p>
      <w:pPr>
        <w:ind w:left="680" w:right="100"/>
        <w:spacing w:after="0" w:line="272" w:lineRule="auto"/>
        <w:rPr>
          <w:sz w:val="20"/>
          <w:szCs w:val="20"/>
          <w:color w:val="auto"/>
        </w:rPr>
      </w:pPr>
      <w:r>
        <w:rPr>
          <w:rFonts w:ascii="Arial" w:cs="Arial" w:eastAsia="Arial" w:hAnsi="Arial"/>
          <w:sz w:val="13"/>
          <w:szCs w:val="13"/>
          <w:color w:val="auto"/>
        </w:rPr>
        <w:t>On April 1, 2003, M</w:t>
      </w:r>
      <w:r>
        <w:rPr>
          <w:rFonts w:ascii="Arial" w:cs="Arial" w:eastAsia="Arial" w:hAnsi="Arial"/>
          <w:sz w:val="12"/>
          <w:szCs w:val="12"/>
          <w:color w:val="auto"/>
        </w:rPr>
        <w:t>&amp;</w:t>
      </w:r>
      <w:r>
        <w:rPr>
          <w:rFonts w:ascii="Arial" w:cs="Arial" w:eastAsia="Arial" w:hAnsi="Arial"/>
          <w:sz w:val="13"/>
          <w:szCs w:val="13"/>
          <w:color w:val="auto"/>
        </w:rPr>
        <w:t>T completed the acquisition of Allfirst Financial Inc. (“Allfirst”), a bank holding company headquartered in Baltimore, Maryland from Allied Irish Banks, p.l.c. (“AIB”). Under the terms of the Agreement and Plan of Reorganization dated September 26, 2002 by and among AIB, Allfirst and M</w:t>
      </w:r>
      <w:r>
        <w:rPr>
          <w:rFonts w:ascii="Arial" w:cs="Arial" w:eastAsia="Arial" w:hAnsi="Arial"/>
          <w:sz w:val="12"/>
          <w:szCs w:val="12"/>
          <w:color w:val="auto"/>
        </w:rPr>
        <w:t>&amp;</w:t>
      </w:r>
      <w:r>
        <w:rPr>
          <w:rFonts w:ascii="Arial" w:cs="Arial" w:eastAsia="Arial" w:hAnsi="Arial"/>
          <w:sz w:val="13"/>
          <w:szCs w:val="13"/>
          <w:color w:val="auto"/>
        </w:rPr>
        <w:t>T (the “Reorganization Agreement”), M</w:t>
      </w:r>
      <w:r>
        <w:rPr>
          <w:rFonts w:ascii="Arial" w:cs="Arial" w:eastAsia="Arial" w:hAnsi="Arial"/>
          <w:sz w:val="12"/>
          <w:szCs w:val="12"/>
          <w:color w:val="auto"/>
        </w:rPr>
        <w:t>&amp;</w:t>
      </w:r>
      <w:r>
        <w:rPr>
          <w:rFonts w:ascii="Arial" w:cs="Arial" w:eastAsia="Arial" w:hAnsi="Arial"/>
          <w:sz w:val="13"/>
          <w:szCs w:val="13"/>
          <w:color w:val="auto"/>
        </w:rPr>
        <w:t>T combined with Allfirst through the acquisition of all of the issued and outstanding Allfirst stock in exchange for 26,700,000 shares of M</w:t>
      </w:r>
      <w:r>
        <w:rPr>
          <w:rFonts w:ascii="Arial" w:cs="Arial" w:eastAsia="Arial" w:hAnsi="Arial"/>
          <w:sz w:val="12"/>
          <w:szCs w:val="12"/>
          <w:color w:val="auto"/>
        </w:rPr>
        <w:t>&amp;</w:t>
      </w:r>
      <w:r>
        <w:rPr>
          <w:rFonts w:ascii="Arial" w:cs="Arial" w:eastAsia="Arial" w:hAnsi="Arial"/>
          <w:sz w:val="13"/>
          <w:szCs w:val="13"/>
          <w:color w:val="auto"/>
        </w:rPr>
        <w:t>T common stock and $886,107,000 in cash paid to AIB. In addition, there were several M</w:t>
      </w:r>
      <w:r>
        <w:rPr>
          <w:rFonts w:ascii="Arial" w:cs="Arial" w:eastAsia="Arial" w:hAnsi="Arial"/>
          <w:sz w:val="12"/>
          <w:szCs w:val="12"/>
          <w:color w:val="auto"/>
        </w:rPr>
        <w:t>&amp;</w:t>
      </w:r>
      <w:r>
        <w:rPr>
          <w:rFonts w:ascii="Arial" w:cs="Arial" w:eastAsia="Arial" w:hAnsi="Arial"/>
          <w:sz w:val="13"/>
          <w:szCs w:val="13"/>
          <w:color w:val="auto"/>
        </w:rPr>
        <w:t>T corporate governance changes that resulted from the transaction. While it maintains a significant ownership in M</w:t>
      </w:r>
      <w:r>
        <w:rPr>
          <w:rFonts w:ascii="Arial" w:cs="Arial" w:eastAsia="Arial" w:hAnsi="Arial"/>
          <w:sz w:val="12"/>
          <w:szCs w:val="12"/>
          <w:color w:val="auto"/>
        </w:rPr>
        <w:t>&amp;</w:t>
      </w:r>
      <w:r>
        <w:rPr>
          <w:rFonts w:ascii="Arial" w:cs="Arial" w:eastAsia="Arial" w:hAnsi="Arial"/>
          <w:sz w:val="13"/>
          <w:szCs w:val="13"/>
          <w:color w:val="auto"/>
        </w:rPr>
        <w:t>T, AIB will have representation on the M</w:t>
      </w:r>
      <w:r>
        <w:rPr>
          <w:rFonts w:ascii="Arial" w:cs="Arial" w:eastAsia="Arial" w:hAnsi="Arial"/>
          <w:sz w:val="12"/>
          <w:szCs w:val="12"/>
          <w:color w:val="auto"/>
        </w:rPr>
        <w:t>&amp;</w:t>
      </w:r>
      <w:r>
        <w:rPr>
          <w:rFonts w:ascii="Arial" w:cs="Arial" w:eastAsia="Arial" w:hAnsi="Arial"/>
          <w:sz w:val="13"/>
          <w:szCs w:val="13"/>
          <w:color w:val="auto"/>
        </w:rPr>
        <w:t>T board, the M</w:t>
      </w:r>
      <w:r>
        <w:rPr>
          <w:rFonts w:ascii="Arial" w:cs="Arial" w:eastAsia="Arial" w:hAnsi="Arial"/>
          <w:sz w:val="12"/>
          <w:szCs w:val="12"/>
          <w:color w:val="auto"/>
        </w:rPr>
        <w:t>&amp;</w:t>
      </w:r>
      <w:r>
        <w:rPr>
          <w:rFonts w:ascii="Arial" w:cs="Arial" w:eastAsia="Arial" w:hAnsi="Arial"/>
          <w:sz w:val="13"/>
          <w:szCs w:val="13"/>
          <w:color w:val="auto"/>
        </w:rPr>
        <w:t>T Bank board and key M</w:t>
      </w:r>
      <w:r>
        <w:rPr>
          <w:rFonts w:ascii="Arial" w:cs="Arial" w:eastAsia="Arial" w:hAnsi="Arial"/>
          <w:sz w:val="12"/>
          <w:szCs w:val="12"/>
          <w:color w:val="auto"/>
        </w:rPr>
        <w:t>&amp;</w:t>
      </w:r>
      <w:r>
        <w:rPr>
          <w:rFonts w:ascii="Arial" w:cs="Arial" w:eastAsia="Arial" w:hAnsi="Arial"/>
          <w:sz w:val="13"/>
          <w:szCs w:val="13"/>
          <w:color w:val="auto"/>
        </w:rPr>
        <w:t>T board committees and will have certain protections of its rights as a substantial M</w:t>
      </w:r>
      <w:r>
        <w:rPr>
          <w:rFonts w:ascii="Arial" w:cs="Arial" w:eastAsia="Arial" w:hAnsi="Arial"/>
          <w:sz w:val="12"/>
          <w:szCs w:val="12"/>
          <w:color w:val="auto"/>
        </w:rPr>
        <w:t>&amp;</w:t>
      </w:r>
      <w:r>
        <w:rPr>
          <w:rFonts w:ascii="Arial" w:cs="Arial" w:eastAsia="Arial" w:hAnsi="Arial"/>
          <w:sz w:val="13"/>
          <w:szCs w:val="13"/>
          <w:color w:val="auto"/>
        </w:rPr>
        <w:t>T shareholder. In addition, AIB will have rights that will facilitate its ability to maintain its proportionate ownership position in M</w:t>
      </w:r>
      <w:r>
        <w:rPr>
          <w:rFonts w:ascii="Arial" w:cs="Arial" w:eastAsia="Arial" w:hAnsi="Arial"/>
          <w:sz w:val="12"/>
          <w:szCs w:val="12"/>
          <w:color w:val="auto"/>
        </w:rPr>
        <w:t>&amp;</w:t>
      </w:r>
      <w:r>
        <w:rPr>
          <w:rFonts w:ascii="Arial" w:cs="Arial" w:eastAsia="Arial" w:hAnsi="Arial"/>
          <w:sz w:val="13"/>
          <w:szCs w:val="13"/>
          <w:color w:val="auto"/>
        </w:rPr>
        <w:t>T. M</w:t>
      </w:r>
      <w:r>
        <w:rPr>
          <w:rFonts w:ascii="Arial" w:cs="Arial" w:eastAsia="Arial" w:hAnsi="Arial"/>
          <w:sz w:val="12"/>
          <w:szCs w:val="12"/>
          <w:color w:val="auto"/>
        </w:rPr>
        <w:t>&amp;</w:t>
      </w:r>
      <w:r>
        <w:rPr>
          <w:rFonts w:ascii="Arial" w:cs="Arial" w:eastAsia="Arial" w:hAnsi="Arial"/>
          <w:sz w:val="13"/>
          <w:szCs w:val="13"/>
          <w:color w:val="auto"/>
        </w:rPr>
        <w:t>T will also have representation on the AIB board while AIB remains a significant shareholder. The following is a description of the ongoing relationship between M</w:t>
      </w:r>
      <w:r>
        <w:rPr>
          <w:rFonts w:ascii="Arial" w:cs="Arial" w:eastAsia="Arial" w:hAnsi="Arial"/>
          <w:sz w:val="12"/>
          <w:szCs w:val="12"/>
          <w:color w:val="auto"/>
        </w:rPr>
        <w:t>&amp;</w:t>
      </w:r>
      <w:r>
        <w:rPr>
          <w:rFonts w:ascii="Arial" w:cs="Arial" w:eastAsia="Arial" w:hAnsi="Arial"/>
          <w:sz w:val="13"/>
          <w:szCs w:val="13"/>
          <w:color w:val="auto"/>
        </w:rPr>
        <w:t>T and AIB. The following description is qualified in its entirety by the terms of the Reorganization Agreement. The Reorganization Agreement was filed with the Securities Exchange Commission on October 3, 2002 as Exhibit 2 to the Current Report on Form 8-K of M</w:t>
      </w:r>
      <w:r>
        <w:rPr>
          <w:rFonts w:ascii="Arial" w:cs="Arial" w:eastAsia="Arial" w:hAnsi="Arial"/>
          <w:sz w:val="12"/>
          <w:szCs w:val="12"/>
          <w:color w:val="auto"/>
        </w:rPr>
        <w:t>&amp;</w:t>
      </w:r>
      <w:r>
        <w:rPr>
          <w:rFonts w:ascii="Arial" w:cs="Arial" w:eastAsia="Arial" w:hAnsi="Arial"/>
          <w:sz w:val="13"/>
          <w:szCs w:val="13"/>
          <w:color w:val="auto"/>
        </w:rPr>
        <w:t>T dated September 26, 2002.</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Board of Directors; Management</w:t>
      </w:r>
    </w:p>
    <w:p>
      <w:pPr>
        <w:spacing w:after="0" w:line="22" w:lineRule="exact"/>
        <w:rPr>
          <w:sz w:val="20"/>
          <w:szCs w:val="20"/>
          <w:color w:val="auto"/>
        </w:rPr>
      </w:pPr>
    </w:p>
    <w:p>
      <w:pPr>
        <w:ind w:left="680"/>
        <w:spacing w:after="0" w:line="272" w:lineRule="auto"/>
        <w:rPr>
          <w:sz w:val="20"/>
          <w:szCs w:val="20"/>
          <w:color w:val="auto"/>
        </w:rPr>
      </w:pPr>
      <w:r>
        <w:rPr>
          <w:rFonts w:ascii="Arial" w:cs="Arial" w:eastAsia="Arial" w:hAnsi="Arial"/>
          <w:sz w:val="13"/>
          <w:szCs w:val="13"/>
          <w:color w:val="auto"/>
        </w:rPr>
        <w:t>At December 31, 2006, AIB held approximately 24.2% of the issued and outstanding shares of M</w:t>
      </w:r>
      <w:r>
        <w:rPr>
          <w:rFonts w:ascii="Arial" w:cs="Arial" w:eastAsia="Arial" w:hAnsi="Arial"/>
          <w:sz w:val="12"/>
          <w:szCs w:val="12"/>
          <w:color w:val="auto"/>
        </w:rPr>
        <w:t>&amp;</w:t>
      </w:r>
      <w:r>
        <w:rPr>
          <w:rFonts w:ascii="Arial" w:cs="Arial" w:eastAsia="Arial" w:hAnsi="Arial"/>
          <w:sz w:val="13"/>
          <w:szCs w:val="13"/>
          <w:color w:val="auto"/>
        </w:rPr>
        <w:t>T common stock. In defining their relationship after the acquisition, M</w:t>
      </w:r>
      <w:r>
        <w:rPr>
          <w:rFonts w:ascii="Arial" w:cs="Arial" w:eastAsia="Arial" w:hAnsi="Arial"/>
          <w:sz w:val="12"/>
          <w:szCs w:val="12"/>
          <w:color w:val="auto"/>
        </w:rPr>
        <w:t>&amp;</w:t>
      </w:r>
      <w:r>
        <w:rPr>
          <w:rFonts w:ascii="Arial" w:cs="Arial" w:eastAsia="Arial" w:hAnsi="Arial"/>
          <w:sz w:val="13"/>
          <w:szCs w:val="13"/>
          <w:color w:val="auto"/>
        </w:rPr>
        <w:t>T and AIB negotiated certain agreements regarding share ownership and corporate governance issues such as board representation, with the number of AIB’s representatives on the M</w:t>
      </w:r>
      <w:r>
        <w:rPr>
          <w:rFonts w:ascii="Arial" w:cs="Arial" w:eastAsia="Arial" w:hAnsi="Arial"/>
          <w:sz w:val="12"/>
          <w:szCs w:val="12"/>
          <w:color w:val="auto"/>
        </w:rPr>
        <w:t>&amp;</w:t>
      </w:r>
      <w:r>
        <w:rPr>
          <w:rFonts w:ascii="Arial" w:cs="Arial" w:eastAsia="Arial" w:hAnsi="Arial"/>
          <w:sz w:val="13"/>
          <w:szCs w:val="13"/>
          <w:color w:val="auto"/>
        </w:rPr>
        <w:t>T and M</w:t>
      </w:r>
      <w:r>
        <w:rPr>
          <w:rFonts w:ascii="Arial" w:cs="Arial" w:eastAsia="Arial" w:hAnsi="Arial"/>
          <w:sz w:val="12"/>
          <w:szCs w:val="12"/>
          <w:color w:val="auto"/>
        </w:rPr>
        <w:t>&amp;</w:t>
      </w:r>
      <w:r>
        <w:rPr>
          <w:rFonts w:ascii="Arial" w:cs="Arial" w:eastAsia="Arial" w:hAnsi="Arial"/>
          <w:sz w:val="13"/>
          <w:szCs w:val="13"/>
          <w:color w:val="auto"/>
        </w:rPr>
        <w:t>T Bank boards of directors being dependent upon the amount of M</w:t>
      </w:r>
      <w:r>
        <w:rPr>
          <w:rFonts w:ascii="Arial" w:cs="Arial" w:eastAsia="Arial" w:hAnsi="Arial"/>
          <w:sz w:val="12"/>
          <w:szCs w:val="12"/>
          <w:color w:val="auto"/>
        </w:rPr>
        <w:t>&amp;</w:t>
      </w:r>
      <w:r>
        <w:rPr>
          <w:rFonts w:ascii="Arial" w:cs="Arial" w:eastAsia="Arial" w:hAnsi="Arial"/>
          <w:sz w:val="13"/>
          <w:szCs w:val="13"/>
          <w:color w:val="auto"/>
        </w:rPr>
        <w:t>T common stock held by AIB. M</w:t>
      </w:r>
      <w:r>
        <w:rPr>
          <w:rFonts w:ascii="Arial" w:cs="Arial" w:eastAsia="Arial" w:hAnsi="Arial"/>
          <w:sz w:val="12"/>
          <w:szCs w:val="12"/>
          <w:color w:val="auto"/>
        </w:rPr>
        <w:t>&amp;</w:t>
      </w:r>
      <w:r>
        <w:rPr>
          <w:rFonts w:ascii="Arial" w:cs="Arial" w:eastAsia="Arial" w:hAnsi="Arial"/>
          <w:sz w:val="13"/>
          <w:szCs w:val="13"/>
          <w:color w:val="auto"/>
        </w:rPr>
        <w:t>T has the right to one seat on the AIB board of directors until AIB no longer holds at least 15% of the outstanding shares of M</w:t>
      </w:r>
      <w:r>
        <w:rPr>
          <w:rFonts w:ascii="Arial" w:cs="Arial" w:eastAsia="Arial" w:hAnsi="Arial"/>
          <w:sz w:val="12"/>
          <w:szCs w:val="12"/>
          <w:color w:val="auto"/>
        </w:rPr>
        <w:t>&amp;</w:t>
      </w:r>
      <w:r>
        <w:rPr>
          <w:rFonts w:ascii="Arial" w:cs="Arial" w:eastAsia="Arial" w:hAnsi="Arial"/>
          <w:sz w:val="13"/>
          <w:szCs w:val="13"/>
          <w:color w:val="auto"/>
        </w:rPr>
        <w:t>T common stock. Pursuant to the Reorganization Agreement, AIB has the right to name four members to serve on the Boards of Directors of M</w:t>
      </w:r>
      <w:r>
        <w:rPr>
          <w:rFonts w:ascii="Arial" w:cs="Arial" w:eastAsia="Arial" w:hAnsi="Arial"/>
          <w:sz w:val="12"/>
          <w:szCs w:val="12"/>
          <w:color w:val="auto"/>
        </w:rPr>
        <w:t>&amp;</w:t>
      </w:r>
      <w:r>
        <w:rPr>
          <w:rFonts w:ascii="Arial" w:cs="Arial" w:eastAsia="Arial" w:hAnsi="Arial"/>
          <w:sz w:val="13"/>
          <w:szCs w:val="13"/>
          <w:color w:val="auto"/>
        </w:rPr>
        <w:t>T and M</w:t>
      </w:r>
      <w:r>
        <w:rPr>
          <w:rFonts w:ascii="Arial" w:cs="Arial" w:eastAsia="Arial" w:hAnsi="Arial"/>
          <w:sz w:val="12"/>
          <w:szCs w:val="12"/>
          <w:color w:val="auto"/>
        </w:rPr>
        <w:t>&amp;</w:t>
      </w:r>
      <w:r>
        <w:rPr>
          <w:rFonts w:ascii="Arial" w:cs="Arial" w:eastAsia="Arial" w:hAnsi="Arial"/>
          <w:sz w:val="13"/>
          <w:szCs w:val="13"/>
          <w:color w:val="auto"/>
        </w:rPr>
        <w:t>T Bank, each of whom must be reasonably acceptable to M</w:t>
      </w:r>
      <w:r>
        <w:rPr>
          <w:rFonts w:ascii="Arial" w:cs="Arial" w:eastAsia="Arial" w:hAnsi="Arial"/>
          <w:sz w:val="12"/>
          <w:szCs w:val="12"/>
          <w:color w:val="auto"/>
        </w:rPr>
        <w:t>&amp;</w:t>
      </w:r>
      <w:r>
        <w:rPr>
          <w:rFonts w:ascii="Arial" w:cs="Arial" w:eastAsia="Arial" w:hAnsi="Arial"/>
          <w:sz w:val="13"/>
          <w:szCs w:val="13"/>
          <w:color w:val="auto"/>
        </w:rPr>
        <w:t>T (collectively, the “AIB Designees”). Further, one of the AIB Designees will serve on each of the Executive Committee, Nomination, Compensation and Governance Committee, and Audit and Risk Committee (or any committee or committees performing comparable functions) of the M</w:t>
      </w:r>
      <w:r>
        <w:rPr>
          <w:rFonts w:ascii="Arial" w:cs="Arial" w:eastAsia="Arial" w:hAnsi="Arial"/>
          <w:sz w:val="12"/>
          <w:szCs w:val="12"/>
          <w:color w:val="auto"/>
        </w:rPr>
        <w:t>&amp;</w:t>
      </w:r>
      <w:r>
        <w:rPr>
          <w:rFonts w:ascii="Arial" w:cs="Arial" w:eastAsia="Arial" w:hAnsi="Arial"/>
          <w:sz w:val="13"/>
          <w:szCs w:val="13"/>
          <w:color w:val="auto"/>
        </w:rPr>
        <w:t>T board of directors. In order to serve, the AIB Designees must meet the requisite independence and expertise requirements prescribed under applicable law or stock exchange rules. In addition, the Reorganization Agreement provides that the board of directors of M</w:t>
      </w:r>
      <w:r>
        <w:rPr>
          <w:rFonts w:ascii="Arial" w:cs="Arial" w:eastAsia="Arial" w:hAnsi="Arial"/>
          <w:sz w:val="12"/>
          <w:szCs w:val="12"/>
          <w:color w:val="auto"/>
        </w:rPr>
        <w:t>&amp;</w:t>
      </w:r>
      <w:r>
        <w:rPr>
          <w:rFonts w:ascii="Arial" w:cs="Arial" w:eastAsia="Arial" w:hAnsi="Arial"/>
          <w:sz w:val="13"/>
          <w:szCs w:val="13"/>
          <w:color w:val="auto"/>
        </w:rPr>
        <w:t>T Bank will include four members designated by AIB, each of whom must be reasonably acceptable to M</w:t>
      </w:r>
      <w:r>
        <w:rPr>
          <w:rFonts w:ascii="Arial" w:cs="Arial" w:eastAsia="Arial" w:hAnsi="Arial"/>
          <w:sz w:val="12"/>
          <w:szCs w:val="12"/>
          <w:color w:val="auto"/>
        </w:rPr>
        <w:t>&amp;</w:t>
      </w:r>
      <w:r>
        <w:rPr>
          <w:rFonts w:ascii="Arial" w:cs="Arial" w:eastAsia="Arial" w:hAnsi="Arial"/>
          <w:sz w:val="13"/>
          <w:szCs w:val="13"/>
          <w:color w:val="auto"/>
        </w:rPr>
        <w:t>T.</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As long as AIB remains a significant shareholder of M</w:t>
      </w:r>
      <w:r>
        <w:rPr>
          <w:rFonts w:ascii="Arial" w:cs="Arial" w:eastAsia="Arial" w:hAnsi="Arial"/>
          <w:sz w:val="13"/>
          <w:szCs w:val="13"/>
          <w:color w:val="auto"/>
        </w:rPr>
        <w:t>&amp;</w:t>
      </w:r>
      <w:r>
        <w:rPr>
          <w:rFonts w:ascii="Arial" w:cs="Arial" w:eastAsia="Arial" w:hAnsi="Arial"/>
          <w:sz w:val="14"/>
          <w:szCs w:val="14"/>
          <w:color w:val="auto"/>
        </w:rPr>
        <w:t>T, AIB will have representation on the boards of directors of both M</w:t>
      </w:r>
      <w:r>
        <w:rPr>
          <w:rFonts w:ascii="Arial" w:cs="Arial" w:eastAsia="Arial" w:hAnsi="Arial"/>
          <w:sz w:val="13"/>
          <w:szCs w:val="13"/>
          <w:color w:val="auto"/>
        </w:rPr>
        <w:t>&amp;</w:t>
      </w:r>
      <w:r>
        <w:rPr>
          <w:rFonts w:ascii="Arial" w:cs="Arial" w:eastAsia="Arial" w:hAnsi="Arial"/>
          <w:sz w:val="14"/>
          <w:szCs w:val="14"/>
          <w:color w:val="auto"/>
        </w:rPr>
        <w:t>T and M</w:t>
      </w:r>
      <w:r>
        <w:rPr>
          <w:rFonts w:ascii="Arial" w:cs="Arial" w:eastAsia="Arial" w:hAnsi="Arial"/>
          <w:sz w:val="13"/>
          <w:szCs w:val="13"/>
          <w:color w:val="auto"/>
        </w:rPr>
        <w:t>&amp;</w:t>
      </w:r>
      <w:r>
        <w:rPr>
          <w:rFonts w:ascii="Arial" w:cs="Arial" w:eastAsia="Arial" w:hAnsi="Arial"/>
          <w:sz w:val="14"/>
          <w:szCs w:val="14"/>
          <w:color w:val="auto"/>
        </w:rPr>
        <w:t>T Bank as follows:</w:t>
      </w:r>
    </w:p>
    <w:p>
      <w:pPr>
        <w:spacing w:after="0" w:line="18" w:lineRule="exact"/>
        <w:rPr>
          <w:sz w:val="20"/>
          <w:szCs w:val="20"/>
          <w:color w:val="auto"/>
        </w:rPr>
      </w:pPr>
    </w:p>
    <w:p>
      <w:pPr>
        <w:ind w:left="1280" w:right="200" w:hanging="190"/>
        <w:spacing w:after="0" w:line="249" w:lineRule="auto"/>
        <w:tabs>
          <w:tab w:leader="none" w:pos="1280" w:val="left"/>
        </w:tabs>
        <w:numPr>
          <w:ilvl w:val="0"/>
          <w:numId w:val="4"/>
        </w:numPr>
        <w:rPr>
          <w:rFonts w:ascii="Arial" w:cs="Arial" w:eastAsia="Arial" w:hAnsi="Arial"/>
          <w:sz w:val="9"/>
          <w:szCs w:val="9"/>
          <w:color w:val="auto"/>
        </w:rPr>
      </w:pPr>
      <w:r>
        <w:rPr>
          <w:rFonts w:ascii="Arial" w:cs="Arial" w:eastAsia="Arial" w:hAnsi="Arial"/>
          <w:sz w:val="14"/>
          <w:szCs w:val="14"/>
          <w:color w:val="auto"/>
        </w:rPr>
        <w:t>As long as AIB holds at least 15% of the outstanding shares of M</w:t>
      </w:r>
      <w:r>
        <w:rPr>
          <w:rFonts w:ascii="Arial" w:cs="Arial" w:eastAsia="Arial" w:hAnsi="Arial"/>
          <w:sz w:val="13"/>
          <w:szCs w:val="13"/>
          <w:color w:val="auto"/>
        </w:rPr>
        <w:t>&amp;</w:t>
      </w:r>
      <w:r>
        <w:rPr>
          <w:rFonts w:ascii="Arial" w:cs="Arial" w:eastAsia="Arial" w:hAnsi="Arial"/>
          <w:sz w:val="14"/>
          <w:szCs w:val="14"/>
          <w:color w:val="auto"/>
        </w:rPr>
        <w:t>T common stock, AIB will be entitled to designate four persons on both the M</w:t>
      </w:r>
      <w:r>
        <w:rPr>
          <w:rFonts w:ascii="Arial" w:cs="Arial" w:eastAsia="Arial" w:hAnsi="Arial"/>
          <w:sz w:val="13"/>
          <w:szCs w:val="13"/>
          <w:color w:val="auto"/>
        </w:rPr>
        <w:t>&amp;</w:t>
      </w:r>
      <w:r>
        <w:rPr>
          <w:rFonts w:ascii="Arial" w:cs="Arial" w:eastAsia="Arial" w:hAnsi="Arial"/>
          <w:sz w:val="14"/>
          <w:szCs w:val="14"/>
          <w:color w:val="auto"/>
        </w:rPr>
        <w:t>T and M</w:t>
      </w:r>
      <w:r>
        <w:rPr>
          <w:rFonts w:ascii="Arial" w:cs="Arial" w:eastAsia="Arial" w:hAnsi="Arial"/>
          <w:sz w:val="13"/>
          <w:szCs w:val="13"/>
          <w:color w:val="auto"/>
        </w:rPr>
        <w:t>&amp;</w:t>
      </w:r>
      <w:r>
        <w:rPr>
          <w:rFonts w:ascii="Arial" w:cs="Arial" w:eastAsia="Arial" w:hAnsi="Arial"/>
          <w:sz w:val="14"/>
          <w:szCs w:val="14"/>
          <w:color w:val="auto"/>
        </w:rPr>
        <w:t>T Bank boards of directors and representation on the committees of the M</w:t>
      </w:r>
      <w:r>
        <w:rPr>
          <w:rFonts w:ascii="Arial" w:cs="Arial" w:eastAsia="Arial" w:hAnsi="Arial"/>
          <w:sz w:val="13"/>
          <w:szCs w:val="13"/>
          <w:color w:val="auto"/>
        </w:rPr>
        <w:t>&amp;</w:t>
      </w:r>
      <w:r>
        <w:rPr>
          <w:rFonts w:ascii="Arial" w:cs="Arial" w:eastAsia="Arial" w:hAnsi="Arial"/>
          <w:sz w:val="14"/>
          <w:szCs w:val="14"/>
          <w:color w:val="auto"/>
        </w:rPr>
        <w:t>T board described above.</w:t>
      </w:r>
    </w:p>
    <w:p>
      <w:pPr>
        <w:ind w:left="1280" w:right="160" w:hanging="190"/>
        <w:spacing w:after="0" w:line="249" w:lineRule="auto"/>
        <w:tabs>
          <w:tab w:leader="none" w:pos="1280" w:val="left"/>
        </w:tabs>
        <w:numPr>
          <w:ilvl w:val="0"/>
          <w:numId w:val="4"/>
        </w:numPr>
        <w:rPr>
          <w:rFonts w:ascii="Arial" w:cs="Arial" w:eastAsia="Arial" w:hAnsi="Arial"/>
          <w:sz w:val="9"/>
          <w:szCs w:val="9"/>
          <w:color w:val="auto"/>
        </w:rPr>
      </w:pPr>
      <w:r>
        <w:rPr>
          <w:rFonts w:ascii="Arial" w:cs="Arial" w:eastAsia="Arial" w:hAnsi="Arial"/>
          <w:sz w:val="14"/>
          <w:szCs w:val="14"/>
          <w:color w:val="auto"/>
        </w:rPr>
        <w:t>If AIB holds at least 10%, but less than 15%, of the outstanding shares of M</w:t>
      </w:r>
      <w:r>
        <w:rPr>
          <w:rFonts w:ascii="Arial" w:cs="Arial" w:eastAsia="Arial" w:hAnsi="Arial"/>
          <w:sz w:val="13"/>
          <w:szCs w:val="13"/>
          <w:color w:val="auto"/>
        </w:rPr>
        <w:t>&amp;</w:t>
      </w:r>
      <w:r>
        <w:rPr>
          <w:rFonts w:ascii="Arial" w:cs="Arial" w:eastAsia="Arial" w:hAnsi="Arial"/>
          <w:sz w:val="14"/>
          <w:szCs w:val="14"/>
          <w:color w:val="auto"/>
        </w:rPr>
        <w:t>T common stock, AIB will be entitled to designate at least two people on both the M</w:t>
      </w:r>
      <w:r>
        <w:rPr>
          <w:rFonts w:ascii="Arial" w:cs="Arial" w:eastAsia="Arial" w:hAnsi="Arial"/>
          <w:sz w:val="13"/>
          <w:szCs w:val="13"/>
          <w:color w:val="auto"/>
        </w:rPr>
        <w:t>&amp;</w:t>
      </w:r>
      <w:r>
        <w:rPr>
          <w:rFonts w:ascii="Arial" w:cs="Arial" w:eastAsia="Arial" w:hAnsi="Arial"/>
          <w:sz w:val="14"/>
          <w:szCs w:val="14"/>
          <w:color w:val="auto"/>
        </w:rPr>
        <w:t>T and M</w:t>
      </w:r>
      <w:r>
        <w:rPr>
          <w:rFonts w:ascii="Arial" w:cs="Arial" w:eastAsia="Arial" w:hAnsi="Arial"/>
          <w:sz w:val="13"/>
          <w:szCs w:val="13"/>
          <w:color w:val="auto"/>
        </w:rPr>
        <w:t>&amp;</w:t>
      </w:r>
      <w:r>
        <w:rPr>
          <w:rFonts w:ascii="Arial" w:cs="Arial" w:eastAsia="Arial" w:hAnsi="Arial"/>
          <w:sz w:val="14"/>
          <w:szCs w:val="14"/>
          <w:color w:val="auto"/>
        </w:rPr>
        <w:t>T Bank boards of directors.</w:t>
      </w:r>
    </w:p>
    <w:p>
      <w:pPr>
        <w:ind w:left="1280" w:right="120" w:hanging="190"/>
        <w:spacing w:after="0" w:line="249" w:lineRule="auto"/>
        <w:tabs>
          <w:tab w:leader="none" w:pos="1280" w:val="left"/>
        </w:tabs>
        <w:numPr>
          <w:ilvl w:val="0"/>
          <w:numId w:val="4"/>
        </w:numPr>
        <w:rPr>
          <w:rFonts w:ascii="Arial" w:cs="Arial" w:eastAsia="Arial" w:hAnsi="Arial"/>
          <w:sz w:val="9"/>
          <w:szCs w:val="9"/>
          <w:color w:val="auto"/>
        </w:rPr>
      </w:pPr>
      <w:r>
        <w:rPr>
          <w:rFonts w:ascii="Arial" w:cs="Arial" w:eastAsia="Arial" w:hAnsi="Arial"/>
          <w:sz w:val="14"/>
          <w:szCs w:val="14"/>
          <w:color w:val="auto"/>
        </w:rPr>
        <w:t>If AIB’s ownership interest in M</w:t>
      </w:r>
      <w:r>
        <w:rPr>
          <w:rFonts w:ascii="Arial" w:cs="Arial" w:eastAsia="Arial" w:hAnsi="Arial"/>
          <w:sz w:val="13"/>
          <w:szCs w:val="13"/>
          <w:color w:val="auto"/>
        </w:rPr>
        <w:t>&amp;</w:t>
      </w:r>
      <w:r>
        <w:rPr>
          <w:rFonts w:ascii="Arial" w:cs="Arial" w:eastAsia="Arial" w:hAnsi="Arial"/>
          <w:sz w:val="14"/>
          <w:szCs w:val="14"/>
          <w:color w:val="auto"/>
        </w:rPr>
        <w:t>T is at least 5%, but less than 10%, of the outstanding shares of M</w:t>
      </w:r>
      <w:r>
        <w:rPr>
          <w:rFonts w:ascii="Arial" w:cs="Arial" w:eastAsia="Arial" w:hAnsi="Arial"/>
          <w:sz w:val="13"/>
          <w:szCs w:val="13"/>
          <w:color w:val="auto"/>
        </w:rPr>
        <w:t>&amp;</w:t>
      </w:r>
      <w:r>
        <w:rPr>
          <w:rFonts w:ascii="Arial" w:cs="Arial" w:eastAsia="Arial" w:hAnsi="Arial"/>
          <w:sz w:val="14"/>
          <w:szCs w:val="14"/>
          <w:color w:val="auto"/>
        </w:rPr>
        <w:t>T common stock, AIB will be entitled to designate at least one person on both the M</w:t>
      </w:r>
      <w:r>
        <w:rPr>
          <w:rFonts w:ascii="Arial" w:cs="Arial" w:eastAsia="Arial" w:hAnsi="Arial"/>
          <w:sz w:val="13"/>
          <w:szCs w:val="13"/>
          <w:color w:val="auto"/>
        </w:rPr>
        <w:t>&amp;</w:t>
      </w:r>
      <w:r>
        <w:rPr>
          <w:rFonts w:ascii="Arial" w:cs="Arial" w:eastAsia="Arial" w:hAnsi="Arial"/>
          <w:sz w:val="14"/>
          <w:szCs w:val="14"/>
          <w:color w:val="auto"/>
        </w:rPr>
        <w:t>T and M</w:t>
      </w:r>
      <w:r>
        <w:rPr>
          <w:rFonts w:ascii="Arial" w:cs="Arial" w:eastAsia="Arial" w:hAnsi="Arial"/>
          <w:sz w:val="13"/>
          <w:szCs w:val="13"/>
          <w:color w:val="auto"/>
        </w:rPr>
        <w:t>&amp;</w:t>
      </w:r>
      <w:r>
        <w:rPr>
          <w:rFonts w:ascii="Arial" w:cs="Arial" w:eastAsia="Arial" w:hAnsi="Arial"/>
          <w:sz w:val="14"/>
          <w:szCs w:val="14"/>
          <w:color w:val="auto"/>
        </w:rPr>
        <w:t>T Bank boards of directors.</w:t>
      </w:r>
    </w:p>
    <w:p>
      <w:pPr>
        <w:ind w:left="1280" w:right="220" w:hanging="190"/>
        <w:spacing w:after="0" w:line="249" w:lineRule="auto"/>
        <w:tabs>
          <w:tab w:leader="none" w:pos="1280" w:val="left"/>
        </w:tabs>
        <w:numPr>
          <w:ilvl w:val="0"/>
          <w:numId w:val="4"/>
        </w:numPr>
        <w:rPr>
          <w:rFonts w:ascii="Arial" w:cs="Arial" w:eastAsia="Arial" w:hAnsi="Arial"/>
          <w:sz w:val="9"/>
          <w:szCs w:val="9"/>
          <w:color w:val="auto"/>
        </w:rPr>
      </w:pPr>
      <w:r>
        <w:rPr>
          <w:rFonts w:ascii="Arial" w:cs="Arial" w:eastAsia="Arial" w:hAnsi="Arial"/>
          <w:sz w:val="14"/>
          <w:szCs w:val="14"/>
          <w:color w:val="auto"/>
        </w:rPr>
        <w:t>As long as AIB holds at least 15% of the outstanding shares of M</w:t>
      </w:r>
      <w:r>
        <w:rPr>
          <w:rFonts w:ascii="Arial" w:cs="Arial" w:eastAsia="Arial" w:hAnsi="Arial"/>
          <w:sz w:val="13"/>
          <w:szCs w:val="13"/>
          <w:color w:val="auto"/>
        </w:rPr>
        <w:t>&amp;</w:t>
      </w:r>
      <w:r>
        <w:rPr>
          <w:rFonts w:ascii="Arial" w:cs="Arial" w:eastAsia="Arial" w:hAnsi="Arial"/>
          <w:sz w:val="14"/>
          <w:szCs w:val="14"/>
          <w:color w:val="auto"/>
        </w:rPr>
        <w:t>T common stock, neither M</w:t>
      </w:r>
      <w:r>
        <w:rPr>
          <w:rFonts w:ascii="Arial" w:cs="Arial" w:eastAsia="Arial" w:hAnsi="Arial"/>
          <w:sz w:val="13"/>
          <w:szCs w:val="13"/>
          <w:color w:val="auto"/>
        </w:rPr>
        <w:t>&amp;</w:t>
      </w:r>
      <w:r>
        <w:rPr>
          <w:rFonts w:ascii="Arial" w:cs="Arial" w:eastAsia="Arial" w:hAnsi="Arial"/>
          <w:sz w:val="14"/>
          <w:szCs w:val="14"/>
          <w:color w:val="auto"/>
        </w:rPr>
        <w:t>T’s board of directors nor M</w:t>
      </w:r>
      <w:r>
        <w:rPr>
          <w:rFonts w:ascii="Arial" w:cs="Arial" w:eastAsia="Arial" w:hAnsi="Arial"/>
          <w:sz w:val="13"/>
          <w:szCs w:val="13"/>
          <w:color w:val="auto"/>
        </w:rPr>
        <w:t>&amp;</w:t>
      </w:r>
      <w:r>
        <w:rPr>
          <w:rFonts w:ascii="Arial" w:cs="Arial" w:eastAsia="Arial" w:hAnsi="Arial"/>
          <w:sz w:val="14"/>
          <w:szCs w:val="14"/>
          <w:color w:val="auto"/>
        </w:rPr>
        <w:t>T Bank’s board of directors will consist of more than twenty-eight directors without the consent of the AIB Designees.</w:t>
      </w:r>
    </w:p>
    <w:p>
      <w:pPr>
        <w:ind w:left="1280" w:right="40" w:hanging="190"/>
        <w:spacing w:after="0" w:line="251" w:lineRule="auto"/>
        <w:tabs>
          <w:tab w:leader="none" w:pos="1280" w:val="left"/>
        </w:tabs>
        <w:numPr>
          <w:ilvl w:val="0"/>
          <w:numId w:val="4"/>
        </w:numPr>
        <w:rPr>
          <w:rFonts w:ascii="Arial" w:cs="Arial" w:eastAsia="Arial" w:hAnsi="Arial"/>
          <w:sz w:val="9"/>
          <w:szCs w:val="9"/>
          <w:color w:val="auto"/>
        </w:rPr>
      </w:pPr>
      <w:r>
        <w:rPr>
          <w:rFonts w:ascii="Arial" w:cs="Arial" w:eastAsia="Arial" w:hAnsi="Arial"/>
          <w:sz w:val="14"/>
          <w:szCs w:val="14"/>
          <w:color w:val="auto"/>
        </w:rPr>
        <w:t>If AIB’s holdings of M</w:t>
      </w:r>
      <w:r>
        <w:rPr>
          <w:rFonts w:ascii="Arial" w:cs="Arial" w:eastAsia="Arial" w:hAnsi="Arial"/>
          <w:sz w:val="13"/>
          <w:szCs w:val="13"/>
          <w:color w:val="auto"/>
        </w:rPr>
        <w:t>&amp;</w:t>
      </w:r>
      <w:r>
        <w:rPr>
          <w:rFonts w:ascii="Arial" w:cs="Arial" w:eastAsia="Arial" w:hAnsi="Arial"/>
          <w:sz w:val="14"/>
          <w:szCs w:val="14"/>
          <w:color w:val="auto"/>
        </w:rPr>
        <w:t>T common stock fall below 15%, but not lower than 12% of the outstanding shares of M</w:t>
      </w:r>
      <w:r>
        <w:rPr>
          <w:rFonts w:ascii="Arial" w:cs="Arial" w:eastAsia="Arial" w:hAnsi="Arial"/>
          <w:sz w:val="13"/>
          <w:szCs w:val="13"/>
          <w:color w:val="auto"/>
        </w:rPr>
        <w:t>&amp;</w:t>
      </w:r>
      <w:r>
        <w:rPr>
          <w:rFonts w:ascii="Arial" w:cs="Arial" w:eastAsia="Arial" w:hAnsi="Arial"/>
          <w:sz w:val="14"/>
          <w:szCs w:val="14"/>
          <w:color w:val="auto"/>
        </w:rPr>
        <w:t>T common stock, AIB will continue to have the same rights that it would have had if it owned 15% of the outstanding shares of M</w:t>
      </w:r>
      <w:r>
        <w:rPr>
          <w:rFonts w:ascii="Arial" w:cs="Arial" w:eastAsia="Arial" w:hAnsi="Arial"/>
          <w:sz w:val="13"/>
          <w:szCs w:val="13"/>
          <w:color w:val="auto"/>
        </w:rPr>
        <w:t>&amp;</w:t>
      </w:r>
      <w:r>
        <w:rPr>
          <w:rFonts w:ascii="Arial" w:cs="Arial" w:eastAsia="Arial" w:hAnsi="Arial"/>
          <w:sz w:val="14"/>
          <w:szCs w:val="14"/>
          <w:color w:val="auto"/>
        </w:rPr>
        <w:t>T common stock, as long as AIB restores its ownership percentage to 15% within one year. Additionally, as described in more detail below, M</w:t>
      </w:r>
      <w:r>
        <w:rPr>
          <w:rFonts w:ascii="Arial" w:cs="Arial" w:eastAsia="Arial" w:hAnsi="Arial"/>
          <w:sz w:val="13"/>
          <w:szCs w:val="13"/>
          <w:color w:val="auto"/>
        </w:rPr>
        <w:t>&amp;</w:t>
      </w:r>
      <w:r>
        <w:rPr>
          <w:rFonts w:ascii="Arial" w:cs="Arial" w:eastAsia="Arial" w:hAnsi="Arial"/>
          <w:sz w:val="14"/>
          <w:szCs w:val="14"/>
          <w:color w:val="auto"/>
        </w:rPr>
        <w:t>T has agreed to repurchase shares of M</w:t>
      </w:r>
      <w:r>
        <w:rPr>
          <w:rFonts w:ascii="Arial" w:cs="Arial" w:eastAsia="Arial" w:hAnsi="Arial"/>
          <w:sz w:val="13"/>
          <w:szCs w:val="13"/>
          <w:color w:val="auto"/>
        </w:rPr>
        <w:t>&amp;</w:t>
      </w:r>
      <w:r>
        <w:rPr>
          <w:rFonts w:ascii="Arial" w:cs="Arial" w:eastAsia="Arial" w:hAnsi="Arial"/>
          <w:sz w:val="14"/>
          <w:szCs w:val="14"/>
          <w:color w:val="auto"/>
        </w:rPr>
        <w:t>T common stock in order to offset dilution to AIB’s ownership interests that may otherwise be caused by issuances of M</w:t>
      </w:r>
      <w:r>
        <w:rPr>
          <w:rFonts w:ascii="Arial" w:cs="Arial" w:eastAsia="Arial" w:hAnsi="Arial"/>
          <w:sz w:val="13"/>
          <w:szCs w:val="13"/>
          <w:color w:val="auto"/>
        </w:rPr>
        <w:t>&amp;</w:t>
      </w:r>
      <w:r>
        <w:rPr>
          <w:rFonts w:ascii="Arial" w:cs="Arial" w:eastAsia="Arial" w:hAnsi="Arial"/>
          <w:sz w:val="14"/>
          <w:szCs w:val="14"/>
          <w:color w:val="auto"/>
        </w:rPr>
        <w:t>T common stock under M</w:t>
      </w:r>
      <w:r>
        <w:rPr>
          <w:rFonts w:ascii="Arial" w:cs="Arial" w:eastAsia="Arial" w:hAnsi="Arial"/>
          <w:sz w:val="13"/>
          <w:szCs w:val="13"/>
          <w:color w:val="auto"/>
        </w:rPr>
        <w:t>&amp;</w:t>
      </w:r>
      <w:r>
        <w:rPr>
          <w:rFonts w:ascii="Arial" w:cs="Arial" w:eastAsia="Arial" w:hAnsi="Arial"/>
          <w:sz w:val="14"/>
          <w:szCs w:val="14"/>
          <w:color w:val="auto"/>
        </w:rPr>
        <w:t>T employee and director benefit or stock purchase plans. Dilution of AIB’s ownership position caused by such issuances will not be counted in determining whether the “Sunset Date” has occurred or whether any of AIB’s other rights under the Reorganization Agreement have terminated. The “Sunset Date” is the date on which AIB no longer holds at least 15% of the M</w:t>
      </w:r>
      <w:r>
        <w:rPr>
          <w:rFonts w:ascii="Arial" w:cs="Arial" w:eastAsia="Arial" w:hAnsi="Arial"/>
          <w:sz w:val="13"/>
          <w:szCs w:val="13"/>
          <w:color w:val="auto"/>
        </w:rPr>
        <w:t>&amp;</w:t>
      </w:r>
      <w:r>
        <w:rPr>
          <w:rFonts w:ascii="Arial" w:cs="Arial" w:eastAsia="Arial" w:hAnsi="Arial"/>
          <w:sz w:val="14"/>
          <w:szCs w:val="14"/>
          <w:color w:val="auto"/>
        </w:rPr>
        <w:t>T common stock, calculated as described in this paragraph.</w:t>
      </w:r>
    </w:p>
    <w:p>
      <w:pPr>
        <w:spacing w:after="0" w:line="28" w:lineRule="exact"/>
        <w:rPr>
          <w:sz w:val="20"/>
          <w:szCs w:val="20"/>
          <w:color w:val="auto"/>
        </w:rPr>
      </w:pPr>
    </w:p>
    <w:p>
      <w:pPr>
        <w:ind w:left="680" w:right="20" w:firstLine="599"/>
        <w:spacing w:after="0" w:line="265" w:lineRule="auto"/>
        <w:rPr>
          <w:sz w:val="20"/>
          <w:szCs w:val="20"/>
          <w:color w:val="auto"/>
        </w:rPr>
      </w:pPr>
      <w:r>
        <w:rPr>
          <w:rFonts w:ascii="Arial" w:cs="Arial" w:eastAsia="Arial" w:hAnsi="Arial"/>
          <w:sz w:val="14"/>
          <w:szCs w:val="14"/>
          <w:color w:val="auto"/>
        </w:rPr>
        <w:t>The AIB Designees at December 31, 2006 were Michael D. Buckley, Colm E. Doherty, Richard G. King and Eugene J. Sheehy. Mr. Buckley serves as a member of the Executive Committee and the Nomination, Compensation and Governance Committee, and Mr. King serves as a member of the Audit and Risk Committee. Robert G. Wilmers, Chairman of the Board and Chief Executive Officer of M</w:t>
      </w:r>
      <w:r>
        <w:rPr>
          <w:rFonts w:ascii="Arial" w:cs="Arial" w:eastAsia="Arial" w:hAnsi="Arial"/>
          <w:sz w:val="13"/>
          <w:szCs w:val="13"/>
          <w:color w:val="auto"/>
        </w:rPr>
        <w:t>&amp;</w:t>
      </w:r>
      <w:r>
        <w:rPr>
          <w:rFonts w:ascii="Arial" w:cs="Arial" w:eastAsia="Arial" w:hAnsi="Arial"/>
          <w:sz w:val="14"/>
          <w:szCs w:val="14"/>
          <w:color w:val="auto"/>
        </w:rPr>
        <w:t>T, is a member of the AIB board of directors.</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Amendments to M</w:t>
      </w:r>
      <w:r>
        <w:rPr>
          <w:rFonts w:ascii="Arial" w:cs="Arial" w:eastAsia="Arial" w:hAnsi="Arial"/>
          <w:sz w:val="13"/>
          <w:szCs w:val="13"/>
          <w:b w:val="1"/>
          <w:bCs w:val="1"/>
          <w:color w:val="auto"/>
        </w:rPr>
        <w:t>&amp;</w:t>
      </w:r>
      <w:r>
        <w:rPr>
          <w:rFonts w:ascii="Arial" w:cs="Arial" w:eastAsia="Arial" w:hAnsi="Arial"/>
          <w:sz w:val="14"/>
          <w:szCs w:val="14"/>
          <w:b w:val="1"/>
          <w:bCs w:val="1"/>
          <w:color w:val="auto"/>
        </w:rPr>
        <w:t>T’s Bylaws</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Pursuant to the Reorganization Agreement, M</w:t>
      </w:r>
      <w:r>
        <w:rPr>
          <w:rFonts w:ascii="Arial" w:cs="Arial" w:eastAsia="Arial" w:hAnsi="Arial"/>
          <w:sz w:val="13"/>
          <w:szCs w:val="13"/>
          <w:color w:val="auto"/>
        </w:rPr>
        <w:t>&amp;</w:t>
      </w:r>
      <w:r>
        <w:rPr>
          <w:rFonts w:ascii="Arial" w:cs="Arial" w:eastAsia="Arial" w:hAnsi="Arial"/>
          <w:sz w:val="14"/>
          <w:szCs w:val="14"/>
          <w:color w:val="auto"/>
        </w:rPr>
        <w:t>T amended and restated its bylaws. The following is a description of the amended bylaws:</w:t>
      </w:r>
    </w:p>
    <w:p>
      <w:pPr>
        <w:spacing w:after="0" w:line="6" w:lineRule="exact"/>
        <w:rPr>
          <w:sz w:val="20"/>
          <w:szCs w:val="20"/>
          <w:color w:val="auto"/>
        </w:rPr>
      </w:pPr>
    </w:p>
    <w:p>
      <w:pPr>
        <w:ind w:left="680" w:right="40" w:firstLine="599"/>
        <w:spacing w:after="0" w:line="249" w:lineRule="auto"/>
        <w:rPr>
          <w:sz w:val="20"/>
          <w:szCs w:val="20"/>
          <w:color w:val="auto"/>
        </w:rPr>
      </w:pPr>
      <w:r>
        <w:rPr>
          <w:rFonts w:ascii="Arial" w:cs="Arial" w:eastAsia="Arial" w:hAnsi="Arial"/>
          <w:sz w:val="14"/>
          <w:szCs w:val="14"/>
          <w:color w:val="auto"/>
        </w:rPr>
        <w:t>The amended bylaws provide that until the Sunset Date, the M</w:t>
      </w:r>
      <w:r>
        <w:rPr>
          <w:rFonts w:ascii="Arial" w:cs="Arial" w:eastAsia="Arial" w:hAnsi="Arial"/>
          <w:sz w:val="13"/>
          <w:szCs w:val="13"/>
          <w:color w:val="auto"/>
        </w:rPr>
        <w:t>&amp;</w:t>
      </w:r>
      <w:r>
        <w:rPr>
          <w:rFonts w:ascii="Arial" w:cs="Arial" w:eastAsia="Arial" w:hAnsi="Arial"/>
          <w:sz w:val="14"/>
          <w:szCs w:val="14"/>
          <w:color w:val="auto"/>
        </w:rPr>
        <w:t>T board of directors may not take or make any recommendation to M</w:t>
      </w:r>
      <w:r>
        <w:rPr>
          <w:rFonts w:ascii="Arial" w:cs="Arial" w:eastAsia="Arial" w:hAnsi="Arial"/>
          <w:sz w:val="13"/>
          <w:szCs w:val="13"/>
          <w:color w:val="auto"/>
        </w:rPr>
        <w:t>&amp;</w:t>
      </w:r>
      <w:r>
        <w:rPr>
          <w:rFonts w:ascii="Arial" w:cs="Arial" w:eastAsia="Arial" w:hAnsi="Arial"/>
          <w:sz w:val="14"/>
          <w:szCs w:val="14"/>
          <w:color w:val="auto"/>
        </w:rPr>
        <w:t>T’s shareholders regarding the following actions without the approval of the Executive Committee, including the approval of the AIB Designee serving on the committee:</w:t>
      </w:r>
    </w:p>
    <w:p>
      <w:pPr>
        <w:ind w:left="1280" w:right="320" w:hanging="190"/>
        <w:spacing w:after="0" w:line="268" w:lineRule="auto"/>
        <w:tabs>
          <w:tab w:leader="none" w:pos="1280" w:val="left"/>
        </w:tabs>
        <w:numPr>
          <w:ilvl w:val="0"/>
          <w:numId w:val="5"/>
        </w:numPr>
        <w:rPr>
          <w:rFonts w:ascii="Arial" w:cs="Arial" w:eastAsia="Arial" w:hAnsi="Arial"/>
          <w:sz w:val="9"/>
          <w:szCs w:val="9"/>
          <w:color w:val="auto"/>
        </w:rPr>
      </w:pPr>
      <w:r>
        <w:rPr>
          <w:rFonts w:ascii="Arial" w:cs="Arial" w:eastAsia="Arial" w:hAnsi="Arial"/>
          <w:sz w:val="13"/>
          <w:szCs w:val="13"/>
          <w:color w:val="auto"/>
        </w:rPr>
        <w:t>Any amendment of M</w:t>
      </w:r>
      <w:r>
        <w:rPr>
          <w:rFonts w:ascii="Arial" w:cs="Arial" w:eastAsia="Arial" w:hAnsi="Arial"/>
          <w:sz w:val="12"/>
          <w:szCs w:val="12"/>
          <w:color w:val="auto"/>
        </w:rPr>
        <w:t>&amp;</w:t>
      </w:r>
      <w:r>
        <w:rPr>
          <w:rFonts w:ascii="Arial" w:cs="Arial" w:eastAsia="Arial" w:hAnsi="Arial"/>
          <w:sz w:val="13"/>
          <w:szCs w:val="13"/>
          <w:color w:val="auto"/>
        </w:rPr>
        <w:t>T’s Certificate of Incorporation or bylaws that would be inconsistent with the rights described herein or that would otherwise have an adverse effect on the board representation, committee representation or other rights of AIB contemplated by the Reorganization Agreement;</w:t>
      </w:r>
    </w:p>
    <w:p>
      <w:pPr>
        <w:ind w:left="1280" w:hanging="190"/>
        <w:spacing w:after="0"/>
        <w:tabs>
          <w:tab w:leader="none" w:pos="1280" w:val="left"/>
        </w:tabs>
        <w:numPr>
          <w:ilvl w:val="0"/>
          <w:numId w:val="5"/>
        </w:numPr>
        <w:rPr>
          <w:rFonts w:ascii="Arial" w:cs="Arial" w:eastAsia="Arial" w:hAnsi="Arial"/>
          <w:sz w:val="9"/>
          <w:szCs w:val="9"/>
          <w:color w:val="auto"/>
        </w:rPr>
      </w:pPr>
      <w:r>
        <w:rPr>
          <w:rFonts w:ascii="Arial" w:cs="Arial" w:eastAsia="Arial" w:hAnsi="Arial"/>
          <w:sz w:val="14"/>
          <w:szCs w:val="14"/>
          <w:color w:val="auto"/>
        </w:rPr>
        <w:t>Any activity not permissible for a U.S. bank holding company;</w:t>
      </w:r>
    </w:p>
    <w:p>
      <w:pPr>
        <w:spacing w:after="0" w:line="6" w:lineRule="exact"/>
        <w:rPr>
          <w:rFonts w:ascii="Arial" w:cs="Arial" w:eastAsia="Arial" w:hAnsi="Arial"/>
          <w:sz w:val="9"/>
          <w:szCs w:val="9"/>
          <w:color w:val="auto"/>
        </w:rPr>
      </w:pPr>
    </w:p>
    <w:p>
      <w:pPr>
        <w:ind w:left="1280" w:right="280" w:hanging="190"/>
        <w:spacing w:after="0" w:line="249" w:lineRule="auto"/>
        <w:tabs>
          <w:tab w:leader="none" w:pos="1280" w:val="left"/>
        </w:tabs>
        <w:numPr>
          <w:ilvl w:val="0"/>
          <w:numId w:val="5"/>
        </w:numPr>
        <w:rPr>
          <w:rFonts w:ascii="Arial" w:cs="Arial" w:eastAsia="Arial" w:hAnsi="Arial"/>
          <w:sz w:val="9"/>
          <w:szCs w:val="9"/>
          <w:color w:val="auto"/>
        </w:rPr>
      </w:pPr>
      <w:r>
        <w:rPr>
          <w:rFonts w:ascii="Arial" w:cs="Arial" w:eastAsia="Arial" w:hAnsi="Arial"/>
          <w:sz w:val="14"/>
          <w:szCs w:val="14"/>
          <w:color w:val="auto"/>
        </w:rPr>
        <w:t>The adoption of any shareholder rights plan or other measures having the purpose or effect of preventing or materially delaying completion of any transaction involving a change in control of M</w:t>
      </w:r>
      <w:r>
        <w:rPr>
          <w:rFonts w:ascii="Arial" w:cs="Arial" w:eastAsia="Arial" w:hAnsi="Arial"/>
          <w:sz w:val="13"/>
          <w:szCs w:val="13"/>
          <w:color w:val="auto"/>
        </w:rPr>
        <w:t>&amp;</w:t>
      </w:r>
      <w:r>
        <w:rPr>
          <w:rFonts w:ascii="Arial" w:cs="Arial" w:eastAsia="Arial" w:hAnsi="Arial"/>
          <w:sz w:val="14"/>
          <w:szCs w:val="14"/>
          <w:color w:val="auto"/>
        </w:rPr>
        <w:t>T; and</w:t>
      </w:r>
    </w:p>
    <w:p>
      <w:pPr>
        <w:ind w:left="1280" w:hanging="190"/>
        <w:spacing w:after="0"/>
        <w:tabs>
          <w:tab w:leader="none" w:pos="1280" w:val="left"/>
        </w:tabs>
        <w:numPr>
          <w:ilvl w:val="0"/>
          <w:numId w:val="5"/>
        </w:numPr>
        <w:rPr>
          <w:rFonts w:ascii="Arial" w:cs="Arial" w:eastAsia="Arial" w:hAnsi="Arial"/>
          <w:sz w:val="9"/>
          <w:szCs w:val="9"/>
          <w:color w:val="auto"/>
        </w:rPr>
      </w:pPr>
      <w:r>
        <w:rPr>
          <w:rFonts w:ascii="Arial" w:cs="Arial" w:eastAsia="Arial" w:hAnsi="Arial"/>
          <w:sz w:val="14"/>
          <w:szCs w:val="14"/>
          <w:color w:val="auto"/>
        </w:rPr>
        <w:t>Any public announcement disclosing M</w:t>
      </w:r>
      <w:r>
        <w:rPr>
          <w:rFonts w:ascii="Arial" w:cs="Arial" w:eastAsia="Arial" w:hAnsi="Arial"/>
          <w:sz w:val="13"/>
          <w:szCs w:val="13"/>
          <w:color w:val="auto"/>
        </w:rPr>
        <w:t>&amp;</w:t>
      </w:r>
      <w:r>
        <w:rPr>
          <w:rFonts w:ascii="Arial" w:cs="Arial" w:eastAsia="Arial" w:hAnsi="Arial"/>
          <w:sz w:val="14"/>
          <w:szCs w:val="14"/>
          <w:color w:val="auto"/>
        </w:rPr>
        <w:t>T’s desire or intention to take any of the foregoing actions.</w:t>
      </w:r>
    </w:p>
    <w:p>
      <w:pPr>
        <w:spacing w:after="0" w:line="43" w:lineRule="exact"/>
        <w:rPr>
          <w:sz w:val="20"/>
          <w:szCs w:val="20"/>
          <w:color w:val="auto"/>
        </w:rPr>
      </w:pPr>
    </w:p>
    <w:p>
      <w:pPr>
        <w:ind w:left="680" w:right="280" w:firstLine="599"/>
        <w:spacing w:after="0" w:line="265" w:lineRule="auto"/>
        <w:rPr>
          <w:sz w:val="20"/>
          <w:szCs w:val="20"/>
          <w:color w:val="auto"/>
        </w:rPr>
      </w:pPr>
      <w:r>
        <w:rPr>
          <w:rFonts w:ascii="Arial" w:cs="Arial" w:eastAsia="Arial" w:hAnsi="Arial"/>
          <w:sz w:val="14"/>
          <w:szCs w:val="14"/>
          <w:color w:val="auto"/>
        </w:rPr>
        <w:t>The amended bylaws also provide that until the Sunset Date, the M</w:t>
      </w:r>
      <w:r>
        <w:rPr>
          <w:rFonts w:ascii="Arial" w:cs="Arial" w:eastAsia="Arial" w:hAnsi="Arial"/>
          <w:sz w:val="13"/>
          <w:szCs w:val="13"/>
          <w:color w:val="auto"/>
        </w:rPr>
        <w:t>&amp;</w:t>
      </w:r>
      <w:r>
        <w:rPr>
          <w:rFonts w:ascii="Arial" w:cs="Arial" w:eastAsia="Arial" w:hAnsi="Arial"/>
          <w:sz w:val="14"/>
          <w:szCs w:val="14"/>
          <w:color w:val="auto"/>
        </w:rPr>
        <w:t>T board of directors may only take or make any recommendation to M</w:t>
      </w:r>
      <w:r>
        <w:rPr>
          <w:rFonts w:ascii="Arial" w:cs="Arial" w:eastAsia="Arial" w:hAnsi="Arial"/>
          <w:sz w:val="13"/>
          <w:szCs w:val="13"/>
          <w:color w:val="auto"/>
        </w:rPr>
        <w:t>&amp;</w:t>
      </w:r>
      <w:r>
        <w:rPr>
          <w:rFonts w:ascii="Arial" w:cs="Arial" w:eastAsia="Arial" w:hAnsi="Arial"/>
          <w:sz w:val="14"/>
          <w:szCs w:val="14"/>
          <w:color w:val="auto"/>
        </w:rPr>
        <w:t>T’s shareholders regarding the following actions if the action has been approved by the Executive Committee (in the case of the first four items and sixth item below) or Nomination, Compensation and Governance Committee (in the case of the fifth item below)</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right="380"/>
        <w:spacing w:after="0" w:line="258" w:lineRule="auto"/>
        <w:rPr>
          <w:sz w:val="20"/>
          <w:szCs w:val="20"/>
          <w:color w:val="auto"/>
        </w:rPr>
      </w:pPr>
      <w:r>
        <w:rPr>
          <w:rFonts w:ascii="Arial" w:cs="Arial" w:eastAsia="Arial" w:hAnsi="Arial"/>
          <w:sz w:val="14"/>
          <w:szCs w:val="14"/>
          <w:color w:val="auto"/>
        </w:rPr>
        <w:t>and the members of such committee not voting in favor of the action do not include the AIB Designee serving on such committee and at least one other member of the committee who is not an AIB Designee:</w:t>
      </w:r>
    </w:p>
    <w:p>
      <w:pPr>
        <w:ind w:left="1280" w:right="60" w:hanging="190"/>
        <w:spacing w:after="0" w:line="249" w:lineRule="auto"/>
        <w:tabs>
          <w:tab w:leader="none" w:pos="1280" w:val="left"/>
        </w:tabs>
        <w:numPr>
          <w:ilvl w:val="0"/>
          <w:numId w:val="6"/>
        </w:numPr>
        <w:rPr>
          <w:rFonts w:ascii="Arial" w:cs="Arial" w:eastAsia="Arial" w:hAnsi="Arial"/>
          <w:sz w:val="9"/>
          <w:szCs w:val="9"/>
          <w:color w:val="auto"/>
        </w:rPr>
      </w:pPr>
      <w:r>
        <w:rPr>
          <w:rFonts w:ascii="Arial" w:cs="Arial" w:eastAsia="Arial" w:hAnsi="Arial"/>
          <w:sz w:val="14"/>
          <w:szCs w:val="14"/>
          <w:color w:val="auto"/>
        </w:rPr>
        <w:t>Any reduction in M</w:t>
      </w:r>
      <w:r>
        <w:rPr>
          <w:rFonts w:ascii="Arial" w:cs="Arial" w:eastAsia="Arial" w:hAnsi="Arial"/>
          <w:sz w:val="13"/>
          <w:szCs w:val="13"/>
          <w:color w:val="auto"/>
        </w:rPr>
        <w:t>&amp;</w:t>
      </w:r>
      <w:r>
        <w:rPr>
          <w:rFonts w:ascii="Arial" w:cs="Arial" w:eastAsia="Arial" w:hAnsi="Arial"/>
          <w:sz w:val="14"/>
          <w:szCs w:val="14"/>
          <w:color w:val="auto"/>
        </w:rPr>
        <w:t>T’s cash dividend policy such that the ratio of cash dividends to net income is less than 15%, or any extraordinary dividends or distributions to holders of M</w:t>
      </w:r>
      <w:r>
        <w:rPr>
          <w:rFonts w:ascii="Arial" w:cs="Arial" w:eastAsia="Arial" w:hAnsi="Arial"/>
          <w:sz w:val="13"/>
          <w:szCs w:val="13"/>
          <w:color w:val="auto"/>
        </w:rPr>
        <w:t>&amp;</w:t>
      </w:r>
      <w:r>
        <w:rPr>
          <w:rFonts w:ascii="Arial" w:cs="Arial" w:eastAsia="Arial" w:hAnsi="Arial"/>
          <w:sz w:val="14"/>
          <w:szCs w:val="14"/>
          <w:color w:val="auto"/>
        </w:rPr>
        <w:t>T common stock;</w:t>
      </w:r>
    </w:p>
    <w:p>
      <w:pPr>
        <w:ind w:left="1280" w:right="220" w:hanging="190"/>
        <w:spacing w:after="0" w:line="268" w:lineRule="auto"/>
        <w:tabs>
          <w:tab w:leader="none" w:pos="1280" w:val="left"/>
        </w:tabs>
        <w:numPr>
          <w:ilvl w:val="0"/>
          <w:numId w:val="6"/>
        </w:numPr>
        <w:rPr>
          <w:rFonts w:ascii="Arial" w:cs="Arial" w:eastAsia="Arial" w:hAnsi="Arial"/>
          <w:sz w:val="9"/>
          <w:szCs w:val="9"/>
          <w:color w:val="auto"/>
        </w:rPr>
      </w:pPr>
      <w:r>
        <w:rPr>
          <w:rFonts w:ascii="Arial" w:cs="Arial" w:eastAsia="Arial" w:hAnsi="Arial"/>
          <w:sz w:val="13"/>
          <w:szCs w:val="13"/>
          <w:color w:val="auto"/>
        </w:rPr>
        <w:t>Any acquisition of any assets or businesses, (1) if the consideration is in M</w:t>
      </w:r>
      <w:r>
        <w:rPr>
          <w:rFonts w:ascii="Arial" w:cs="Arial" w:eastAsia="Arial" w:hAnsi="Arial"/>
          <w:sz w:val="12"/>
          <w:szCs w:val="12"/>
          <w:color w:val="auto"/>
        </w:rPr>
        <w:t>&amp;</w:t>
      </w:r>
      <w:r>
        <w:rPr>
          <w:rFonts w:ascii="Arial" w:cs="Arial" w:eastAsia="Arial" w:hAnsi="Arial"/>
          <w:sz w:val="13"/>
          <w:szCs w:val="13"/>
          <w:color w:val="auto"/>
        </w:rPr>
        <w:t>T common stock, where the stock consideration paid by M</w:t>
      </w:r>
      <w:r>
        <w:rPr>
          <w:rFonts w:ascii="Arial" w:cs="Arial" w:eastAsia="Arial" w:hAnsi="Arial"/>
          <w:sz w:val="12"/>
          <w:szCs w:val="12"/>
          <w:color w:val="auto"/>
        </w:rPr>
        <w:t>&amp;</w:t>
      </w:r>
      <w:r>
        <w:rPr>
          <w:rFonts w:ascii="Arial" w:cs="Arial" w:eastAsia="Arial" w:hAnsi="Arial"/>
          <w:sz w:val="13"/>
          <w:szCs w:val="13"/>
          <w:color w:val="auto"/>
        </w:rPr>
        <w:t>T exceeds 10% of the aggregate voting power of M</w:t>
      </w:r>
      <w:r>
        <w:rPr>
          <w:rFonts w:ascii="Arial" w:cs="Arial" w:eastAsia="Arial" w:hAnsi="Arial"/>
          <w:sz w:val="12"/>
          <w:szCs w:val="12"/>
          <w:color w:val="auto"/>
        </w:rPr>
        <w:t>&amp;</w:t>
      </w:r>
      <w:r>
        <w:rPr>
          <w:rFonts w:ascii="Arial" w:cs="Arial" w:eastAsia="Arial" w:hAnsi="Arial"/>
          <w:sz w:val="13"/>
          <w:szCs w:val="13"/>
          <w:color w:val="auto"/>
        </w:rPr>
        <w:t>T common stock and (2) if the consideration is cash, M</w:t>
      </w:r>
      <w:r>
        <w:rPr>
          <w:rFonts w:ascii="Arial" w:cs="Arial" w:eastAsia="Arial" w:hAnsi="Arial"/>
          <w:sz w:val="12"/>
          <w:szCs w:val="12"/>
          <w:color w:val="auto"/>
        </w:rPr>
        <w:t>&amp;</w:t>
      </w:r>
      <w:r>
        <w:rPr>
          <w:rFonts w:ascii="Arial" w:cs="Arial" w:eastAsia="Arial" w:hAnsi="Arial"/>
          <w:sz w:val="13"/>
          <w:szCs w:val="13"/>
          <w:color w:val="auto"/>
        </w:rPr>
        <w:t>T stock or other consideration, where the fair market value of the consideration paid by M</w:t>
      </w:r>
      <w:r>
        <w:rPr>
          <w:rFonts w:ascii="Arial" w:cs="Arial" w:eastAsia="Arial" w:hAnsi="Arial"/>
          <w:sz w:val="12"/>
          <w:szCs w:val="12"/>
          <w:color w:val="auto"/>
        </w:rPr>
        <w:t>&amp;</w:t>
      </w:r>
      <w:r>
        <w:rPr>
          <w:rFonts w:ascii="Arial" w:cs="Arial" w:eastAsia="Arial" w:hAnsi="Arial"/>
          <w:sz w:val="13"/>
          <w:szCs w:val="13"/>
          <w:color w:val="auto"/>
        </w:rPr>
        <w:t>T exceeds 10% of the market capitalization of M</w:t>
      </w:r>
      <w:r>
        <w:rPr>
          <w:rFonts w:ascii="Arial" w:cs="Arial" w:eastAsia="Arial" w:hAnsi="Arial"/>
          <w:sz w:val="12"/>
          <w:szCs w:val="12"/>
          <w:color w:val="auto"/>
        </w:rPr>
        <w:t>&amp;</w:t>
      </w:r>
      <w:r>
        <w:rPr>
          <w:rFonts w:ascii="Arial" w:cs="Arial" w:eastAsia="Arial" w:hAnsi="Arial"/>
          <w:sz w:val="13"/>
          <w:szCs w:val="13"/>
          <w:color w:val="auto"/>
        </w:rPr>
        <w:t>T, as determined under the Reorganization Agreement;</w:t>
      </w:r>
    </w:p>
    <w:p>
      <w:pPr>
        <w:ind w:left="1280" w:right="480" w:hanging="190"/>
        <w:spacing w:after="0" w:line="249" w:lineRule="auto"/>
        <w:tabs>
          <w:tab w:leader="none" w:pos="1280" w:val="left"/>
        </w:tabs>
        <w:numPr>
          <w:ilvl w:val="0"/>
          <w:numId w:val="6"/>
        </w:numPr>
        <w:rPr>
          <w:rFonts w:ascii="Arial" w:cs="Arial" w:eastAsia="Arial" w:hAnsi="Arial"/>
          <w:sz w:val="9"/>
          <w:szCs w:val="9"/>
          <w:color w:val="auto"/>
        </w:rPr>
      </w:pPr>
      <w:r>
        <w:rPr>
          <w:rFonts w:ascii="Arial" w:cs="Arial" w:eastAsia="Arial" w:hAnsi="Arial"/>
          <w:sz w:val="14"/>
          <w:szCs w:val="14"/>
          <w:color w:val="auto"/>
        </w:rPr>
        <w:t>Any sale of any assets or businesses in which the value of the aggregate consideration to be received exceeds 10% of the market capitalization of M</w:t>
      </w:r>
      <w:r>
        <w:rPr>
          <w:rFonts w:ascii="Arial" w:cs="Arial" w:eastAsia="Arial" w:hAnsi="Arial"/>
          <w:sz w:val="13"/>
          <w:szCs w:val="13"/>
          <w:color w:val="auto"/>
        </w:rPr>
        <w:t>&amp;</w:t>
      </w:r>
      <w:r>
        <w:rPr>
          <w:rFonts w:ascii="Arial" w:cs="Arial" w:eastAsia="Arial" w:hAnsi="Arial"/>
          <w:sz w:val="14"/>
          <w:szCs w:val="14"/>
          <w:color w:val="auto"/>
        </w:rPr>
        <w:t>T, as determined under the Reorganization Agreement;</w:t>
      </w:r>
    </w:p>
    <w:p>
      <w:pPr>
        <w:ind w:left="1280" w:hanging="190"/>
        <w:spacing w:after="0"/>
        <w:tabs>
          <w:tab w:leader="none" w:pos="1280" w:val="left"/>
        </w:tabs>
        <w:numPr>
          <w:ilvl w:val="0"/>
          <w:numId w:val="6"/>
        </w:numPr>
        <w:rPr>
          <w:rFonts w:ascii="Arial" w:cs="Arial" w:eastAsia="Arial" w:hAnsi="Arial"/>
          <w:sz w:val="9"/>
          <w:szCs w:val="9"/>
          <w:color w:val="auto"/>
        </w:rPr>
      </w:pPr>
      <w:r>
        <w:rPr>
          <w:rFonts w:ascii="Arial" w:cs="Arial" w:eastAsia="Arial" w:hAnsi="Arial"/>
          <w:sz w:val="14"/>
          <w:szCs w:val="14"/>
          <w:color w:val="auto"/>
        </w:rPr>
        <w:t>Any liquidation or dissolution of M</w:t>
      </w:r>
      <w:r>
        <w:rPr>
          <w:rFonts w:ascii="Arial" w:cs="Arial" w:eastAsia="Arial" w:hAnsi="Arial"/>
          <w:sz w:val="13"/>
          <w:szCs w:val="13"/>
          <w:color w:val="auto"/>
        </w:rPr>
        <w:t>&amp;</w:t>
      </w:r>
      <w:r>
        <w:rPr>
          <w:rFonts w:ascii="Arial" w:cs="Arial" w:eastAsia="Arial" w:hAnsi="Arial"/>
          <w:sz w:val="14"/>
          <w:szCs w:val="14"/>
          <w:color w:val="auto"/>
        </w:rPr>
        <w:t>T;</w:t>
      </w:r>
    </w:p>
    <w:p>
      <w:pPr>
        <w:spacing w:after="0" w:line="6" w:lineRule="exact"/>
        <w:rPr>
          <w:rFonts w:ascii="Arial" w:cs="Arial" w:eastAsia="Arial" w:hAnsi="Arial"/>
          <w:sz w:val="9"/>
          <w:szCs w:val="9"/>
          <w:color w:val="auto"/>
        </w:rPr>
      </w:pPr>
    </w:p>
    <w:p>
      <w:pPr>
        <w:ind w:left="1280" w:hanging="190"/>
        <w:spacing w:after="0"/>
        <w:tabs>
          <w:tab w:leader="none" w:pos="1280" w:val="left"/>
        </w:tabs>
        <w:numPr>
          <w:ilvl w:val="0"/>
          <w:numId w:val="6"/>
        </w:numPr>
        <w:rPr>
          <w:rFonts w:ascii="Arial" w:cs="Arial" w:eastAsia="Arial" w:hAnsi="Arial"/>
          <w:sz w:val="9"/>
          <w:szCs w:val="9"/>
          <w:color w:val="auto"/>
        </w:rPr>
      </w:pPr>
      <w:r>
        <w:rPr>
          <w:rFonts w:ascii="Arial" w:cs="Arial" w:eastAsia="Arial" w:hAnsi="Arial"/>
          <w:sz w:val="14"/>
          <w:szCs w:val="14"/>
          <w:color w:val="auto"/>
        </w:rPr>
        <w:t>The appointment or election of the Chairman of the board of directors or the Chief Executive Officer of M</w:t>
      </w:r>
      <w:r>
        <w:rPr>
          <w:rFonts w:ascii="Arial" w:cs="Arial" w:eastAsia="Arial" w:hAnsi="Arial"/>
          <w:sz w:val="13"/>
          <w:szCs w:val="13"/>
          <w:color w:val="auto"/>
        </w:rPr>
        <w:t>&amp;</w:t>
      </w:r>
      <w:r>
        <w:rPr>
          <w:rFonts w:ascii="Arial" w:cs="Arial" w:eastAsia="Arial" w:hAnsi="Arial"/>
          <w:sz w:val="14"/>
          <w:szCs w:val="14"/>
          <w:color w:val="auto"/>
        </w:rPr>
        <w:t>T; and</w:t>
      </w:r>
    </w:p>
    <w:p>
      <w:pPr>
        <w:spacing w:after="0" w:line="6" w:lineRule="exact"/>
        <w:rPr>
          <w:rFonts w:ascii="Arial" w:cs="Arial" w:eastAsia="Arial" w:hAnsi="Arial"/>
          <w:sz w:val="9"/>
          <w:szCs w:val="9"/>
          <w:color w:val="auto"/>
        </w:rPr>
      </w:pPr>
    </w:p>
    <w:p>
      <w:pPr>
        <w:ind w:left="1280" w:hanging="190"/>
        <w:spacing w:after="0"/>
        <w:tabs>
          <w:tab w:leader="none" w:pos="1280" w:val="left"/>
        </w:tabs>
        <w:numPr>
          <w:ilvl w:val="0"/>
          <w:numId w:val="6"/>
        </w:numPr>
        <w:rPr>
          <w:rFonts w:ascii="Arial" w:cs="Arial" w:eastAsia="Arial" w:hAnsi="Arial"/>
          <w:sz w:val="9"/>
          <w:szCs w:val="9"/>
          <w:color w:val="auto"/>
        </w:rPr>
      </w:pPr>
      <w:r>
        <w:rPr>
          <w:rFonts w:ascii="Arial" w:cs="Arial" w:eastAsia="Arial" w:hAnsi="Arial"/>
          <w:sz w:val="14"/>
          <w:szCs w:val="14"/>
          <w:color w:val="auto"/>
        </w:rPr>
        <w:t>Any public announcement disclosing M</w:t>
      </w:r>
      <w:r>
        <w:rPr>
          <w:rFonts w:ascii="Arial" w:cs="Arial" w:eastAsia="Arial" w:hAnsi="Arial"/>
          <w:sz w:val="13"/>
          <w:szCs w:val="13"/>
          <w:color w:val="auto"/>
        </w:rPr>
        <w:t>&amp;</w:t>
      </w:r>
      <w:r>
        <w:rPr>
          <w:rFonts w:ascii="Arial" w:cs="Arial" w:eastAsia="Arial" w:hAnsi="Arial"/>
          <w:sz w:val="14"/>
          <w:szCs w:val="14"/>
          <w:color w:val="auto"/>
        </w:rPr>
        <w:t>T’s desire or intention to take any of the foregoing actions prior to obtaining the requisite committee approval.</w:t>
      </w:r>
    </w:p>
    <w:p>
      <w:pPr>
        <w:spacing w:after="0" w:line="43" w:lineRule="exact"/>
        <w:rPr>
          <w:sz w:val="20"/>
          <w:szCs w:val="20"/>
          <w:color w:val="auto"/>
        </w:rPr>
      </w:pPr>
    </w:p>
    <w:p>
      <w:pPr>
        <w:ind w:left="680" w:right="200" w:firstLine="599"/>
        <w:spacing w:after="0" w:line="265" w:lineRule="auto"/>
        <w:rPr>
          <w:sz w:val="20"/>
          <w:szCs w:val="20"/>
          <w:color w:val="auto"/>
        </w:rPr>
      </w:pPr>
      <w:r>
        <w:rPr>
          <w:rFonts w:ascii="Arial" w:cs="Arial" w:eastAsia="Arial" w:hAnsi="Arial"/>
          <w:sz w:val="14"/>
          <w:szCs w:val="14"/>
          <w:color w:val="auto"/>
        </w:rPr>
        <w:t>The provisions of the bylaws described above may not be amended or repealed without the unanimous approval of the entire M</w:t>
      </w:r>
      <w:r>
        <w:rPr>
          <w:rFonts w:ascii="Arial" w:cs="Arial" w:eastAsia="Arial" w:hAnsi="Arial"/>
          <w:sz w:val="13"/>
          <w:szCs w:val="13"/>
          <w:color w:val="auto"/>
        </w:rPr>
        <w:t>&amp;</w:t>
      </w:r>
      <w:r>
        <w:rPr>
          <w:rFonts w:ascii="Arial" w:cs="Arial" w:eastAsia="Arial" w:hAnsi="Arial"/>
          <w:sz w:val="14"/>
          <w:szCs w:val="14"/>
          <w:color w:val="auto"/>
        </w:rPr>
        <w:t>T board of directors or the approval of the holders of not less than 80% of the outstanding shares of M</w:t>
      </w:r>
      <w:r>
        <w:rPr>
          <w:rFonts w:ascii="Arial" w:cs="Arial" w:eastAsia="Arial" w:hAnsi="Arial"/>
          <w:sz w:val="13"/>
          <w:szCs w:val="13"/>
          <w:color w:val="auto"/>
        </w:rPr>
        <w:t>&amp;</w:t>
      </w:r>
      <w:r>
        <w:rPr>
          <w:rFonts w:ascii="Arial" w:cs="Arial" w:eastAsia="Arial" w:hAnsi="Arial"/>
          <w:sz w:val="14"/>
          <w:szCs w:val="14"/>
          <w:color w:val="auto"/>
        </w:rPr>
        <w:t>T common stock. The provisions of the bylaws described above will automatically terminate when AIB holds less than 5% of the outstanding shares of M</w:t>
      </w:r>
      <w:r>
        <w:rPr>
          <w:rFonts w:ascii="Arial" w:cs="Arial" w:eastAsia="Arial" w:hAnsi="Arial"/>
          <w:sz w:val="13"/>
          <w:szCs w:val="13"/>
          <w:color w:val="auto"/>
        </w:rPr>
        <w:t>&amp;</w:t>
      </w:r>
      <w:r>
        <w:rPr>
          <w:rFonts w:ascii="Arial" w:cs="Arial" w:eastAsia="Arial" w:hAnsi="Arial"/>
          <w:sz w:val="14"/>
          <w:szCs w:val="14"/>
          <w:color w:val="auto"/>
        </w:rPr>
        <w:t>T common stock.</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Investment Parameters</w:t>
      </w:r>
    </w:p>
    <w:p>
      <w:pPr>
        <w:spacing w:after="0" w:line="22" w:lineRule="exact"/>
        <w:rPr>
          <w:sz w:val="20"/>
          <w:szCs w:val="20"/>
          <w:color w:val="auto"/>
        </w:rPr>
      </w:pPr>
    </w:p>
    <w:p>
      <w:pPr>
        <w:ind w:left="680" w:right="80"/>
        <w:spacing w:after="0" w:line="249" w:lineRule="auto"/>
        <w:rPr>
          <w:sz w:val="20"/>
          <w:szCs w:val="20"/>
          <w:color w:val="auto"/>
        </w:rPr>
      </w:pPr>
      <w:r>
        <w:rPr>
          <w:rFonts w:ascii="Arial" w:cs="Arial" w:eastAsia="Arial" w:hAnsi="Arial"/>
          <w:sz w:val="14"/>
          <w:szCs w:val="14"/>
          <w:color w:val="auto"/>
        </w:rPr>
        <w:t>The Reorganization Agreement provides that through the second anniversary of the Sunset Date, without prior written consent of the M</w:t>
      </w:r>
      <w:r>
        <w:rPr>
          <w:rFonts w:ascii="Arial" w:cs="Arial" w:eastAsia="Arial" w:hAnsi="Arial"/>
          <w:sz w:val="13"/>
          <w:szCs w:val="13"/>
          <w:color w:val="auto"/>
        </w:rPr>
        <w:t>&amp;</w:t>
      </w:r>
      <w:r>
        <w:rPr>
          <w:rFonts w:ascii="Arial" w:cs="Arial" w:eastAsia="Arial" w:hAnsi="Arial"/>
          <w:sz w:val="14"/>
          <w:szCs w:val="14"/>
          <w:color w:val="auto"/>
        </w:rPr>
        <w:t>T board of directors, AIB will not, directly or indirectly, acquire or offer to acquire (except by way of stock dividends, offerings made available to M</w:t>
      </w:r>
      <w:r>
        <w:rPr>
          <w:rFonts w:ascii="Arial" w:cs="Arial" w:eastAsia="Arial" w:hAnsi="Arial"/>
          <w:sz w:val="13"/>
          <w:szCs w:val="13"/>
          <w:color w:val="auto"/>
        </w:rPr>
        <w:t>&amp;</w:t>
      </w:r>
      <w:r>
        <w:rPr>
          <w:rFonts w:ascii="Arial" w:cs="Arial" w:eastAsia="Arial" w:hAnsi="Arial"/>
          <w:sz w:val="14"/>
          <w:szCs w:val="14"/>
          <w:color w:val="auto"/>
        </w:rPr>
        <w:t>T shareholders generally, or pursuant to compensation plans) more than 25% of the then outstanding shares of M</w:t>
      </w:r>
      <w:r>
        <w:rPr>
          <w:rFonts w:ascii="Arial" w:cs="Arial" w:eastAsia="Arial" w:hAnsi="Arial"/>
          <w:sz w:val="13"/>
          <w:szCs w:val="13"/>
          <w:color w:val="auto"/>
        </w:rPr>
        <w:t>&amp;</w:t>
      </w:r>
      <w:r>
        <w:rPr>
          <w:rFonts w:ascii="Arial" w:cs="Arial" w:eastAsia="Arial" w:hAnsi="Arial"/>
          <w:sz w:val="14"/>
          <w:szCs w:val="14"/>
          <w:color w:val="auto"/>
        </w:rPr>
        <w:t>T common stock. Further, during this period, AIB and AIB’s subsidiaries have agreed not to participate in any proxy solicitation or to otherwise seek to influence any M</w:t>
      </w:r>
      <w:r>
        <w:rPr>
          <w:rFonts w:ascii="Arial" w:cs="Arial" w:eastAsia="Arial" w:hAnsi="Arial"/>
          <w:sz w:val="13"/>
          <w:szCs w:val="13"/>
          <w:color w:val="auto"/>
        </w:rPr>
        <w:t>&amp;</w:t>
      </w:r>
      <w:r>
        <w:rPr>
          <w:rFonts w:ascii="Arial" w:cs="Arial" w:eastAsia="Arial" w:hAnsi="Arial"/>
          <w:sz w:val="14"/>
          <w:szCs w:val="14"/>
          <w:color w:val="auto"/>
        </w:rPr>
        <w:t>T shareholder with respect to the voting of any shares of M</w:t>
      </w:r>
      <w:r>
        <w:rPr>
          <w:rFonts w:ascii="Arial" w:cs="Arial" w:eastAsia="Arial" w:hAnsi="Arial"/>
          <w:sz w:val="13"/>
          <w:szCs w:val="13"/>
          <w:color w:val="auto"/>
        </w:rPr>
        <w:t>&amp;</w:t>
      </w:r>
      <w:r>
        <w:rPr>
          <w:rFonts w:ascii="Arial" w:cs="Arial" w:eastAsia="Arial" w:hAnsi="Arial"/>
          <w:sz w:val="14"/>
          <w:szCs w:val="14"/>
          <w:color w:val="auto"/>
        </w:rPr>
        <w:t>T common stock for the approval of any shareholder proposals.</w:t>
      </w:r>
    </w:p>
    <w:p>
      <w:pPr>
        <w:ind w:left="680" w:firstLine="599"/>
        <w:spacing w:after="0" w:line="268" w:lineRule="auto"/>
        <w:rPr>
          <w:sz w:val="20"/>
          <w:szCs w:val="20"/>
          <w:color w:val="auto"/>
        </w:rPr>
      </w:pPr>
      <w:r>
        <w:rPr>
          <w:rFonts w:ascii="Arial" w:cs="Arial" w:eastAsia="Arial" w:hAnsi="Arial"/>
          <w:sz w:val="13"/>
          <w:szCs w:val="13"/>
          <w:color w:val="auto"/>
        </w:rPr>
        <w:t>The Reorganization Agreement also provides that, during this period, AIB will not make any public announcement with respect to any proposal or offer by AIB or any AIB subsidiary with respect to certain transactions (such as mergers, business combinations, tender or exchange offers, the sale or purchase of securities or similar transactions) involving M</w:t>
      </w:r>
      <w:r>
        <w:rPr>
          <w:rFonts w:ascii="Arial" w:cs="Arial" w:eastAsia="Arial" w:hAnsi="Arial"/>
          <w:sz w:val="12"/>
          <w:szCs w:val="12"/>
          <w:color w:val="auto"/>
        </w:rPr>
        <w:t>&amp;</w:t>
      </w:r>
      <w:r>
        <w:rPr>
          <w:rFonts w:ascii="Arial" w:cs="Arial" w:eastAsia="Arial" w:hAnsi="Arial"/>
          <w:sz w:val="13"/>
          <w:szCs w:val="13"/>
          <w:color w:val="auto"/>
        </w:rPr>
        <w:t>T or any of the M</w:t>
      </w:r>
      <w:r>
        <w:rPr>
          <w:rFonts w:ascii="Arial" w:cs="Arial" w:eastAsia="Arial" w:hAnsi="Arial"/>
          <w:sz w:val="12"/>
          <w:szCs w:val="12"/>
          <w:color w:val="auto"/>
        </w:rPr>
        <w:t>&amp;</w:t>
      </w:r>
      <w:r>
        <w:rPr>
          <w:rFonts w:ascii="Arial" w:cs="Arial" w:eastAsia="Arial" w:hAnsi="Arial"/>
          <w:sz w:val="13"/>
          <w:szCs w:val="13"/>
          <w:color w:val="auto"/>
        </w:rPr>
        <w:t>T subsidiaries. The Reorganization Agreement also provides that, during this period, AIB may not subject any shares of M</w:t>
      </w:r>
      <w:r>
        <w:rPr>
          <w:rFonts w:ascii="Arial" w:cs="Arial" w:eastAsia="Arial" w:hAnsi="Arial"/>
          <w:sz w:val="12"/>
          <w:szCs w:val="12"/>
          <w:color w:val="auto"/>
        </w:rPr>
        <w:t>&amp;</w:t>
      </w:r>
      <w:r>
        <w:rPr>
          <w:rFonts w:ascii="Arial" w:cs="Arial" w:eastAsia="Arial" w:hAnsi="Arial"/>
          <w:sz w:val="13"/>
          <w:szCs w:val="13"/>
          <w:color w:val="auto"/>
        </w:rPr>
        <w:t>T common stock to any voting trust or voting arrangement or agreement and will not execute any written consent as a shareholder with respect to the M</w:t>
      </w:r>
      <w:r>
        <w:rPr>
          <w:rFonts w:ascii="Arial" w:cs="Arial" w:eastAsia="Arial" w:hAnsi="Arial"/>
          <w:sz w:val="12"/>
          <w:szCs w:val="12"/>
          <w:color w:val="auto"/>
        </w:rPr>
        <w:t>&amp;</w:t>
      </w:r>
      <w:r>
        <w:rPr>
          <w:rFonts w:ascii="Arial" w:cs="Arial" w:eastAsia="Arial" w:hAnsi="Arial"/>
          <w:sz w:val="13"/>
          <w:szCs w:val="13"/>
          <w:color w:val="auto"/>
        </w:rPr>
        <w:t>T common stock.</w:t>
      </w:r>
    </w:p>
    <w:p>
      <w:pPr>
        <w:spacing w:after="0" w:line="1" w:lineRule="exact"/>
        <w:rPr>
          <w:sz w:val="20"/>
          <w:szCs w:val="20"/>
          <w:color w:val="auto"/>
        </w:rPr>
      </w:pPr>
    </w:p>
    <w:p>
      <w:pPr>
        <w:ind w:left="680" w:right="60" w:firstLine="599"/>
        <w:spacing w:after="0" w:line="249" w:lineRule="auto"/>
        <w:rPr>
          <w:sz w:val="20"/>
          <w:szCs w:val="20"/>
          <w:color w:val="auto"/>
        </w:rPr>
      </w:pPr>
      <w:r>
        <w:rPr>
          <w:rFonts w:ascii="Arial" w:cs="Arial" w:eastAsia="Arial" w:hAnsi="Arial"/>
          <w:sz w:val="14"/>
          <w:szCs w:val="14"/>
          <w:color w:val="auto"/>
        </w:rPr>
        <w:t>The Reorganization Agreement also provides that, during this period, AIB will not seek to control or influence the management, the board of directors or policies of M</w:t>
      </w:r>
      <w:r>
        <w:rPr>
          <w:rFonts w:ascii="Arial" w:cs="Arial" w:eastAsia="Arial" w:hAnsi="Arial"/>
          <w:sz w:val="13"/>
          <w:szCs w:val="13"/>
          <w:color w:val="auto"/>
        </w:rPr>
        <w:t>&amp;</w:t>
      </w:r>
      <w:r>
        <w:rPr>
          <w:rFonts w:ascii="Arial" w:cs="Arial" w:eastAsia="Arial" w:hAnsi="Arial"/>
          <w:sz w:val="14"/>
          <w:szCs w:val="14"/>
          <w:color w:val="auto"/>
        </w:rPr>
        <w:t>T, including through communications with shareholders of M</w:t>
      </w:r>
      <w:r>
        <w:rPr>
          <w:rFonts w:ascii="Arial" w:cs="Arial" w:eastAsia="Arial" w:hAnsi="Arial"/>
          <w:sz w:val="13"/>
          <w:szCs w:val="13"/>
          <w:color w:val="auto"/>
        </w:rPr>
        <w:t>&amp;</w:t>
      </w:r>
      <w:r>
        <w:rPr>
          <w:rFonts w:ascii="Arial" w:cs="Arial" w:eastAsia="Arial" w:hAnsi="Arial"/>
          <w:sz w:val="14"/>
          <w:szCs w:val="14"/>
          <w:color w:val="auto"/>
        </w:rPr>
        <w:t>T or otherwise, except through non-public communications with the directors of M</w:t>
      </w:r>
      <w:r>
        <w:rPr>
          <w:rFonts w:ascii="Arial" w:cs="Arial" w:eastAsia="Arial" w:hAnsi="Arial"/>
          <w:sz w:val="13"/>
          <w:szCs w:val="13"/>
          <w:color w:val="auto"/>
        </w:rPr>
        <w:t>&amp;</w:t>
      </w:r>
      <w:r>
        <w:rPr>
          <w:rFonts w:ascii="Arial" w:cs="Arial" w:eastAsia="Arial" w:hAnsi="Arial"/>
          <w:sz w:val="14"/>
          <w:szCs w:val="14"/>
          <w:color w:val="auto"/>
        </w:rPr>
        <w:t>T, including the AIB Designees.</w:t>
      </w:r>
    </w:p>
    <w:p>
      <w:pPr>
        <w:ind w:left="680" w:right="60" w:firstLine="599"/>
        <w:spacing w:after="0" w:line="252" w:lineRule="auto"/>
        <w:rPr>
          <w:sz w:val="20"/>
          <w:szCs w:val="20"/>
          <w:color w:val="auto"/>
        </w:rPr>
      </w:pPr>
      <w:r>
        <w:rPr>
          <w:rFonts w:ascii="Arial" w:cs="Arial" w:eastAsia="Arial" w:hAnsi="Arial"/>
          <w:sz w:val="14"/>
          <w:szCs w:val="14"/>
          <w:color w:val="auto"/>
        </w:rPr>
        <w:t>These restrictions on AIB will no longer apply if a third party commences or announces its intention to commence a tender offer or an exchange offer and, within a reasonable time, the M</w:t>
      </w:r>
      <w:r>
        <w:rPr>
          <w:rFonts w:ascii="Arial" w:cs="Arial" w:eastAsia="Arial" w:hAnsi="Arial"/>
          <w:sz w:val="13"/>
          <w:szCs w:val="13"/>
          <w:color w:val="auto"/>
        </w:rPr>
        <w:t>&amp;</w:t>
      </w:r>
      <w:r>
        <w:rPr>
          <w:rFonts w:ascii="Arial" w:cs="Arial" w:eastAsia="Arial" w:hAnsi="Arial"/>
          <w:sz w:val="14"/>
          <w:szCs w:val="14"/>
          <w:color w:val="auto"/>
        </w:rPr>
        <w:t>T board of directors either does not recommend that shareholders not accept the offer or fails to adopt a shareholders rights plan, or if M</w:t>
      </w:r>
      <w:r>
        <w:rPr>
          <w:rFonts w:ascii="Arial" w:cs="Arial" w:eastAsia="Arial" w:hAnsi="Arial"/>
          <w:sz w:val="13"/>
          <w:szCs w:val="13"/>
          <w:color w:val="auto"/>
        </w:rPr>
        <w:t>&amp;</w:t>
      </w:r>
      <w:r>
        <w:rPr>
          <w:rFonts w:ascii="Arial" w:cs="Arial" w:eastAsia="Arial" w:hAnsi="Arial"/>
          <w:sz w:val="14"/>
          <w:szCs w:val="14"/>
          <w:color w:val="auto"/>
        </w:rPr>
        <w:t>T or M</w:t>
      </w:r>
      <w:r>
        <w:rPr>
          <w:rFonts w:ascii="Arial" w:cs="Arial" w:eastAsia="Arial" w:hAnsi="Arial"/>
          <w:sz w:val="13"/>
          <w:szCs w:val="13"/>
          <w:color w:val="auto"/>
        </w:rPr>
        <w:t>&amp;</w:t>
      </w:r>
      <w:r>
        <w:rPr>
          <w:rFonts w:ascii="Arial" w:cs="Arial" w:eastAsia="Arial" w:hAnsi="Arial"/>
          <w:sz w:val="14"/>
          <w:szCs w:val="14"/>
          <w:color w:val="auto"/>
        </w:rPr>
        <w:t>T Bank becomes subject to any regulatory capital directive or becomes an institution in “troubled” condition under applicable banking regulations. However, in the event the tender offer or exchange offer is not commenced or consummated in accordance with its terms, the restrictions on AIB described above will thereafter continue to apply.</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Anti-Dilution Protections</w:t>
      </w:r>
    </w:p>
    <w:p>
      <w:pPr>
        <w:spacing w:after="0" w:line="22" w:lineRule="exact"/>
        <w:rPr>
          <w:sz w:val="20"/>
          <w:szCs w:val="20"/>
          <w:color w:val="auto"/>
        </w:rPr>
      </w:pPr>
    </w:p>
    <w:p>
      <w:pPr>
        <w:ind w:left="680" w:right="140"/>
        <w:spacing w:after="0" w:line="263" w:lineRule="auto"/>
        <w:rPr>
          <w:sz w:val="20"/>
          <w:szCs w:val="20"/>
          <w:color w:val="auto"/>
        </w:rPr>
      </w:pPr>
      <w:r>
        <w:rPr>
          <w:rFonts w:ascii="Arial" w:cs="Arial" w:eastAsia="Arial" w:hAnsi="Arial"/>
          <w:sz w:val="14"/>
          <w:szCs w:val="14"/>
          <w:color w:val="auto"/>
        </w:rPr>
        <w:t>M</w:t>
      </w:r>
      <w:r>
        <w:rPr>
          <w:rFonts w:ascii="Arial" w:cs="Arial" w:eastAsia="Arial" w:hAnsi="Arial"/>
          <w:sz w:val="13"/>
          <w:szCs w:val="13"/>
          <w:color w:val="auto"/>
        </w:rPr>
        <w:t>&amp;</w:t>
      </w:r>
      <w:r>
        <w:rPr>
          <w:rFonts w:ascii="Arial" w:cs="Arial" w:eastAsia="Arial" w:hAnsi="Arial"/>
          <w:sz w:val="14"/>
          <w:szCs w:val="14"/>
          <w:color w:val="auto"/>
        </w:rPr>
        <w:t>T has agreed that until the Sunset Date, in the event M</w:t>
      </w:r>
      <w:r>
        <w:rPr>
          <w:rFonts w:ascii="Arial" w:cs="Arial" w:eastAsia="Arial" w:hAnsi="Arial"/>
          <w:sz w:val="13"/>
          <w:szCs w:val="13"/>
          <w:color w:val="auto"/>
        </w:rPr>
        <w:t>&amp;</w:t>
      </w:r>
      <w:r>
        <w:rPr>
          <w:rFonts w:ascii="Arial" w:cs="Arial" w:eastAsia="Arial" w:hAnsi="Arial"/>
          <w:sz w:val="14"/>
          <w:szCs w:val="14"/>
          <w:color w:val="auto"/>
        </w:rPr>
        <w:t>T issues shares of M</w:t>
      </w:r>
      <w:r>
        <w:rPr>
          <w:rFonts w:ascii="Arial" w:cs="Arial" w:eastAsia="Arial" w:hAnsi="Arial"/>
          <w:sz w:val="13"/>
          <w:szCs w:val="13"/>
          <w:color w:val="auto"/>
        </w:rPr>
        <w:t>&amp;</w:t>
      </w:r>
      <w:r>
        <w:rPr>
          <w:rFonts w:ascii="Arial" w:cs="Arial" w:eastAsia="Arial" w:hAnsi="Arial"/>
          <w:sz w:val="14"/>
          <w:szCs w:val="14"/>
          <w:color w:val="auto"/>
        </w:rPr>
        <w:t>T stock (other than certain issuances to employees pursuant to option and benefit plans), subject to applicable law and</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right="340"/>
        <w:spacing w:after="0" w:line="258" w:lineRule="auto"/>
        <w:rPr>
          <w:sz w:val="20"/>
          <w:szCs w:val="20"/>
          <w:color w:val="auto"/>
        </w:rPr>
      </w:pPr>
      <w:r>
        <w:rPr>
          <w:rFonts w:ascii="Arial" w:cs="Arial" w:eastAsia="Arial" w:hAnsi="Arial"/>
          <w:sz w:val="14"/>
          <w:szCs w:val="14"/>
          <w:color w:val="auto"/>
        </w:rPr>
        <w:t>regulatory requirements, AIB will have the right to purchase at fair market value up to the number of shares of M</w:t>
      </w:r>
      <w:r>
        <w:rPr>
          <w:rFonts w:ascii="Arial" w:cs="Arial" w:eastAsia="Arial" w:hAnsi="Arial"/>
          <w:sz w:val="13"/>
          <w:szCs w:val="13"/>
          <w:color w:val="auto"/>
        </w:rPr>
        <w:t>&amp;</w:t>
      </w:r>
      <w:r>
        <w:rPr>
          <w:rFonts w:ascii="Arial" w:cs="Arial" w:eastAsia="Arial" w:hAnsi="Arial"/>
          <w:sz w:val="14"/>
          <w:szCs w:val="14"/>
          <w:color w:val="auto"/>
        </w:rPr>
        <w:t>T common stock required to increase or maintain its equity interest in M</w:t>
      </w:r>
      <w:r>
        <w:rPr>
          <w:rFonts w:ascii="Arial" w:cs="Arial" w:eastAsia="Arial" w:hAnsi="Arial"/>
          <w:sz w:val="13"/>
          <w:szCs w:val="13"/>
          <w:color w:val="auto"/>
        </w:rPr>
        <w:t>&amp;</w:t>
      </w:r>
      <w:r>
        <w:rPr>
          <w:rFonts w:ascii="Arial" w:cs="Arial" w:eastAsia="Arial" w:hAnsi="Arial"/>
          <w:sz w:val="14"/>
          <w:szCs w:val="14"/>
          <w:color w:val="auto"/>
        </w:rPr>
        <w:t>T to 22.5% of the then outstanding M</w:t>
      </w:r>
      <w:r>
        <w:rPr>
          <w:rFonts w:ascii="Arial" w:cs="Arial" w:eastAsia="Arial" w:hAnsi="Arial"/>
          <w:sz w:val="13"/>
          <w:szCs w:val="13"/>
          <w:color w:val="auto"/>
        </w:rPr>
        <w:t>&amp;</w:t>
      </w:r>
      <w:r>
        <w:rPr>
          <w:rFonts w:ascii="Arial" w:cs="Arial" w:eastAsia="Arial" w:hAnsi="Arial"/>
          <w:sz w:val="14"/>
          <w:szCs w:val="14"/>
          <w:color w:val="auto"/>
        </w:rPr>
        <w:t>T common stock.</w:t>
      </w:r>
    </w:p>
    <w:p>
      <w:pPr>
        <w:jc w:val="both"/>
        <w:ind w:left="680" w:firstLine="599"/>
        <w:spacing w:after="0" w:line="253" w:lineRule="auto"/>
        <w:rPr>
          <w:sz w:val="20"/>
          <w:szCs w:val="20"/>
          <w:color w:val="auto"/>
        </w:rPr>
      </w:pPr>
      <w:r>
        <w:rPr>
          <w:rFonts w:ascii="Arial" w:cs="Arial" w:eastAsia="Arial" w:hAnsi="Arial"/>
          <w:sz w:val="14"/>
          <w:szCs w:val="14"/>
          <w:color w:val="auto"/>
        </w:rPr>
        <w:t>M</w:t>
      </w:r>
      <w:r>
        <w:rPr>
          <w:rFonts w:ascii="Arial" w:cs="Arial" w:eastAsia="Arial" w:hAnsi="Arial"/>
          <w:sz w:val="13"/>
          <w:szCs w:val="13"/>
          <w:color w:val="auto"/>
        </w:rPr>
        <w:t>&amp;</w:t>
      </w:r>
      <w:r>
        <w:rPr>
          <w:rFonts w:ascii="Arial" w:cs="Arial" w:eastAsia="Arial" w:hAnsi="Arial"/>
          <w:sz w:val="14"/>
          <w:szCs w:val="14"/>
          <w:color w:val="auto"/>
        </w:rPr>
        <w:t>T has also agreed that until the Sunset Date, in connection with any issuance of M</w:t>
      </w:r>
      <w:r>
        <w:rPr>
          <w:rFonts w:ascii="Arial" w:cs="Arial" w:eastAsia="Arial" w:hAnsi="Arial"/>
          <w:sz w:val="13"/>
          <w:szCs w:val="13"/>
          <w:color w:val="auto"/>
        </w:rPr>
        <w:t>&amp;</w:t>
      </w:r>
      <w:r>
        <w:rPr>
          <w:rFonts w:ascii="Arial" w:cs="Arial" w:eastAsia="Arial" w:hAnsi="Arial"/>
          <w:sz w:val="14"/>
          <w:szCs w:val="14"/>
          <w:color w:val="auto"/>
        </w:rPr>
        <w:t>T stock pursuant to employee option or benefit plans, M</w:t>
      </w:r>
      <w:r>
        <w:rPr>
          <w:rFonts w:ascii="Arial" w:cs="Arial" w:eastAsia="Arial" w:hAnsi="Arial"/>
          <w:sz w:val="13"/>
          <w:szCs w:val="13"/>
          <w:color w:val="auto"/>
        </w:rPr>
        <w:t>&amp;</w:t>
      </w:r>
      <w:r>
        <w:rPr>
          <w:rFonts w:ascii="Arial" w:cs="Arial" w:eastAsia="Arial" w:hAnsi="Arial"/>
          <w:sz w:val="14"/>
          <w:szCs w:val="14"/>
          <w:color w:val="auto"/>
        </w:rPr>
        <w:t>T will as soon as reasonably practicable, taking into account applicable law, regulatory capital requirements, capital planning and risk management, take such necessary actions so that AIB’s proportionate ownership of M</w:t>
      </w:r>
      <w:r>
        <w:rPr>
          <w:rFonts w:ascii="Arial" w:cs="Arial" w:eastAsia="Arial" w:hAnsi="Arial"/>
          <w:sz w:val="13"/>
          <w:szCs w:val="13"/>
          <w:color w:val="auto"/>
        </w:rPr>
        <w:t>&amp;</w:t>
      </w:r>
      <w:r>
        <w:rPr>
          <w:rFonts w:ascii="Arial" w:cs="Arial" w:eastAsia="Arial" w:hAnsi="Arial"/>
          <w:sz w:val="14"/>
          <w:szCs w:val="14"/>
          <w:color w:val="auto"/>
        </w:rPr>
        <w:t>T common stock is not reduced as a result of such issuances, including by funding such issuances through purchases of M</w:t>
      </w:r>
      <w:r>
        <w:rPr>
          <w:rFonts w:ascii="Arial" w:cs="Arial" w:eastAsia="Arial" w:hAnsi="Arial"/>
          <w:sz w:val="13"/>
          <w:szCs w:val="13"/>
          <w:color w:val="auto"/>
        </w:rPr>
        <w:t>&amp;</w:t>
      </w:r>
      <w:r>
        <w:rPr>
          <w:rFonts w:ascii="Arial" w:cs="Arial" w:eastAsia="Arial" w:hAnsi="Arial"/>
          <w:sz w:val="14"/>
          <w:szCs w:val="14"/>
          <w:color w:val="auto"/>
        </w:rPr>
        <w:t>T common stock in the open market or by undertaking share repurchase programs.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Sale of M</w:t>
      </w:r>
      <w:r>
        <w:rPr>
          <w:rFonts w:ascii="Arial" w:cs="Arial" w:eastAsia="Arial" w:hAnsi="Arial"/>
          <w:sz w:val="13"/>
          <w:szCs w:val="13"/>
          <w:b w:val="1"/>
          <w:bCs w:val="1"/>
          <w:color w:val="auto"/>
        </w:rPr>
        <w:t>&amp;</w:t>
      </w:r>
      <w:r>
        <w:rPr>
          <w:rFonts w:ascii="Arial" w:cs="Arial" w:eastAsia="Arial" w:hAnsi="Arial"/>
          <w:sz w:val="14"/>
          <w:szCs w:val="14"/>
          <w:b w:val="1"/>
          <w:bCs w:val="1"/>
          <w:color w:val="auto"/>
        </w:rPr>
        <w:t>T Common Stock; Right of First Refusal in Certain Circumstances</w:t>
      </w:r>
    </w:p>
    <w:p>
      <w:pPr>
        <w:spacing w:after="0" w:line="22" w:lineRule="exact"/>
        <w:rPr>
          <w:sz w:val="20"/>
          <w:szCs w:val="20"/>
          <w:color w:val="auto"/>
        </w:rPr>
      </w:pPr>
    </w:p>
    <w:p>
      <w:pPr>
        <w:jc w:val="both"/>
        <w:ind w:left="680" w:right="400"/>
        <w:spacing w:after="0" w:line="268" w:lineRule="auto"/>
        <w:rPr>
          <w:sz w:val="20"/>
          <w:szCs w:val="20"/>
          <w:color w:val="auto"/>
        </w:rPr>
      </w:pPr>
      <w:r>
        <w:rPr>
          <w:rFonts w:ascii="Arial" w:cs="Arial" w:eastAsia="Arial" w:hAnsi="Arial"/>
          <w:sz w:val="13"/>
          <w:szCs w:val="13"/>
          <w:color w:val="auto"/>
        </w:rPr>
        <w:t>The M</w:t>
      </w:r>
      <w:r>
        <w:rPr>
          <w:rFonts w:ascii="Arial" w:cs="Arial" w:eastAsia="Arial" w:hAnsi="Arial"/>
          <w:sz w:val="12"/>
          <w:szCs w:val="12"/>
          <w:color w:val="auto"/>
        </w:rPr>
        <w:t>&amp;</w:t>
      </w:r>
      <w:r>
        <w:rPr>
          <w:rFonts w:ascii="Arial" w:cs="Arial" w:eastAsia="Arial" w:hAnsi="Arial"/>
          <w:sz w:val="13"/>
          <w:szCs w:val="13"/>
          <w:color w:val="auto"/>
        </w:rPr>
        <w:t>T common stock issued to AIB was not registered under the Securities Act of 1933 (the “Securities Act”) and may only be disposed of by AIB pursuant to an effective registration statement or pursuant to an exemption from registration under the Securities Act and subject to the provisions of the Reorganization Agreement.</w:t>
      </w:r>
    </w:p>
    <w:p>
      <w:pPr>
        <w:ind w:left="680" w:right="100" w:firstLine="599"/>
        <w:spacing w:after="0" w:line="249" w:lineRule="auto"/>
        <w:rPr>
          <w:sz w:val="20"/>
          <w:szCs w:val="20"/>
          <w:color w:val="auto"/>
        </w:rPr>
      </w:pPr>
      <w:r>
        <w:rPr>
          <w:rFonts w:ascii="Arial" w:cs="Arial" w:eastAsia="Arial" w:hAnsi="Arial"/>
          <w:sz w:val="14"/>
          <w:szCs w:val="14"/>
          <w:color w:val="auto"/>
        </w:rPr>
        <w:t>M</w:t>
      </w:r>
      <w:r>
        <w:rPr>
          <w:rFonts w:ascii="Arial" w:cs="Arial" w:eastAsia="Arial" w:hAnsi="Arial"/>
          <w:sz w:val="13"/>
          <w:szCs w:val="13"/>
          <w:color w:val="auto"/>
        </w:rPr>
        <w:t>&amp;</w:t>
      </w:r>
      <w:r>
        <w:rPr>
          <w:rFonts w:ascii="Arial" w:cs="Arial" w:eastAsia="Arial" w:hAnsi="Arial"/>
          <w:sz w:val="14"/>
          <w:szCs w:val="14"/>
          <w:color w:val="auto"/>
        </w:rPr>
        <w:t>T and AIB have entered into a registration rights agreement that provides that upon AIB’s request, M</w:t>
      </w:r>
      <w:r>
        <w:rPr>
          <w:rFonts w:ascii="Arial" w:cs="Arial" w:eastAsia="Arial" w:hAnsi="Arial"/>
          <w:sz w:val="13"/>
          <w:szCs w:val="13"/>
          <w:color w:val="auto"/>
        </w:rPr>
        <w:t>&amp;</w:t>
      </w:r>
      <w:r>
        <w:rPr>
          <w:rFonts w:ascii="Arial" w:cs="Arial" w:eastAsia="Arial" w:hAnsi="Arial"/>
          <w:sz w:val="14"/>
          <w:szCs w:val="14"/>
          <w:color w:val="auto"/>
        </w:rPr>
        <w:t>T will file a registration statement relating to all or a portion of AIB’s shares of M</w:t>
      </w:r>
      <w:r>
        <w:rPr>
          <w:rFonts w:ascii="Arial" w:cs="Arial" w:eastAsia="Arial" w:hAnsi="Arial"/>
          <w:sz w:val="13"/>
          <w:szCs w:val="13"/>
          <w:color w:val="auto"/>
        </w:rPr>
        <w:t>&amp;</w:t>
      </w:r>
      <w:r>
        <w:rPr>
          <w:rFonts w:ascii="Arial" w:cs="Arial" w:eastAsia="Arial" w:hAnsi="Arial"/>
          <w:sz w:val="14"/>
          <w:szCs w:val="14"/>
          <w:color w:val="auto"/>
        </w:rPr>
        <w:t>T common stock providing for the sale of such shares by AIB from time to time on a continuous basis pursuant to Rule 415 under the Securities Act, provided that M</w:t>
      </w:r>
      <w:r>
        <w:rPr>
          <w:rFonts w:ascii="Arial" w:cs="Arial" w:eastAsia="Arial" w:hAnsi="Arial"/>
          <w:sz w:val="13"/>
          <w:szCs w:val="13"/>
          <w:color w:val="auto"/>
        </w:rPr>
        <w:t>&amp;</w:t>
      </w:r>
      <w:r>
        <w:rPr>
          <w:rFonts w:ascii="Arial" w:cs="Arial" w:eastAsia="Arial" w:hAnsi="Arial"/>
          <w:sz w:val="14"/>
          <w:szCs w:val="14"/>
          <w:color w:val="auto"/>
        </w:rPr>
        <w:t>T need only effect one such “shelf registration” in any 12-month period. In addition, the registration rights agreement provides that AIB is entitled to demand registration under the Securities Act of all or part of its shares of M</w:t>
      </w:r>
      <w:r>
        <w:rPr>
          <w:rFonts w:ascii="Arial" w:cs="Arial" w:eastAsia="Arial" w:hAnsi="Arial"/>
          <w:sz w:val="13"/>
          <w:szCs w:val="13"/>
          <w:color w:val="auto"/>
        </w:rPr>
        <w:t>&amp;</w:t>
      </w:r>
      <w:r>
        <w:rPr>
          <w:rFonts w:ascii="Arial" w:cs="Arial" w:eastAsia="Arial" w:hAnsi="Arial"/>
          <w:sz w:val="14"/>
          <w:szCs w:val="14"/>
          <w:color w:val="auto"/>
        </w:rPr>
        <w:t>T stock, provided that M</w:t>
      </w:r>
      <w:r>
        <w:rPr>
          <w:rFonts w:ascii="Arial" w:cs="Arial" w:eastAsia="Arial" w:hAnsi="Arial"/>
          <w:sz w:val="13"/>
          <w:szCs w:val="13"/>
          <w:color w:val="auto"/>
        </w:rPr>
        <w:t>&amp;</w:t>
      </w:r>
      <w:r>
        <w:rPr>
          <w:rFonts w:ascii="Arial" w:cs="Arial" w:eastAsia="Arial" w:hAnsi="Arial"/>
          <w:sz w:val="14"/>
          <w:szCs w:val="14"/>
          <w:color w:val="auto"/>
        </w:rPr>
        <w:t>T is not obligated to effect two such “demand registrations” in any 12-month period. Any demand or shelf registration must cover no less than one million shares.</w:t>
      </w:r>
    </w:p>
    <w:p>
      <w:pPr>
        <w:ind w:left="680" w:firstLine="599"/>
        <w:spacing w:after="0" w:line="268" w:lineRule="auto"/>
        <w:rPr>
          <w:sz w:val="20"/>
          <w:szCs w:val="20"/>
          <w:color w:val="auto"/>
        </w:rPr>
      </w:pPr>
      <w:r>
        <w:rPr>
          <w:rFonts w:ascii="Arial" w:cs="Arial" w:eastAsia="Arial" w:hAnsi="Arial"/>
          <w:sz w:val="13"/>
          <w:szCs w:val="13"/>
          <w:color w:val="auto"/>
        </w:rPr>
        <w:t>The registration rights agreement further provides that in the event M</w:t>
      </w:r>
      <w:r>
        <w:rPr>
          <w:rFonts w:ascii="Arial" w:cs="Arial" w:eastAsia="Arial" w:hAnsi="Arial"/>
          <w:sz w:val="12"/>
          <w:szCs w:val="12"/>
          <w:color w:val="auto"/>
        </w:rPr>
        <w:t>&amp;</w:t>
      </w:r>
      <w:r>
        <w:rPr>
          <w:rFonts w:ascii="Arial" w:cs="Arial" w:eastAsia="Arial" w:hAnsi="Arial"/>
          <w:sz w:val="13"/>
          <w:szCs w:val="13"/>
          <w:color w:val="auto"/>
        </w:rPr>
        <w:t>T proposes to file a registration statement other than pursuant to a shelf registration or demand registration or Forms S-8 or S-4, for an offering and sale of shares by M</w:t>
      </w:r>
      <w:r>
        <w:rPr>
          <w:rFonts w:ascii="Arial" w:cs="Arial" w:eastAsia="Arial" w:hAnsi="Arial"/>
          <w:sz w:val="12"/>
          <w:szCs w:val="12"/>
          <w:color w:val="auto"/>
        </w:rPr>
        <w:t>&amp;</w:t>
      </w:r>
      <w:r>
        <w:rPr>
          <w:rFonts w:ascii="Arial" w:cs="Arial" w:eastAsia="Arial" w:hAnsi="Arial"/>
          <w:sz w:val="13"/>
          <w:szCs w:val="13"/>
          <w:color w:val="auto"/>
        </w:rPr>
        <w:t>T in an underwritten offering or an offering and sale of shares on behalf of one or more selling shareholders, M</w:t>
      </w:r>
      <w:r>
        <w:rPr>
          <w:rFonts w:ascii="Arial" w:cs="Arial" w:eastAsia="Arial" w:hAnsi="Arial"/>
          <w:sz w:val="12"/>
          <w:szCs w:val="12"/>
          <w:color w:val="auto"/>
        </w:rPr>
        <w:t>&amp;</w:t>
      </w:r>
      <w:r>
        <w:rPr>
          <w:rFonts w:ascii="Arial" w:cs="Arial" w:eastAsia="Arial" w:hAnsi="Arial"/>
          <w:sz w:val="13"/>
          <w:szCs w:val="13"/>
          <w:color w:val="auto"/>
        </w:rPr>
        <w:t>T must give AIB notice at least 15 days prior to the anticipated filing date, and AIB may request that all or a portion of its M</w:t>
      </w:r>
      <w:r>
        <w:rPr>
          <w:rFonts w:ascii="Arial" w:cs="Arial" w:eastAsia="Arial" w:hAnsi="Arial"/>
          <w:sz w:val="12"/>
          <w:szCs w:val="12"/>
          <w:color w:val="auto"/>
        </w:rPr>
        <w:t>&amp;</w:t>
      </w:r>
      <w:r>
        <w:rPr>
          <w:rFonts w:ascii="Arial" w:cs="Arial" w:eastAsia="Arial" w:hAnsi="Arial"/>
          <w:sz w:val="13"/>
          <w:szCs w:val="13"/>
          <w:color w:val="auto"/>
        </w:rPr>
        <w:t>T common shares be included in the registration statement. M</w:t>
      </w:r>
      <w:r>
        <w:rPr>
          <w:rFonts w:ascii="Arial" w:cs="Arial" w:eastAsia="Arial" w:hAnsi="Arial"/>
          <w:sz w:val="12"/>
          <w:szCs w:val="12"/>
          <w:color w:val="auto"/>
        </w:rPr>
        <w:t>&amp;</w:t>
      </w:r>
      <w:r>
        <w:rPr>
          <w:rFonts w:ascii="Arial" w:cs="Arial" w:eastAsia="Arial" w:hAnsi="Arial"/>
          <w:sz w:val="13"/>
          <w:szCs w:val="13"/>
          <w:color w:val="auto"/>
        </w:rPr>
        <w:t>T will honor the request, unless the managing underwriter advises M</w:t>
      </w:r>
      <w:r>
        <w:rPr>
          <w:rFonts w:ascii="Arial" w:cs="Arial" w:eastAsia="Arial" w:hAnsi="Arial"/>
          <w:sz w:val="12"/>
          <w:szCs w:val="12"/>
          <w:color w:val="auto"/>
        </w:rPr>
        <w:t>&amp;</w:t>
      </w:r>
      <w:r>
        <w:rPr>
          <w:rFonts w:ascii="Arial" w:cs="Arial" w:eastAsia="Arial" w:hAnsi="Arial"/>
          <w:sz w:val="13"/>
          <w:szCs w:val="13"/>
          <w:color w:val="auto"/>
        </w:rPr>
        <w:t>T in writing that in its opinion the inclusion of all shares requested to be included by M</w:t>
      </w:r>
      <w:r>
        <w:rPr>
          <w:rFonts w:ascii="Arial" w:cs="Arial" w:eastAsia="Arial" w:hAnsi="Arial"/>
          <w:sz w:val="12"/>
          <w:szCs w:val="12"/>
          <w:color w:val="auto"/>
        </w:rPr>
        <w:t>&amp;</w:t>
      </w:r>
      <w:r>
        <w:rPr>
          <w:rFonts w:ascii="Arial" w:cs="Arial" w:eastAsia="Arial" w:hAnsi="Arial"/>
          <w:sz w:val="13"/>
          <w:szCs w:val="13"/>
          <w:color w:val="auto"/>
        </w:rPr>
        <w:t>T, the other selling shareholders, if any, and AIB would materially and adversely affect the offering, in which case M</w:t>
      </w:r>
      <w:r>
        <w:rPr>
          <w:rFonts w:ascii="Arial" w:cs="Arial" w:eastAsia="Arial" w:hAnsi="Arial"/>
          <w:sz w:val="12"/>
          <w:szCs w:val="12"/>
          <w:color w:val="auto"/>
        </w:rPr>
        <w:t>&amp;</w:t>
      </w:r>
      <w:r>
        <w:rPr>
          <w:rFonts w:ascii="Arial" w:cs="Arial" w:eastAsia="Arial" w:hAnsi="Arial"/>
          <w:sz w:val="13"/>
          <w:szCs w:val="13"/>
          <w:color w:val="auto"/>
        </w:rPr>
        <w:t>T may limit the number of shares included in the offering to a number that would not reasonably be expected to have such an effect. In such event, the number of shares to be included in the registration statement shall first include the number of shares requested to be included by M</w:t>
      </w:r>
      <w:r>
        <w:rPr>
          <w:rFonts w:ascii="Arial" w:cs="Arial" w:eastAsia="Arial" w:hAnsi="Arial"/>
          <w:sz w:val="12"/>
          <w:szCs w:val="12"/>
          <w:color w:val="auto"/>
        </w:rPr>
        <w:t>&amp;</w:t>
      </w:r>
      <w:r>
        <w:rPr>
          <w:rFonts w:ascii="Arial" w:cs="Arial" w:eastAsia="Arial" w:hAnsi="Arial"/>
          <w:sz w:val="13"/>
          <w:szCs w:val="13"/>
          <w:color w:val="auto"/>
        </w:rPr>
        <w:t>T and then the shares requested by other selling shareholders, including AIB, on a pro rata basis according to the number of shares requested to be included in the registration statement by each shareholder.</w:t>
      </w:r>
    </w:p>
    <w:p>
      <w:pPr>
        <w:spacing w:after="0" w:line="1" w:lineRule="exact"/>
        <w:rPr>
          <w:sz w:val="20"/>
          <w:szCs w:val="20"/>
          <w:color w:val="auto"/>
        </w:rPr>
      </w:pPr>
    </w:p>
    <w:p>
      <w:pPr>
        <w:ind w:left="680" w:right="20" w:firstLine="599"/>
        <w:spacing w:after="0" w:line="268" w:lineRule="auto"/>
        <w:rPr>
          <w:sz w:val="20"/>
          <w:szCs w:val="20"/>
          <w:color w:val="auto"/>
        </w:rPr>
      </w:pPr>
      <w:r>
        <w:rPr>
          <w:rFonts w:ascii="Arial" w:cs="Arial" w:eastAsia="Arial" w:hAnsi="Arial"/>
          <w:sz w:val="13"/>
          <w:szCs w:val="13"/>
          <w:color w:val="auto"/>
        </w:rPr>
        <w:t>As long as AIB holds 5% or more of the outstanding shares of M</w:t>
      </w:r>
      <w:r>
        <w:rPr>
          <w:rFonts w:ascii="Arial" w:cs="Arial" w:eastAsia="Arial" w:hAnsi="Arial"/>
          <w:sz w:val="12"/>
          <w:szCs w:val="12"/>
          <w:color w:val="auto"/>
        </w:rPr>
        <w:t>&amp;</w:t>
      </w:r>
      <w:r>
        <w:rPr>
          <w:rFonts w:ascii="Arial" w:cs="Arial" w:eastAsia="Arial" w:hAnsi="Arial"/>
          <w:sz w:val="13"/>
          <w:szCs w:val="13"/>
          <w:color w:val="auto"/>
        </w:rPr>
        <w:t>T common stock, AIB will not dispose of any of its shares of M</w:t>
      </w:r>
      <w:r>
        <w:rPr>
          <w:rFonts w:ascii="Arial" w:cs="Arial" w:eastAsia="Arial" w:hAnsi="Arial"/>
          <w:sz w:val="12"/>
          <w:szCs w:val="12"/>
          <w:color w:val="auto"/>
        </w:rPr>
        <w:t>&amp;</w:t>
      </w:r>
      <w:r>
        <w:rPr>
          <w:rFonts w:ascii="Arial" w:cs="Arial" w:eastAsia="Arial" w:hAnsi="Arial"/>
          <w:sz w:val="13"/>
          <w:szCs w:val="13"/>
          <w:color w:val="auto"/>
        </w:rPr>
        <w:t>T common stock except, subject to the terms and conditions of the Reorganization Agreement and applicable law, in a widely dispersed public distribution; a private placement in which no one party acquires the right to purchase more than 2% of the outstanding shares of M</w:t>
      </w:r>
      <w:r>
        <w:rPr>
          <w:rFonts w:ascii="Arial" w:cs="Arial" w:eastAsia="Arial" w:hAnsi="Arial"/>
          <w:sz w:val="12"/>
          <w:szCs w:val="12"/>
          <w:color w:val="auto"/>
        </w:rPr>
        <w:t>&amp;</w:t>
      </w:r>
      <w:r>
        <w:rPr>
          <w:rFonts w:ascii="Arial" w:cs="Arial" w:eastAsia="Arial" w:hAnsi="Arial"/>
          <w:sz w:val="13"/>
          <w:szCs w:val="13"/>
          <w:color w:val="auto"/>
        </w:rPr>
        <w:t>T common stock; an assignment to a single party (such as a broker or investment banker) for the purpose of conducting a widely dispersed public distribution on AIB’s behalf; pursuant to Rule 144 under the Securities Act; pursuant to a tender or exchange offer to M</w:t>
      </w:r>
      <w:r>
        <w:rPr>
          <w:rFonts w:ascii="Arial" w:cs="Arial" w:eastAsia="Arial" w:hAnsi="Arial"/>
          <w:sz w:val="12"/>
          <w:szCs w:val="12"/>
          <w:color w:val="auto"/>
        </w:rPr>
        <w:t>&amp;</w:t>
      </w:r>
      <w:r>
        <w:rPr>
          <w:rFonts w:ascii="Arial" w:cs="Arial" w:eastAsia="Arial" w:hAnsi="Arial"/>
          <w:sz w:val="13"/>
          <w:szCs w:val="13"/>
          <w:color w:val="auto"/>
        </w:rPr>
        <w:t>T’s shareholders not opposed by M</w:t>
      </w:r>
      <w:r>
        <w:rPr>
          <w:rFonts w:ascii="Arial" w:cs="Arial" w:eastAsia="Arial" w:hAnsi="Arial"/>
          <w:sz w:val="12"/>
          <w:szCs w:val="12"/>
          <w:color w:val="auto"/>
        </w:rPr>
        <w:t>&amp;</w:t>
      </w:r>
      <w:r>
        <w:rPr>
          <w:rFonts w:ascii="Arial" w:cs="Arial" w:eastAsia="Arial" w:hAnsi="Arial"/>
          <w:sz w:val="13"/>
          <w:szCs w:val="13"/>
          <w:color w:val="auto"/>
        </w:rPr>
        <w:t>T’s board of directors, or open market purchase programs made by M</w:t>
      </w:r>
      <w:r>
        <w:rPr>
          <w:rFonts w:ascii="Arial" w:cs="Arial" w:eastAsia="Arial" w:hAnsi="Arial"/>
          <w:sz w:val="12"/>
          <w:szCs w:val="12"/>
          <w:color w:val="auto"/>
        </w:rPr>
        <w:t>&amp;</w:t>
      </w:r>
      <w:r>
        <w:rPr>
          <w:rFonts w:ascii="Arial" w:cs="Arial" w:eastAsia="Arial" w:hAnsi="Arial"/>
          <w:sz w:val="13"/>
          <w:szCs w:val="13"/>
          <w:color w:val="auto"/>
        </w:rPr>
        <w:t>T; with the consent of M</w:t>
      </w:r>
      <w:r>
        <w:rPr>
          <w:rFonts w:ascii="Arial" w:cs="Arial" w:eastAsia="Arial" w:hAnsi="Arial"/>
          <w:sz w:val="12"/>
          <w:szCs w:val="12"/>
          <w:color w:val="auto"/>
        </w:rPr>
        <w:t>&amp;</w:t>
      </w:r>
      <w:r>
        <w:rPr>
          <w:rFonts w:ascii="Arial" w:cs="Arial" w:eastAsia="Arial" w:hAnsi="Arial"/>
          <w:sz w:val="13"/>
          <w:szCs w:val="13"/>
          <w:color w:val="auto"/>
        </w:rPr>
        <w:t>T, which consent will not be unreasonably withheld, to a controlled subsidiary of AIB; or pursuant to M</w:t>
      </w:r>
      <w:r>
        <w:rPr>
          <w:rFonts w:ascii="Arial" w:cs="Arial" w:eastAsia="Arial" w:hAnsi="Arial"/>
          <w:sz w:val="12"/>
          <w:szCs w:val="12"/>
          <w:color w:val="auto"/>
        </w:rPr>
        <w:t>&amp;</w:t>
      </w:r>
      <w:r>
        <w:rPr>
          <w:rFonts w:ascii="Arial" w:cs="Arial" w:eastAsia="Arial" w:hAnsi="Arial"/>
          <w:sz w:val="13"/>
          <w:szCs w:val="13"/>
          <w:color w:val="auto"/>
        </w:rPr>
        <w:t>T’s right of first refusal as described below.</w:t>
      </w:r>
    </w:p>
    <w:p>
      <w:pPr>
        <w:spacing w:after="0" w:line="1" w:lineRule="exact"/>
        <w:rPr>
          <w:sz w:val="20"/>
          <w:szCs w:val="20"/>
          <w:color w:val="auto"/>
        </w:rPr>
      </w:pPr>
    </w:p>
    <w:p>
      <w:pPr>
        <w:ind w:left="680" w:firstLine="599"/>
        <w:spacing w:after="0" w:line="252" w:lineRule="auto"/>
        <w:rPr>
          <w:sz w:val="20"/>
          <w:szCs w:val="20"/>
          <w:color w:val="auto"/>
        </w:rPr>
      </w:pPr>
      <w:r>
        <w:rPr>
          <w:rFonts w:ascii="Arial" w:cs="Arial" w:eastAsia="Arial" w:hAnsi="Arial"/>
          <w:sz w:val="14"/>
          <w:szCs w:val="14"/>
          <w:color w:val="auto"/>
        </w:rPr>
        <w:t>The Reorganization Agreement provides that until AIB no longer holds at least 5% of the outstanding shares of M</w:t>
      </w:r>
      <w:r>
        <w:rPr>
          <w:rFonts w:ascii="Arial" w:cs="Arial" w:eastAsia="Arial" w:hAnsi="Arial"/>
          <w:sz w:val="13"/>
          <w:szCs w:val="13"/>
          <w:color w:val="auto"/>
        </w:rPr>
        <w:t>&amp;</w:t>
      </w:r>
      <w:r>
        <w:rPr>
          <w:rFonts w:ascii="Arial" w:cs="Arial" w:eastAsia="Arial" w:hAnsi="Arial"/>
          <w:sz w:val="14"/>
          <w:szCs w:val="14"/>
          <w:color w:val="auto"/>
        </w:rPr>
        <w:t>T common stock, if AIB wishes to sell or otherwise transfer any of its shares of M</w:t>
      </w:r>
      <w:r>
        <w:rPr>
          <w:rFonts w:ascii="Arial" w:cs="Arial" w:eastAsia="Arial" w:hAnsi="Arial"/>
          <w:sz w:val="13"/>
          <w:szCs w:val="13"/>
          <w:color w:val="auto"/>
        </w:rPr>
        <w:t>&amp;</w:t>
      </w:r>
      <w:r>
        <w:rPr>
          <w:rFonts w:ascii="Arial" w:cs="Arial" w:eastAsia="Arial" w:hAnsi="Arial"/>
          <w:sz w:val="14"/>
          <w:szCs w:val="14"/>
          <w:color w:val="auto"/>
        </w:rPr>
        <w:t>T common stock other than as described in the preceding paragraph, AIB must first submit an offer notice to M</w:t>
      </w:r>
      <w:r>
        <w:rPr>
          <w:rFonts w:ascii="Arial" w:cs="Arial" w:eastAsia="Arial" w:hAnsi="Arial"/>
          <w:sz w:val="13"/>
          <w:szCs w:val="13"/>
          <w:color w:val="auto"/>
        </w:rPr>
        <w:t>&amp;</w:t>
      </w:r>
      <w:r>
        <w:rPr>
          <w:rFonts w:ascii="Arial" w:cs="Arial" w:eastAsia="Arial" w:hAnsi="Arial"/>
          <w:sz w:val="14"/>
          <w:szCs w:val="14"/>
          <w:color w:val="auto"/>
        </w:rPr>
        <w:t>T identifying the proposed transferee and setting forth the proposed terms of the transaction, which shall be limited to sales for cash, cash equivalents or marketable securities. M</w:t>
      </w:r>
      <w:r>
        <w:rPr>
          <w:rFonts w:ascii="Arial" w:cs="Arial" w:eastAsia="Arial" w:hAnsi="Arial"/>
          <w:sz w:val="13"/>
          <w:szCs w:val="13"/>
          <w:color w:val="auto"/>
        </w:rPr>
        <w:t>&amp;</w:t>
      </w:r>
      <w:r>
        <w:rPr>
          <w:rFonts w:ascii="Arial" w:cs="Arial" w:eastAsia="Arial" w:hAnsi="Arial"/>
          <w:sz w:val="14"/>
          <w:szCs w:val="14"/>
          <w:color w:val="auto"/>
        </w:rPr>
        <w:t>T will have the right, for 20 days following receipt of an offer notice from AIB, to purchase all (but not less than all) of the shares of M</w:t>
      </w:r>
      <w:r>
        <w:rPr>
          <w:rFonts w:ascii="Arial" w:cs="Arial" w:eastAsia="Arial" w:hAnsi="Arial"/>
          <w:sz w:val="13"/>
          <w:szCs w:val="13"/>
          <w:color w:val="auto"/>
        </w:rPr>
        <w:t>&amp;</w:t>
      </w:r>
      <w:r>
        <w:rPr>
          <w:rFonts w:ascii="Arial" w:cs="Arial" w:eastAsia="Arial" w:hAnsi="Arial"/>
          <w:sz w:val="14"/>
          <w:szCs w:val="14"/>
          <w:color w:val="auto"/>
        </w:rPr>
        <w:t>T common stock that AIB wishes to sell, on the proposed terms specified in</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right="220"/>
        <w:spacing w:after="0" w:line="259" w:lineRule="auto"/>
        <w:rPr>
          <w:sz w:val="20"/>
          <w:szCs w:val="20"/>
          <w:color w:val="auto"/>
        </w:rPr>
      </w:pPr>
      <w:r>
        <w:rPr>
          <w:rFonts w:ascii="Arial" w:cs="Arial" w:eastAsia="Arial" w:hAnsi="Arial"/>
          <w:sz w:val="14"/>
          <w:szCs w:val="14"/>
          <w:color w:val="auto"/>
        </w:rPr>
        <w:t>the offer notice. If M</w:t>
      </w:r>
      <w:r>
        <w:rPr>
          <w:rFonts w:ascii="Arial" w:cs="Arial" w:eastAsia="Arial" w:hAnsi="Arial"/>
          <w:sz w:val="13"/>
          <w:szCs w:val="13"/>
          <w:color w:val="auto"/>
        </w:rPr>
        <w:t>&amp;</w:t>
      </w:r>
      <w:r>
        <w:rPr>
          <w:rFonts w:ascii="Arial" w:cs="Arial" w:eastAsia="Arial" w:hAnsi="Arial"/>
          <w:sz w:val="14"/>
          <w:szCs w:val="14"/>
          <w:color w:val="auto"/>
        </w:rPr>
        <w:t>T declines or fails to respond to the offer notice within 20 days, AIB may sell all or a portion of the M</w:t>
      </w:r>
      <w:r>
        <w:rPr>
          <w:rFonts w:ascii="Arial" w:cs="Arial" w:eastAsia="Arial" w:hAnsi="Arial"/>
          <w:sz w:val="13"/>
          <w:szCs w:val="13"/>
          <w:color w:val="auto"/>
        </w:rPr>
        <w:t>&amp;</w:t>
      </w:r>
      <w:r>
        <w:rPr>
          <w:rFonts w:ascii="Arial" w:cs="Arial" w:eastAsia="Arial" w:hAnsi="Arial"/>
          <w:sz w:val="14"/>
          <w:szCs w:val="14"/>
          <w:color w:val="auto"/>
        </w:rPr>
        <w:t>T shares specified in the offer notice to the proposed transferee at a purchase price equal to or greater than the price specified in the offer notice, at any time during the three months following the date of the offer notice, or, if prior notification to or approval of the sale by the Federal Reserve Board or another regulatory agency is required, AIB shall pursue regulatory approval expeditiously and the sale may occur on the first date permitted under applicable law.</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Certain Post-Closing Bank Regulatory Matters</w:t>
      </w:r>
    </w:p>
    <w:p>
      <w:pPr>
        <w:spacing w:after="0" w:line="22" w:lineRule="exact"/>
        <w:rPr>
          <w:sz w:val="20"/>
          <w:szCs w:val="20"/>
          <w:color w:val="auto"/>
        </w:rPr>
      </w:pPr>
    </w:p>
    <w:p>
      <w:pPr>
        <w:ind w:left="680" w:right="20"/>
        <w:spacing w:after="0" w:line="249" w:lineRule="auto"/>
        <w:rPr>
          <w:sz w:val="20"/>
          <w:szCs w:val="20"/>
          <w:color w:val="auto"/>
        </w:rPr>
      </w:pPr>
      <w:r>
        <w:rPr>
          <w:rFonts w:ascii="Arial" w:cs="Arial" w:eastAsia="Arial" w:hAnsi="Arial"/>
          <w:sz w:val="14"/>
          <w:szCs w:val="14"/>
          <w:color w:val="auto"/>
        </w:rPr>
        <w:t>The Board of Governors of the Federal Reserve System (“Federal Reserve Board”) deems AIB to be M</w:t>
      </w:r>
      <w:r>
        <w:rPr>
          <w:rFonts w:ascii="Arial" w:cs="Arial" w:eastAsia="Arial" w:hAnsi="Arial"/>
          <w:sz w:val="13"/>
          <w:szCs w:val="13"/>
          <w:color w:val="auto"/>
        </w:rPr>
        <w:t>&amp;</w:t>
      </w:r>
      <w:r>
        <w:rPr>
          <w:rFonts w:ascii="Arial" w:cs="Arial" w:eastAsia="Arial" w:hAnsi="Arial"/>
          <w:sz w:val="14"/>
          <w:szCs w:val="14"/>
          <w:color w:val="auto"/>
        </w:rPr>
        <w:t>T’s bank holding company for purposes of the BHCA. In addition, the New York Banking Superintendent (“Banking Superintendent”) deems AIB to be M</w:t>
      </w:r>
      <w:r>
        <w:rPr>
          <w:rFonts w:ascii="Arial" w:cs="Arial" w:eastAsia="Arial" w:hAnsi="Arial"/>
          <w:sz w:val="13"/>
          <w:szCs w:val="13"/>
          <w:color w:val="auto"/>
        </w:rPr>
        <w:t>&amp;</w:t>
      </w:r>
      <w:r>
        <w:rPr>
          <w:rFonts w:ascii="Arial" w:cs="Arial" w:eastAsia="Arial" w:hAnsi="Arial"/>
          <w:sz w:val="14"/>
          <w:szCs w:val="14"/>
          <w:color w:val="auto"/>
        </w:rPr>
        <w:t>T’s bank holding company for purposes of Article III-A of the Banking Law. Among other things, this means that, should M</w:t>
      </w:r>
      <w:r>
        <w:rPr>
          <w:rFonts w:ascii="Arial" w:cs="Arial" w:eastAsia="Arial" w:hAnsi="Arial"/>
          <w:sz w:val="13"/>
          <w:szCs w:val="13"/>
          <w:color w:val="auto"/>
        </w:rPr>
        <w:t>&amp;</w:t>
      </w:r>
      <w:r>
        <w:rPr>
          <w:rFonts w:ascii="Arial" w:cs="Arial" w:eastAsia="Arial" w:hAnsi="Arial"/>
          <w:sz w:val="14"/>
          <w:szCs w:val="14"/>
          <w:color w:val="auto"/>
        </w:rPr>
        <w:t>T propose to make an acquisition or engage in a new type of activity that requires the submission of an application or notice to the Federal Reserve Board or the Banking Superintendent, AIB, as well as M</w:t>
      </w:r>
      <w:r>
        <w:rPr>
          <w:rFonts w:ascii="Arial" w:cs="Arial" w:eastAsia="Arial" w:hAnsi="Arial"/>
          <w:sz w:val="13"/>
          <w:szCs w:val="13"/>
          <w:color w:val="auto"/>
        </w:rPr>
        <w:t>&amp;</w:t>
      </w:r>
      <w:r>
        <w:rPr>
          <w:rFonts w:ascii="Arial" w:cs="Arial" w:eastAsia="Arial" w:hAnsi="Arial"/>
          <w:sz w:val="14"/>
          <w:szCs w:val="14"/>
          <w:color w:val="auto"/>
        </w:rPr>
        <w:t>T, may also be required to file an application or notice. The Reorganization Agreement generally provides that AIB will make any applications, notices or filings that M</w:t>
      </w:r>
      <w:r>
        <w:rPr>
          <w:rFonts w:ascii="Arial" w:cs="Arial" w:eastAsia="Arial" w:hAnsi="Arial"/>
          <w:sz w:val="13"/>
          <w:szCs w:val="13"/>
          <w:color w:val="auto"/>
        </w:rPr>
        <w:t>&amp;</w:t>
      </w:r>
      <w:r>
        <w:rPr>
          <w:rFonts w:ascii="Arial" w:cs="Arial" w:eastAsia="Arial" w:hAnsi="Arial"/>
          <w:sz w:val="14"/>
          <w:szCs w:val="14"/>
          <w:color w:val="auto"/>
        </w:rPr>
        <w:t>T determines to be necessary or desirable. The Reorganization Agreement also requires AIB not to take any action that would have a material adverse effect on M</w:t>
      </w:r>
      <w:r>
        <w:rPr>
          <w:rFonts w:ascii="Arial" w:cs="Arial" w:eastAsia="Arial" w:hAnsi="Arial"/>
          <w:sz w:val="13"/>
          <w:szCs w:val="13"/>
          <w:color w:val="auto"/>
        </w:rPr>
        <w:t>&amp;</w:t>
      </w:r>
      <w:r>
        <w:rPr>
          <w:rFonts w:ascii="Arial" w:cs="Arial" w:eastAsia="Arial" w:hAnsi="Arial"/>
          <w:sz w:val="14"/>
          <w:szCs w:val="14"/>
          <w:color w:val="auto"/>
        </w:rPr>
        <w:t>T and to advise M</w:t>
      </w:r>
      <w:r>
        <w:rPr>
          <w:rFonts w:ascii="Arial" w:cs="Arial" w:eastAsia="Arial" w:hAnsi="Arial"/>
          <w:sz w:val="13"/>
          <w:szCs w:val="13"/>
          <w:color w:val="auto"/>
        </w:rPr>
        <w:t>&amp;</w:t>
      </w:r>
      <w:r>
        <w:rPr>
          <w:rFonts w:ascii="Arial" w:cs="Arial" w:eastAsia="Arial" w:hAnsi="Arial"/>
          <w:sz w:val="14"/>
          <w:szCs w:val="14"/>
          <w:color w:val="auto"/>
        </w:rPr>
        <w:t>T prior to entering into any material transaction or activity. These provisions of the Reorganization Agreement would no longer apply if AIB ceased to be M</w:t>
      </w:r>
      <w:r>
        <w:rPr>
          <w:rFonts w:ascii="Arial" w:cs="Arial" w:eastAsia="Arial" w:hAnsi="Arial"/>
          <w:sz w:val="13"/>
          <w:szCs w:val="13"/>
          <w:color w:val="auto"/>
        </w:rPr>
        <w:t>&amp;</w:t>
      </w:r>
      <w:r>
        <w:rPr>
          <w:rFonts w:ascii="Arial" w:cs="Arial" w:eastAsia="Arial" w:hAnsi="Arial"/>
          <w:sz w:val="14"/>
          <w:szCs w:val="14"/>
          <w:color w:val="auto"/>
        </w:rPr>
        <w:t>T’s bank holding company and also was not otherwise considered to control M</w:t>
      </w:r>
      <w:r>
        <w:rPr>
          <w:rFonts w:ascii="Arial" w:cs="Arial" w:eastAsia="Arial" w:hAnsi="Arial"/>
          <w:sz w:val="13"/>
          <w:szCs w:val="13"/>
          <w:color w:val="auto"/>
        </w:rPr>
        <w:t>&amp;</w:t>
      </w:r>
      <w:r>
        <w:rPr>
          <w:rFonts w:ascii="Arial" w:cs="Arial" w:eastAsia="Arial" w:hAnsi="Arial"/>
          <w:sz w:val="14"/>
          <w:szCs w:val="14"/>
          <w:color w:val="auto"/>
        </w:rPr>
        <w:t>T for purposes of the BHCA.</w:t>
      </w:r>
    </w:p>
    <w:p>
      <w:pPr>
        <w:spacing w:after="0" w:line="1" w:lineRule="exact"/>
        <w:rPr>
          <w:sz w:val="20"/>
          <w:szCs w:val="20"/>
          <w:color w:val="auto"/>
        </w:rPr>
      </w:pPr>
    </w:p>
    <w:p>
      <w:pPr>
        <w:ind w:left="680" w:firstLine="599"/>
        <w:spacing w:after="0" w:line="249" w:lineRule="auto"/>
        <w:rPr>
          <w:sz w:val="20"/>
          <w:szCs w:val="20"/>
          <w:color w:val="auto"/>
        </w:rPr>
      </w:pPr>
      <w:r>
        <w:rPr>
          <w:rFonts w:ascii="Arial" w:cs="Arial" w:eastAsia="Arial" w:hAnsi="Arial"/>
          <w:sz w:val="14"/>
          <w:szCs w:val="14"/>
          <w:color w:val="auto"/>
        </w:rPr>
        <w:t>Pursuant to the Reorganization Agreement, if, as a result of any administrative enforcement action under Section 8 of the Federal Deposit Insurance Act (the “FDI Act”), memorandum of understanding, written agreement, supervisory letter or any other action or determination of any regulatory agency relating to the status of AIB (but not relating to the conduct of M</w:t>
      </w:r>
      <w:r>
        <w:rPr>
          <w:rFonts w:ascii="Arial" w:cs="Arial" w:eastAsia="Arial" w:hAnsi="Arial"/>
          <w:sz w:val="13"/>
          <w:szCs w:val="13"/>
          <w:color w:val="auto"/>
        </w:rPr>
        <w:t>&amp;</w:t>
      </w:r>
      <w:r>
        <w:rPr>
          <w:rFonts w:ascii="Arial" w:cs="Arial" w:eastAsia="Arial" w:hAnsi="Arial"/>
          <w:sz w:val="14"/>
          <w:szCs w:val="14"/>
          <w:color w:val="auto"/>
        </w:rPr>
        <w:t>T or any subsidiary of M</w:t>
      </w:r>
      <w:r>
        <w:rPr>
          <w:rFonts w:ascii="Arial" w:cs="Arial" w:eastAsia="Arial" w:hAnsi="Arial"/>
          <w:sz w:val="13"/>
          <w:szCs w:val="13"/>
          <w:color w:val="auto"/>
        </w:rPr>
        <w:t>&amp;</w:t>
      </w:r>
      <w:r>
        <w:rPr>
          <w:rFonts w:ascii="Arial" w:cs="Arial" w:eastAsia="Arial" w:hAnsi="Arial"/>
          <w:sz w:val="14"/>
          <w:szCs w:val="14"/>
          <w:color w:val="auto"/>
        </w:rPr>
        <w:t>T), M</w:t>
      </w:r>
      <w:r>
        <w:rPr>
          <w:rFonts w:ascii="Arial" w:cs="Arial" w:eastAsia="Arial" w:hAnsi="Arial"/>
          <w:sz w:val="13"/>
          <w:szCs w:val="13"/>
          <w:color w:val="auto"/>
        </w:rPr>
        <w:t>&amp;</w:t>
      </w:r>
      <w:r>
        <w:rPr>
          <w:rFonts w:ascii="Arial" w:cs="Arial" w:eastAsia="Arial" w:hAnsi="Arial"/>
          <w:sz w:val="14"/>
          <w:szCs w:val="14"/>
          <w:color w:val="auto"/>
        </w:rPr>
        <w:t>T or M</w:t>
      </w:r>
      <w:r>
        <w:rPr>
          <w:rFonts w:ascii="Arial" w:cs="Arial" w:eastAsia="Arial" w:hAnsi="Arial"/>
          <w:sz w:val="13"/>
          <w:szCs w:val="13"/>
          <w:color w:val="auto"/>
        </w:rPr>
        <w:t>&amp;</w:t>
      </w:r>
      <w:r>
        <w:rPr>
          <w:rFonts w:ascii="Arial" w:cs="Arial" w:eastAsia="Arial" w:hAnsi="Arial"/>
          <w:sz w:val="14"/>
          <w:szCs w:val="14"/>
          <w:color w:val="auto"/>
        </w:rPr>
        <w:t>T Bank also becomes subject to such an action, memorandum, agreement or letter that relates to M</w:t>
      </w:r>
      <w:r>
        <w:rPr>
          <w:rFonts w:ascii="Arial" w:cs="Arial" w:eastAsia="Arial" w:hAnsi="Arial"/>
          <w:sz w:val="13"/>
          <w:szCs w:val="13"/>
          <w:color w:val="auto"/>
        </w:rPr>
        <w:t>&amp;</w:t>
      </w:r>
      <w:r>
        <w:rPr>
          <w:rFonts w:ascii="Arial" w:cs="Arial" w:eastAsia="Arial" w:hAnsi="Arial"/>
          <w:sz w:val="14"/>
          <w:szCs w:val="14"/>
          <w:color w:val="auto"/>
        </w:rPr>
        <w:t>T or any M</w:t>
      </w:r>
      <w:r>
        <w:rPr>
          <w:rFonts w:ascii="Arial" w:cs="Arial" w:eastAsia="Arial" w:hAnsi="Arial"/>
          <w:sz w:val="13"/>
          <w:szCs w:val="13"/>
          <w:color w:val="auto"/>
        </w:rPr>
        <w:t>&amp;</w:t>
      </w:r>
      <w:r>
        <w:rPr>
          <w:rFonts w:ascii="Arial" w:cs="Arial" w:eastAsia="Arial" w:hAnsi="Arial"/>
          <w:sz w:val="14"/>
          <w:szCs w:val="14"/>
          <w:color w:val="auto"/>
        </w:rPr>
        <w:t>T subsidiary, or experiences any fact, event or circumstance that affects M</w:t>
      </w:r>
      <w:r>
        <w:rPr>
          <w:rFonts w:ascii="Arial" w:cs="Arial" w:eastAsia="Arial" w:hAnsi="Arial"/>
          <w:sz w:val="13"/>
          <w:szCs w:val="13"/>
          <w:color w:val="auto"/>
        </w:rPr>
        <w:t>&amp;</w:t>
      </w:r>
      <w:r>
        <w:rPr>
          <w:rFonts w:ascii="Arial" w:cs="Arial" w:eastAsia="Arial" w:hAnsi="Arial"/>
          <w:sz w:val="14"/>
          <w:szCs w:val="14"/>
          <w:color w:val="auto"/>
        </w:rPr>
        <w:t>T’s regulatory status or compliance, and that in either case would be reasonably likely to create a material burden on M</w:t>
      </w:r>
      <w:r>
        <w:rPr>
          <w:rFonts w:ascii="Arial" w:cs="Arial" w:eastAsia="Arial" w:hAnsi="Arial"/>
          <w:sz w:val="13"/>
          <w:szCs w:val="13"/>
          <w:color w:val="auto"/>
        </w:rPr>
        <w:t>&amp;</w:t>
      </w:r>
      <w:r>
        <w:rPr>
          <w:rFonts w:ascii="Arial" w:cs="Arial" w:eastAsia="Arial" w:hAnsi="Arial"/>
          <w:sz w:val="14"/>
          <w:szCs w:val="14"/>
          <w:color w:val="auto"/>
        </w:rPr>
        <w:t>T or to cause any material adverse economic or operating consequences to M</w:t>
      </w:r>
      <w:r>
        <w:rPr>
          <w:rFonts w:ascii="Arial" w:cs="Arial" w:eastAsia="Arial" w:hAnsi="Arial"/>
          <w:sz w:val="13"/>
          <w:szCs w:val="13"/>
          <w:color w:val="auto"/>
        </w:rPr>
        <w:t>&amp;</w:t>
      </w:r>
      <w:r>
        <w:rPr>
          <w:rFonts w:ascii="Arial" w:cs="Arial" w:eastAsia="Arial" w:hAnsi="Arial"/>
          <w:sz w:val="14"/>
          <w:szCs w:val="14"/>
          <w:color w:val="auto"/>
        </w:rPr>
        <w:t>T or an M</w:t>
      </w:r>
      <w:r>
        <w:rPr>
          <w:rFonts w:ascii="Arial" w:cs="Arial" w:eastAsia="Arial" w:hAnsi="Arial"/>
          <w:sz w:val="13"/>
          <w:szCs w:val="13"/>
          <w:color w:val="auto"/>
        </w:rPr>
        <w:t>&amp;</w:t>
      </w:r>
      <w:r>
        <w:rPr>
          <w:rFonts w:ascii="Arial" w:cs="Arial" w:eastAsia="Arial" w:hAnsi="Arial"/>
          <w:sz w:val="14"/>
          <w:szCs w:val="14"/>
          <w:color w:val="auto"/>
        </w:rPr>
        <w:t>T subsidiary (a “Material Regulatory Event”), then M</w:t>
      </w:r>
      <w:r>
        <w:rPr>
          <w:rFonts w:ascii="Arial" w:cs="Arial" w:eastAsia="Arial" w:hAnsi="Arial"/>
          <w:sz w:val="13"/>
          <w:szCs w:val="13"/>
          <w:color w:val="auto"/>
        </w:rPr>
        <w:t>&amp;</w:t>
      </w:r>
      <w:r>
        <w:rPr>
          <w:rFonts w:ascii="Arial" w:cs="Arial" w:eastAsia="Arial" w:hAnsi="Arial"/>
          <w:sz w:val="14"/>
          <w:szCs w:val="14"/>
          <w:color w:val="auto"/>
        </w:rPr>
        <w:t>T will notify AIB thereof in writing as promptly as practicable. Should AIB fail to cure the Material Regulatory Event within 90 days following the receipt of such notice, AIB will, as promptly as practicable but in no event later than 30 days from the end of the cure period, take any and all such actions (with the reasonable cooperation of M</w:t>
      </w:r>
      <w:r>
        <w:rPr>
          <w:rFonts w:ascii="Arial" w:cs="Arial" w:eastAsia="Arial" w:hAnsi="Arial"/>
          <w:sz w:val="13"/>
          <w:szCs w:val="13"/>
          <w:color w:val="auto"/>
        </w:rPr>
        <w:t>&amp;</w:t>
      </w:r>
      <w:r>
        <w:rPr>
          <w:rFonts w:ascii="Arial" w:cs="Arial" w:eastAsia="Arial" w:hAnsi="Arial"/>
          <w:sz w:val="14"/>
          <w:szCs w:val="14"/>
          <w:color w:val="auto"/>
        </w:rPr>
        <w:t>T as requested by AIB) as may be necessary or advisable in order that it no longer has “control” of M</w:t>
      </w:r>
      <w:r>
        <w:rPr>
          <w:rFonts w:ascii="Arial" w:cs="Arial" w:eastAsia="Arial" w:hAnsi="Arial"/>
          <w:sz w:val="13"/>
          <w:szCs w:val="13"/>
          <w:color w:val="auto"/>
        </w:rPr>
        <w:t>&amp;</w:t>
      </w:r>
      <w:r>
        <w:rPr>
          <w:rFonts w:ascii="Arial" w:cs="Arial" w:eastAsia="Arial" w:hAnsi="Arial"/>
          <w:sz w:val="14"/>
          <w:szCs w:val="14"/>
          <w:color w:val="auto"/>
        </w:rPr>
        <w:t>T for purposes of the BHCA, including, if necessary, by selling some or all of its shares of M</w:t>
      </w:r>
      <w:r>
        <w:rPr>
          <w:rFonts w:ascii="Arial" w:cs="Arial" w:eastAsia="Arial" w:hAnsi="Arial"/>
          <w:sz w:val="13"/>
          <w:szCs w:val="13"/>
          <w:color w:val="auto"/>
        </w:rPr>
        <w:t>&amp;</w:t>
      </w:r>
      <w:r>
        <w:rPr>
          <w:rFonts w:ascii="Arial" w:cs="Arial" w:eastAsia="Arial" w:hAnsi="Arial"/>
          <w:sz w:val="14"/>
          <w:szCs w:val="14"/>
          <w:color w:val="auto"/>
        </w:rPr>
        <w:t>T common stock (subject to the right of first refusal provisions of the Reorganization Agreement) and divesting itself as required of its board and committee representation and governance rights as set forth in the Reorganization Agreement. If, at the end of such 30-day period, the Material Regulatory Event is continuing and AIB has not terminated its control of M</w:t>
      </w:r>
      <w:r>
        <w:rPr>
          <w:rFonts w:ascii="Arial" w:cs="Arial" w:eastAsia="Arial" w:hAnsi="Arial"/>
          <w:sz w:val="13"/>
          <w:szCs w:val="13"/>
          <w:color w:val="auto"/>
        </w:rPr>
        <w:t>&amp;</w:t>
      </w:r>
      <w:r>
        <w:rPr>
          <w:rFonts w:ascii="Arial" w:cs="Arial" w:eastAsia="Arial" w:hAnsi="Arial"/>
          <w:sz w:val="14"/>
          <w:szCs w:val="14"/>
          <w:color w:val="auto"/>
        </w:rPr>
        <w:t>T, then M</w:t>
      </w:r>
      <w:r>
        <w:rPr>
          <w:rFonts w:ascii="Arial" w:cs="Arial" w:eastAsia="Arial" w:hAnsi="Arial"/>
          <w:sz w:val="13"/>
          <w:szCs w:val="13"/>
          <w:color w:val="auto"/>
        </w:rPr>
        <w:t>&amp;</w:t>
      </w:r>
      <w:r>
        <w:rPr>
          <w:rFonts w:ascii="Arial" w:cs="Arial" w:eastAsia="Arial" w:hAnsi="Arial"/>
          <w:sz w:val="14"/>
          <w:szCs w:val="14"/>
          <w:color w:val="auto"/>
        </w:rPr>
        <w:t>T will have the right to repurchase, at fair market value, such amount of the M</w:t>
      </w:r>
      <w:r>
        <w:rPr>
          <w:rFonts w:ascii="Arial" w:cs="Arial" w:eastAsia="Arial" w:hAnsi="Arial"/>
          <w:sz w:val="13"/>
          <w:szCs w:val="13"/>
          <w:color w:val="auto"/>
        </w:rPr>
        <w:t>&amp;</w:t>
      </w:r>
      <w:r>
        <w:rPr>
          <w:rFonts w:ascii="Arial" w:cs="Arial" w:eastAsia="Arial" w:hAnsi="Arial"/>
          <w:sz w:val="14"/>
          <w:szCs w:val="14"/>
          <w:color w:val="auto"/>
        </w:rPr>
        <w:t>T common stock owned by AIB as would result in AIB holding no less than 4.9% of the outstanding shares of M</w:t>
      </w:r>
      <w:r>
        <w:rPr>
          <w:rFonts w:ascii="Arial" w:cs="Arial" w:eastAsia="Arial" w:hAnsi="Arial"/>
          <w:sz w:val="13"/>
          <w:szCs w:val="13"/>
          <w:color w:val="auto"/>
        </w:rPr>
        <w:t>&amp;</w:t>
      </w:r>
      <w:r>
        <w:rPr>
          <w:rFonts w:ascii="Arial" w:cs="Arial" w:eastAsia="Arial" w:hAnsi="Arial"/>
          <w:sz w:val="14"/>
          <w:szCs w:val="14"/>
          <w:color w:val="auto"/>
        </w:rPr>
        <w:t>T common stock, pursuant to the procedures detailed in the Reorganization Agreement.</w:t>
      </w:r>
    </w:p>
    <w:p>
      <w:pPr>
        <w:spacing w:after="0" w:line="1" w:lineRule="exact"/>
        <w:rPr>
          <w:sz w:val="20"/>
          <w:szCs w:val="20"/>
          <w:color w:val="auto"/>
        </w:rPr>
      </w:pPr>
    </w:p>
    <w:p>
      <w:pPr>
        <w:ind w:left="680" w:right="40" w:firstLine="599"/>
        <w:spacing w:after="0" w:line="251" w:lineRule="auto"/>
        <w:rPr>
          <w:sz w:val="20"/>
          <w:szCs w:val="20"/>
          <w:color w:val="auto"/>
        </w:rPr>
      </w:pPr>
      <w:r>
        <w:rPr>
          <w:rFonts w:ascii="Arial" w:cs="Arial" w:eastAsia="Arial" w:hAnsi="Arial"/>
          <w:sz w:val="14"/>
          <w:szCs w:val="14"/>
          <w:color w:val="auto"/>
        </w:rPr>
        <w:t>As long as AIB is considered to “control” M</w:t>
      </w:r>
      <w:r>
        <w:rPr>
          <w:rFonts w:ascii="Arial" w:cs="Arial" w:eastAsia="Arial" w:hAnsi="Arial"/>
          <w:sz w:val="13"/>
          <w:szCs w:val="13"/>
          <w:color w:val="auto"/>
        </w:rPr>
        <w:t>&amp;</w:t>
      </w:r>
      <w:r>
        <w:rPr>
          <w:rFonts w:ascii="Arial" w:cs="Arial" w:eastAsia="Arial" w:hAnsi="Arial"/>
          <w:sz w:val="14"/>
          <w:szCs w:val="14"/>
          <w:color w:val="auto"/>
        </w:rPr>
        <w:t>T for purposes of the BHCA or the federal Change in Bank Control Act, if AIB acquires any insured depository institution with total assets greater than 25% of the assets of M</w:t>
      </w:r>
      <w:r>
        <w:rPr>
          <w:rFonts w:ascii="Arial" w:cs="Arial" w:eastAsia="Arial" w:hAnsi="Arial"/>
          <w:sz w:val="13"/>
          <w:szCs w:val="13"/>
          <w:color w:val="auto"/>
        </w:rPr>
        <w:t>&amp;</w:t>
      </w:r>
      <w:r>
        <w:rPr>
          <w:rFonts w:ascii="Arial" w:cs="Arial" w:eastAsia="Arial" w:hAnsi="Arial"/>
          <w:sz w:val="14"/>
          <w:szCs w:val="14"/>
          <w:color w:val="auto"/>
        </w:rPr>
        <w:t>T’s largest insured depository institution subsidiary, then within two years AIB must terminate its affiliation with the insured depository institution or take such steps as may be necessary so that none of M</w:t>
      </w:r>
      <w:r>
        <w:rPr>
          <w:rFonts w:ascii="Arial" w:cs="Arial" w:eastAsia="Arial" w:hAnsi="Arial"/>
          <w:sz w:val="13"/>
          <w:szCs w:val="13"/>
          <w:color w:val="auto"/>
        </w:rPr>
        <w:t>&amp;</w:t>
      </w:r>
      <w:r>
        <w:rPr>
          <w:rFonts w:ascii="Arial" w:cs="Arial" w:eastAsia="Arial" w:hAnsi="Arial"/>
          <w:sz w:val="14"/>
          <w:szCs w:val="14"/>
          <w:color w:val="auto"/>
        </w:rPr>
        <w:t>T’s bank subsidiaries would be subject to “cross guarantee” liability for losses incurred if the institution AIB acquired potentially were to fail. This liability applies under the FDI Act to insured depository institutions that are commonly controlled. The actions AIB would take could include disposing of shares of M</w:t>
      </w:r>
      <w:r>
        <w:rPr>
          <w:rFonts w:ascii="Arial" w:cs="Arial" w:eastAsia="Arial" w:hAnsi="Arial"/>
          <w:sz w:val="13"/>
          <w:szCs w:val="13"/>
          <w:color w:val="auto"/>
        </w:rPr>
        <w:t>&amp;</w:t>
      </w:r>
      <w:r>
        <w:rPr>
          <w:rFonts w:ascii="Arial" w:cs="Arial" w:eastAsia="Arial" w:hAnsi="Arial"/>
          <w:sz w:val="14"/>
          <w:szCs w:val="14"/>
          <w:color w:val="auto"/>
        </w:rPr>
        <w:t>T common stock and/or surrendering its representation or governance rights. Also, if such an insured depository institution that is controlled by AIB and of the size described in the first sentence of this paragraph that would be considered to be commonly controlled with M</w:t>
      </w:r>
      <w:r>
        <w:rPr>
          <w:rFonts w:ascii="Arial" w:cs="Arial" w:eastAsia="Arial" w:hAnsi="Arial"/>
          <w:sz w:val="13"/>
          <w:szCs w:val="13"/>
          <w:color w:val="auto"/>
        </w:rPr>
        <w:t>&amp;</w:t>
      </w:r>
      <w:r>
        <w:rPr>
          <w:rFonts w:ascii="Arial" w:cs="Arial" w:eastAsia="Arial" w:hAnsi="Arial"/>
          <w:sz w:val="14"/>
          <w:szCs w:val="14"/>
          <w:color w:val="auto"/>
        </w:rPr>
        <w:t>T’s insured depository institution subsidiaries fails to meet applicable requirements to be “adequately capitalized” under applicable U.S. banking laws, then AIB will have to take the actions described in the previous</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sentence no later than 180 days after the date that the institution failed to meet those requirements, unless the institution is sooner returned to “adequately capitalized” status.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Subsidiaries</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w:t>
      </w:r>
      <w:r>
        <w:rPr>
          <w:rFonts w:ascii="Arial" w:cs="Arial" w:eastAsia="Arial" w:hAnsi="Arial"/>
          <w:sz w:val="12"/>
          <w:szCs w:val="12"/>
          <w:color w:val="auto"/>
        </w:rPr>
        <w:t>&amp;</w:t>
      </w:r>
      <w:r>
        <w:rPr>
          <w:rFonts w:ascii="Arial" w:cs="Arial" w:eastAsia="Arial" w:hAnsi="Arial"/>
          <w:sz w:val="13"/>
          <w:szCs w:val="13"/>
          <w:color w:val="auto"/>
        </w:rPr>
        <w:t>T Bank is a banking corporation that is incorporated under the laws of the State of New York. M</w:t>
      </w:r>
      <w:r>
        <w:rPr>
          <w:rFonts w:ascii="Arial" w:cs="Arial" w:eastAsia="Arial" w:hAnsi="Arial"/>
          <w:sz w:val="12"/>
          <w:szCs w:val="12"/>
          <w:color w:val="auto"/>
        </w:rPr>
        <w:t>&amp;</w:t>
      </w:r>
      <w:r>
        <w:rPr>
          <w:rFonts w:ascii="Arial" w:cs="Arial" w:eastAsia="Arial" w:hAnsi="Arial"/>
          <w:sz w:val="13"/>
          <w:szCs w:val="13"/>
          <w:color w:val="auto"/>
        </w:rPr>
        <w:t>T Bank is a member of the Federal Reserve System and the Federal</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Home Loan Bank System, and its deposits are insured by the Federal Deposit Insurance Corporation (“FDIC”) up to applicable limits. M</w:t>
      </w:r>
      <w:r>
        <w:rPr>
          <w:rFonts w:ascii="Arial" w:cs="Arial" w:eastAsia="Arial" w:hAnsi="Arial"/>
          <w:sz w:val="12"/>
          <w:szCs w:val="12"/>
          <w:color w:val="auto"/>
        </w:rPr>
        <w:t>&amp;</w:t>
      </w:r>
      <w:r>
        <w:rPr>
          <w:rFonts w:ascii="Arial" w:cs="Arial" w:eastAsia="Arial" w:hAnsi="Arial"/>
          <w:sz w:val="13"/>
          <w:szCs w:val="13"/>
          <w:color w:val="auto"/>
        </w:rPr>
        <w:t>T acquired all of the issued and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outstanding shares of the capital stock of M</w:t>
      </w:r>
      <w:r>
        <w:rPr>
          <w:rFonts w:ascii="Arial" w:cs="Arial" w:eastAsia="Arial" w:hAnsi="Arial"/>
          <w:sz w:val="12"/>
          <w:szCs w:val="12"/>
          <w:color w:val="auto"/>
        </w:rPr>
        <w:t>&amp;</w:t>
      </w:r>
      <w:r>
        <w:rPr>
          <w:rFonts w:ascii="Arial" w:cs="Arial" w:eastAsia="Arial" w:hAnsi="Arial"/>
          <w:sz w:val="13"/>
          <w:szCs w:val="13"/>
          <w:color w:val="auto"/>
        </w:rPr>
        <w:t>T Bank in December 1969. The stock of M</w:t>
      </w:r>
      <w:r>
        <w:rPr>
          <w:rFonts w:ascii="Arial" w:cs="Arial" w:eastAsia="Arial" w:hAnsi="Arial"/>
          <w:sz w:val="12"/>
          <w:szCs w:val="12"/>
          <w:color w:val="auto"/>
        </w:rPr>
        <w:t>&amp;</w:t>
      </w:r>
      <w:r>
        <w:rPr>
          <w:rFonts w:ascii="Arial" w:cs="Arial" w:eastAsia="Arial" w:hAnsi="Arial"/>
          <w:sz w:val="13"/>
          <w:szCs w:val="13"/>
          <w:color w:val="auto"/>
        </w:rPr>
        <w:t>T Bank represents a major asset of M</w:t>
      </w:r>
      <w:r>
        <w:rPr>
          <w:rFonts w:ascii="Arial" w:cs="Arial" w:eastAsia="Arial" w:hAnsi="Arial"/>
          <w:sz w:val="12"/>
          <w:szCs w:val="12"/>
          <w:color w:val="auto"/>
        </w:rPr>
        <w:t>&amp;</w:t>
      </w:r>
      <w:r>
        <w:rPr>
          <w:rFonts w:ascii="Arial" w:cs="Arial" w:eastAsia="Arial" w:hAnsi="Arial"/>
          <w:sz w:val="13"/>
          <w:szCs w:val="13"/>
          <w:color w:val="auto"/>
        </w:rPr>
        <w:t>T. M</w:t>
      </w:r>
      <w:r>
        <w:rPr>
          <w:rFonts w:ascii="Arial" w:cs="Arial" w:eastAsia="Arial" w:hAnsi="Arial"/>
          <w:sz w:val="12"/>
          <w:szCs w:val="12"/>
          <w:color w:val="auto"/>
        </w:rPr>
        <w:t>&amp;</w:t>
      </w:r>
      <w:r>
        <w:rPr>
          <w:rFonts w:ascii="Arial" w:cs="Arial" w:eastAsia="Arial" w:hAnsi="Arial"/>
          <w:sz w:val="13"/>
          <w:szCs w:val="13"/>
          <w:color w:val="auto"/>
        </w:rPr>
        <w:t>T Bank operates under a charter</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granted by the State of New York in 1892, and the continuity of its banking business is traced to the organization of the Manufacturers and Traders Bank in 1856. The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principal executive offices of M</w:t>
      </w:r>
      <w:r>
        <w:rPr>
          <w:rFonts w:ascii="Arial" w:cs="Arial" w:eastAsia="Arial" w:hAnsi="Arial"/>
          <w:sz w:val="12"/>
          <w:szCs w:val="12"/>
          <w:color w:val="auto"/>
        </w:rPr>
        <w:t>&amp;</w:t>
      </w:r>
      <w:r>
        <w:rPr>
          <w:rFonts w:ascii="Arial" w:cs="Arial" w:eastAsia="Arial" w:hAnsi="Arial"/>
          <w:sz w:val="13"/>
          <w:szCs w:val="13"/>
          <w:color w:val="auto"/>
        </w:rPr>
        <w:t>T Bank are located at One M</w:t>
      </w:r>
      <w:r>
        <w:rPr>
          <w:rFonts w:ascii="Arial" w:cs="Arial" w:eastAsia="Arial" w:hAnsi="Arial"/>
          <w:sz w:val="12"/>
          <w:szCs w:val="12"/>
          <w:color w:val="auto"/>
        </w:rPr>
        <w:t>&amp;</w:t>
      </w:r>
      <w:r>
        <w:rPr>
          <w:rFonts w:ascii="Arial" w:cs="Arial" w:eastAsia="Arial" w:hAnsi="Arial"/>
          <w:sz w:val="13"/>
          <w:szCs w:val="13"/>
          <w:color w:val="auto"/>
        </w:rPr>
        <w:t>T Plaza, Buffalo, New York 14203. As of December 31, 2006, M</w:t>
      </w:r>
      <w:r>
        <w:rPr>
          <w:rFonts w:ascii="Arial" w:cs="Arial" w:eastAsia="Arial" w:hAnsi="Arial"/>
          <w:sz w:val="12"/>
          <w:szCs w:val="12"/>
          <w:color w:val="auto"/>
        </w:rPr>
        <w:t>&amp;</w:t>
      </w:r>
      <w:r>
        <w:rPr>
          <w:rFonts w:ascii="Arial" w:cs="Arial" w:eastAsia="Arial" w:hAnsi="Arial"/>
          <w:sz w:val="13"/>
          <w:szCs w:val="13"/>
          <w:color w:val="auto"/>
        </w:rPr>
        <w:t>T Bank had 671 banking offices located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throughout New York State, Pennsylvania, Maryland, Delaware, Virginia, West Virginia and the District of Columbia, plus a branch in George Town, Cayman Islands. As of</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December 31, 2006, M</w:t>
      </w:r>
      <w:r>
        <w:rPr>
          <w:rFonts w:ascii="Arial" w:cs="Arial" w:eastAsia="Arial" w:hAnsi="Arial"/>
          <w:sz w:val="12"/>
          <w:szCs w:val="12"/>
          <w:color w:val="auto"/>
        </w:rPr>
        <w:t>&amp;</w:t>
      </w:r>
      <w:r>
        <w:rPr>
          <w:rFonts w:ascii="Arial" w:cs="Arial" w:eastAsia="Arial" w:hAnsi="Arial"/>
          <w:sz w:val="13"/>
          <w:szCs w:val="13"/>
          <w:color w:val="auto"/>
        </w:rPr>
        <w:t>T Bank had consolidated total assets of $56.4 billion, deposits of $39.9 billion and stockholder’s equity of $6.5 billion. The deposit liabilities of</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w:t>
      </w:r>
      <w:r>
        <w:rPr>
          <w:rFonts w:ascii="Arial" w:cs="Arial" w:eastAsia="Arial" w:hAnsi="Arial"/>
          <w:sz w:val="12"/>
          <w:szCs w:val="12"/>
          <w:color w:val="auto"/>
        </w:rPr>
        <w:t>&amp;</w:t>
      </w:r>
      <w:r>
        <w:rPr>
          <w:rFonts w:ascii="Arial" w:cs="Arial" w:eastAsia="Arial" w:hAnsi="Arial"/>
          <w:sz w:val="13"/>
          <w:szCs w:val="13"/>
          <w:color w:val="auto"/>
        </w:rPr>
        <w:t>T Bank are insured by the FDIC through its Deposit Insurance Fund (“DIF”) of which, at December 31, 2006, $35.2 billion were assessable. As a commercial bank,</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w:t>
      </w:r>
      <w:r>
        <w:rPr>
          <w:rFonts w:ascii="Arial" w:cs="Arial" w:eastAsia="Arial" w:hAnsi="Arial"/>
          <w:sz w:val="12"/>
          <w:szCs w:val="12"/>
          <w:color w:val="auto"/>
        </w:rPr>
        <w:t>&amp;</w:t>
      </w:r>
      <w:r>
        <w:rPr>
          <w:rFonts w:ascii="Arial" w:cs="Arial" w:eastAsia="Arial" w:hAnsi="Arial"/>
          <w:sz w:val="13"/>
          <w:szCs w:val="13"/>
          <w:color w:val="auto"/>
        </w:rPr>
        <w:t>T Bank offers a broad range of financial services to a diverse base of consumers, businesses, professional clients, governmental entities and financial institutions located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 its markets. Lending is largely focused on consumers residing in New York State, Pennsylvania, Maryland, northern Virginia and Washington, D.C., and on small and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medium-size businesses based in those areas, although residential real estate loans are originated through lending offices in 22 states. In addition, the Company conducts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lending activities in various states through other subsidiaries. M</w:t>
      </w:r>
      <w:r>
        <w:rPr>
          <w:rFonts w:ascii="Arial" w:cs="Arial" w:eastAsia="Arial" w:hAnsi="Arial"/>
          <w:sz w:val="12"/>
          <w:szCs w:val="12"/>
          <w:color w:val="auto"/>
        </w:rPr>
        <w:t>&amp;</w:t>
      </w:r>
      <w:r>
        <w:rPr>
          <w:rFonts w:ascii="Arial" w:cs="Arial" w:eastAsia="Arial" w:hAnsi="Arial"/>
          <w:sz w:val="13"/>
          <w:szCs w:val="13"/>
          <w:color w:val="auto"/>
        </w:rPr>
        <w:t>T Bank and certain of its subsidiaries also offer commercial mortgage loans secured by income producing</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properties or properties used by borrowers in a trade or business. Additional financial services are provided through other operating subsidiaries of the Company.</w:t>
      </w:r>
    </w:p>
    <w:p>
      <w:pPr>
        <w:spacing w:after="0" w:line="6" w:lineRule="exact"/>
        <w:rPr>
          <w:sz w:val="20"/>
          <w:szCs w:val="20"/>
          <w:color w:val="auto"/>
        </w:rPr>
      </w:pPr>
    </w:p>
    <w:p>
      <w:pPr>
        <w:ind w:left="680" w:right="240" w:firstLine="599"/>
        <w:spacing w:after="0" w:line="268" w:lineRule="auto"/>
        <w:rPr>
          <w:sz w:val="20"/>
          <w:szCs w:val="20"/>
          <w:color w:val="auto"/>
        </w:rPr>
      </w:pPr>
      <w:r>
        <w:rPr>
          <w:rFonts w:ascii="Arial" w:cs="Arial" w:eastAsia="Arial" w:hAnsi="Arial"/>
          <w:sz w:val="13"/>
          <w:szCs w:val="13"/>
          <w:color w:val="auto"/>
        </w:rPr>
        <w:t>M</w:t>
      </w:r>
      <w:r>
        <w:rPr>
          <w:rFonts w:ascii="Arial" w:cs="Arial" w:eastAsia="Arial" w:hAnsi="Arial"/>
          <w:sz w:val="12"/>
          <w:szCs w:val="12"/>
          <w:color w:val="auto"/>
        </w:rPr>
        <w:t>&amp;</w:t>
      </w:r>
      <w:r>
        <w:rPr>
          <w:rFonts w:ascii="Arial" w:cs="Arial" w:eastAsia="Arial" w:hAnsi="Arial"/>
          <w:sz w:val="13"/>
          <w:szCs w:val="13"/>
          <w:color w:val="auto"/>
        </w:rPr>
        <w:t>T Bank, N.A., a national banking association and a member of the Federal Reserve System and the FDIC, commenced operations on October 2, 1995. The deposit liabilities of M</w:t>
      </w:r>
      <w:r>
        <w:rPr>
          <w:rFonts w:ascii="Arial" w:cs="Arial" w:eastAsia="Arial" w:hAnsi="Arial"/>
          <w:sz w:val="12"/>
          <w:szCs w:val="12"/>
          <w:color w:val="auto"/>
        </w:rPr>
        <w:t>&amp;</w:t>
      </w:r>
      <w:r>
        <w:rPr>
          <w:rFonts w:ascii="Arial" w:cs="Arial" w:eastAsia="Arial" w:hAnsi="Arial"/>
          <w:sz w:val="13"/>
          <w:szCs w:val="13"/>
          <w:color w:val="auto"/>
        </w:rPr>
        <w:t>T Bank, N.A. are insured by the FDIC through the DIF. The main office of M</w:t>
      </w:r>
      <w:r>
        <w:rPr>
          <w:rFonts w:ascii="Arial" w:cs="Arial" w:eastAsia="Arial" w:hAnsi="Arial"/>
          <w:sz w:val="12"/>
          <w:szCs w:val="12"/>
          <w:color w:val="auto"/>
        </w:rPr>
        <w:t>&amp;</w:t>
      </w:r>
      <w:r>
        <w:rPr>
          <w:rFonts w:ascii="Arial" w:cs="Arial" w:eastAsia="Arial" w:hAnsi="Arial"/>
          <w:sz w:val="13"/>
          <w:szCs w:val="13"/>
          <w:color w:val="auto"/>
        </w:rPr>
        <w:t>T Bank, N.A. is located at 48 Main Street, Oakfield, New York 14125. M</w:t>
      </w:r>
      <w:r>
        <w:rPr>
          <w:rFonts w:ascii="Arial" w:cs="Arial" w:eastAsia="Arial" w:hAnsi="Arial"/>
          <w:sz w:val="12"/>
          <w:szCs w:val="12"/>
          <w:color w:val="auto"/>
        </w:rPr>
        <w:t>&amp;</w:t>
      </w:r>
      <w:r>
        <w:rPr>
          <w:rFonts w:ascii="Arial" w:cs="Arial" w:eastAsia="Arial" w:hAnsi="Arial"/>
          <w:sz w:val="13"/>
          <w:szCs w:val="13"/>
          <w:color w:val="auto"/>
        </w:rPr>
        <w:t>T Bank, N.A. offers selected deposit and loan products on a nationwide basis, primarily through direct mail and telephone marketing techniques. As of December 31, 2006, M</w:t>
      </w:r>
      <w:r>
        <w:rPr>
          <w:rFonts w:ascii="Arial" w:cs="Arial" w:eastAsia="Arial" w:hAnsi="Arial"/>
          <w:sz w:val="12"/>
          <w:szCs w:val="12"/>
          <w:color w:val="auto"/>
        </w:rPr>
        <w:t>&amp;</w:t>
      </w:r>
      <w:r>
        <w:rPr>
          <w:rFonts w:ascii="Arial" w:cs="Arial" w:eastAsia="Arial" w:hAnsi="Arial"/>
          <w:sz w:val="13"/>
          <w:szCs w:val="13"/>
          <w:color w:val="auto"/>
        </w:rPr>
        <w:t>T Bank, N.A. had total assets of $511 million, deposits of $405 million and stockholder’s equity of $95 million.</w:t>
      </w:r>
    </w:p>
    <w:p>
      <w:pPr>
        <w:spacing w:after="0" w:line="1" w:lineRule="exact"/>
        <w:rPr>
          <w:sz w:val="20"/>
          <w:szCs w:val="20"/>
          <w:color w:val="auto"/>
        </w:rPr>
      </w:pPr>
    </w:p>
    <w:p>
      <w:pPr>
        <w:ind w:left="680" w:right="80" w:firstLine="599"/>
        <w:spacing w:after="0" w:line="249" w:lineRule="auto"/>
        <w:rPr>
          <w:sz w:val="20"/>
          <w:szCs w:val="20"/>
          <w:color w:val="auto"/>
        </w:rPr>
      </w:pPr>
      <w:r>
        <w:rPr>
          <w:rFonts w:ascii="Arial" w:cs="Arial" w:eastAsia="Arial" w:hAnsi="Arial"/>
          <w:sz w:val="14"/>
          <w:szCs w:val="14"/>
          <w:color w:val="auto"/>
        </w:rPr>
        <w:t>M</w:t>
      </w:r>
      <w:r>
        <w:rPr>
          <w:rFonts w:ascii="Arial" w:cs="Arial" w:eastAsia="Arial" w:hAnsi="Arial"/>
          <w:sz w:val="13"/>
          <w:szCs w:val="13"/>
          <w:color w:val="auto"/>
        </w:rPr>
        <w:t>&amp;</w:t>
      </w:r>
      <w:r>
        <w:rPr>
          <w:rFonts w:ascii="Arial" w:cs="Arial" w:eastAsia="Arial" w:hAnsi="Arial"/>
          <w:sz w:val="14"/>
          <w:szCs w:val="14"/>
          <w:color w:val="auto"/>
        </w:rPr>
        <w:t>T Life Insurance Company (“M</w:t>
      </w:r>
      <w:r>
        <w:rPr>
          <w:rFonts w:ascii="Arial" w:cs="Arial" w:eastAsia="Arial" w:hAnsi="Arial"/>
          <w:sz w:val="13"/>
          <w:szCs w:val="13"/>
          <w:color w:val="auto"/>
        </w:rPr>
        <w:t>&amp;</w:t>
      </w:r>
      <w:r>
        <w:rPr>
          <w:rFonts w:ascii="Arial" w:cs="Arial" w:eastAsia="Arial" w:hAnsi="Arial"/>
          <w:sz w:val="14"/>
          <w:szCs w:val="14"/>
          <w:color w:val="auto"/>
        </w:rPr>
        <w:t>T Life Insurance”), a wholly owned subsidiary of M</w:t>
      </w:r>
      <w:r>
        <w:rPr>
          <w:rFonts w:ascii="Arial" w:cs="Arial" w:eastAsia="Arial" w:hAnsi="Arial"/>
          <w:sz w:val="13"/>
          <w:szCs w:val="13"/>
          <w:color w:val="auto"/>
        </w:rPr>
        <w:t>&amp;</w:t>
      </w:r>
      <w:r>
        <w:rPr>
          <w:rFonts w:ascii="Arial" w:cs="Arial" w:eastAsia="Arial" w:hAnsi="Arial"/>
          <w:sz w:val="14"/>
          <w:szCs w:val="14"/>
          <w:color w:val="auto"/>
        </w:rPr>
        <w:t>T, was incorporated as an Arizona business corporation in January 1984. M</w:t>
      </w:r>
      <w:r>
        <w:rPr>
          <w:rFonts w:ascii="Arial" w:cs="Arial" w:eastAsia="Arial" w:hAnsi="Arial"/>
          <w:sz w:val="13"/>
          <w:szCs w:val="13"/>
          <w:color w:val="auto"/>
        </w:rPr>
        <w:t>&amp;</w:t>
      </w:r>
      <w:r>
        <w:rPr>
          <w:rFonts w:ascii="Arial" w:cs="Arial" w:eastAsia="Arial" w:hAnsi="Arial"/>
          <w:sz w:val="14"/>
          <w:szCs w:val="14"/>
          <w:color w:val="auto"/>
        </w:rPr>
        <w:t>T Life Insurance is a captive credit reinsurer which reinsures credit life and accident and health insurance purchased by the Company’s consumer loan customers. As of December 31, 2006, M</w:t>
      </w:r>
      <w:r>
        <w:rPr>
          <w:rFonts w:ascii="Arial" w:cs="Arial" w:eastAsia="Arial" w:hAnsi="Arial"/>
          <w:sz w:val="13"/>
          <w:szCs w:val="13"/>
          <w:color w:val="auto"/>
        </w:rPr>
        <w:t>&amp;</w:t>
      </w:r>
      <w:r>
        <w:rPr>
          <w:rFonts w:ascii="Arial" w:cs="Arial" w:eastAsia="Arial" w:hAnsi="Arial"/>
          <w:sz w:val="14"/>
          <w:szCs w:val="14"/>
          <w:color w:val="auto"/>
        </w:rPr>
        <w:t>T Life Insurance had assets of $33 million and stockholder’s equity of $27 million. M</w:t>
      </w:r>
      <w:r>
        <w:rPr>
          <w:rFonts w:ascii="Arial" w:cs="Arial" w:eastAsia="Arial" w:hAnsi="Arial"/>
          <w:sz w:val="13"/>
          <w:szCs w:val="13"/>
          <w:color w:val="auto"/>
        </w:rPr>
        <w:t>&amp;</w:t>
      </w:r>
      <w:r>
        <w:rPr>
          <w:rFonts w:ascii="Arial" w:cs="Arial" w:eastAsia="Arial" w:hAnsi="Arial"/>
          <w:sz w:val="14"/>
          <w:szCs w:val="14"/>
          <w:color w:val="auto"/>
        </w:rPr>
        <w:t>T Life Insurance recorded revenues of $2 million during 2006. Headquarters of M</w:t>
      </w:r>
      <w:r>
        <w:rPr>
          <w:rFonts w:ascii="Arial" w:cs="Arial" w:eastAsia="Arial" w:hAnsi="Arial"/>
          <w:sz w:val="13"/>
          <w:szCs w:val="13"/>
          <w:color w:val="auto"/>
        </w:rPr>
        <w:t>&amp;</w:t>
      </w:r>
      <w:r>
        <w:rPr>
          <w:rFonts w:ascii="Arial" w:cs="Arial" w:eastAsia="Arial" w:hAnsi="Arial"/>
          <w:sz w:val="14"/>
          <w:szCs w:val="14"/>
          <w:color w:val="auto"/>
        </w:rPr>
        <w:t>T Life Insurance are located at 101 North First Avenue, Phoenix, Arizona 85003.</w:t>
      </w:r>
    </w:p>
    <w:p>
      <w:pPr>
        <w:ind w:left="680" w:right="40" w:firstLine="599"/>
        <w:spacing w:after="0" w:line="249" w:lineRule="auto"/>
        <w:rPr>
          <w:sz w:val="20"/>
          <w:szCs w:val="20"/>
          <w:color w:val="auto"/>
        </w:rPr>
      </w:pPr>
      <w:r>
        <w:rPr>
          <w:rFonts w:ascii="Arial" w:cs="Arial" w:eastAsia="Arial" w:hAnsi="Arial"/>
          <w:sz w:val="14"/>
          <w:szCs w:val="14"/>
          <w:color w:val="auto"/>
        </w:rPr>
        <w:t>M</w:t>
      </w:r>
      <w:r>
        <w:rPr>
          <w:rFonts w:ascii="Arial" w:cs="Arial" w:eastAsia="Arial" w:hAnsi="Arial"/>
          <w:sz w:val="13"/>
          <w:szCs w:val="13"/>
          <w:color w:val="auto"/>
        </w:rPr>
        <w:t>&amp;</w:t>
      </w:r>
      <w:r>
        <w:rPr>
          <w:rFonts w:ascii="Arial" w:cs="Arial" w:eastAsia="Arial" w:hAnsi="Arial"/>
          <w:sz w:val="14"/>
          <w:szCs w:val="14"/>
          <w:color w:val="auto"/>
        </w:rPr>
        <w:t>T Credit Services, LLC (“M</w:t>
      </w:r>
      <w:r>
        <w:rPr>
          <w:rFonts w:ascii="Arial" w:cs="Arial" w:eastAsia="Arial" w:hAnsi="Arial"/>
          <w:sz w:val="13"/>
          <w:szCs w:val="13"/>
          <w:color w:val="auto"/>
        </w:rPr>
        <w:t>&amp;</w:t>
      </w:r>
      <w:r>
        <w:rPr>
          <w:rFonts w:ascii="Arial" w:cs="Arial" w:eastAsia="Arial" w:hAnsi="Arial"/>
          <w:sz w:val="14"/>
          <w:szCs w:val="14"/>
          <w:color w:val="auto"/>
        </w:rPr>
        <w:t>T Credit”), a wholly owned subsidiary of M</w:t>
      </w:r>
      <w:r>
        <w:rPr>
          <w:rFonts w:ascii="Arial" w:cs="Arial" w:eastAsia="Arial" w:hAnsi="Arial"/>
          <w:sz w:val="13"/>
          <w:szCs w:val="13"/>
          <w:color w:val="auto"/>
        </w:rPr>
        <w:t>&amp;</w:t>
      </w:r>
      <w:r>
        <w:rPr>
          <w:rFonts w:ascii="Arial" w:cs="Arial" w:eastAsia="Arial" w:hAnsi="Arial"/>
          <w:sz w:val="14"/>
          <w:szCs w:val="14"/>
          <w:color w:val="auto"/>
        </w:rPr>
        <w:t>T Bank, is a New York limited liability company formed in June 2004, but its operations can be traced to a predecessor company that was a wholly owned subsidiary of M</w:t>
      </w:r>
      <w:r>
        <w:rPr>
          <w:rFonts w:ascii="Arial" w:cs="Arial" w:eastAsia="Arial" w:hAnsi="Arial"/>
          <w:sz w:val="13"/>
          <w:szCs w:val="13"/>
          <w:color w:val="auto"/>
        </w:rPr>
        <w:t>&amp;</w:t>
      </w:r>
      <w:r>
        <w:rPr>
          <w:rFonts w:ascii="Arial" w:cs="Arial" w:eastAsia="Arial" w:hAnsi="Arial"/>
          <w:sz w:val="14"/>
          <w:szCs w:val="14"/>
          <w:color w:val="auto"/>
        </w:rPr>
        <w:t>T Bank formed in 1994. M</w:t>
      </w:r>
      <w:r>
        <w:rPr>
          <w:rFonts w:ascii="Arial" w:cs="Arial" w:eastAsia="Arial" w:hAnsi="Arial"/>
          <w:sz w:val="13"/>
          <w:szCs w:val="13"/>
          <w:color w:val="auto"/>
        </w:rPr>
        <w:t>&amp;</w:t>
      </w:r>
      <w:r>
        <w:rPr>
          <w:rFonts w:ascii="Arial" w:cs="Arial" w:eastAsia="Arial" w:hAnsi="Arial"/>
          <w:sz w:val="14"/>
          <w:szCs w:val="14"/>
          <w:color w:val="auto"/>
        </w:rPr>
        <w:t>T Credit is a credit and leasing company offering consumer loans and commercial loans and leases. Its headquarters are located at M</w:t>
      </w:r>
      <w:r>
        <w:rPr>
          <w:rFonts w:ascii="Arial" w:cs="Arial" w:eastAsia="Arial" w:hAnsi="Arial"/>
          <w:sz w:val="13"/>
          <w:szCs w:val="13"/>
          <w:color w:val="auto"/>
        </w:rPr>
        <w:t>&amp;</w:t>
      </w:r>
      <w:r>
        <w:rPr>
          <w:rFonts w:ascii="Arial" w:cs="Arial" w:eastAsia="Arial" w:hAnsi="Arial"/>
          <w:sz w:val="14"/>
          <w:szCs w:val="14"/>
          <w:color w:val="auto"/>
        </w:rPr>
        <w:t>T Center, One Fountain Plaza, Buffalo, New York 14203, and it has offices in Delaware, Massachusetts and Pennsylvania. As of December 31, 2006, M</w:t>
      </w:r>
      <w:r>
        <w:rPr>
          <w:rFonts w:ascii="Arial" w:cs="Arial" w:eastAsia="Arial" w:hAnsi="Arial"/>
          <w:sz w:val="13"/>
          <w:szCs w:val="13"/>
          <w:color w:val="auto"/>
        </w:rPr>
        <w:t>&amp;</w:t>
      </w:r>
      <w:r>
        <w:rPr>
          <w:rFonts w:ascii="Arial" w:cs="Arial" w:eastAsia="Arial" w:hAnsi="Arial"/>
          <w:sz w:val="14"/>
          <w:szCs w:val="14"/>
          <w:color w:val="auto"/>
        </w:rPr>
        <w:t>T Credit had assets of $3.5 billion and stockholder’s equity of $477 million. M</w:t>
      </w:r>
      <w:r>
        <w:rPr>
          <w:rFonts w:ascii="Arial" w:cs="Arial" w:eastAsia="Arial" w:hAnsi="Arial"/>
          <w:sz w:val="13"/>
          <w:szCs w:val="13"/>
          <w:color w:val="auto"/>
        </w:rPr>
        <w:t>&amp;</w:t>
      </w:r>
      <w:r>
        <w:rPr>
          <w:rFonts w:ascii="Arial" w:cs="Arial" w:eastAsia="Arial" w:hAnsi="Arial"/>
          <w:sz w:val="14"/>
          <w:szCs w:val="14"/>
          <w:color w:val="auto"/>
        </w:rPr>
        <w:t>T Credit recorded $193 million of revenue during 2006.</w:t>
      </w:r>
    </w:p>
    <w:p>
      <w:pPr>
        <w:ind w:left="680" w:right="20" w:firstLine="599"/>
        <w:spacing w:after="0" w:line="252" w:lineRule="auto"/>
        <w:rPr>
          <w:sz w:val="20"/>
          <w:szCs w:val="20"/>
          <w:color w:val="auto"/>
        </w:rPr>
      </w:pPr>
      <w:r>
        <w:rPr>
          <w:rFonts w:ascii="Arial" w:cs="Arial" w:eastAsia="Arial" w:hAnsi="Arial"/>
          <w:sz w:val="14"/>
          <w:szCs w:val="14"/>
          <w:color w:val="auto"/>
        </w:rPr>
        <w:t>M</w:t>
      </w:r>
      <w:r>
        <w:rPr>
          <w:rFonts w:ascii="Arial" w:cs="Arial" w:eastAsia="Arial" w:hAnsi="Arial"/>
          <w:sz w:val="13"/>
          <w:szCs w:val="13"/>
          <w:color w:val="auto"/>
        </w:rPr>
        <w:t>&amp;</w:t>
      </w:r>
      <w:r>
        <w:rPr>
          <w:rFonts w:ascii="Arial" w:cs="Arial" w:eastAsia="Arial" w:hAnsi="Arial"/>
          <w:sz w:val="14"/>
          <w:szCs w:val="14"/>
          <w:color w:val="auto"/>
        </w:rPr>
        <w:t>T Investment Company of Delaware, Inc. (“M</w:t>
      </w:r>
      <w:r>
        <w:rPr>
          <w:rFonts w:ascii="Arial" w:cs="Arial" w:eastAsia="Arial" w:hAnsi="Arial"/>
          <w:sz w:val="13"/>
          <w:szCs w:val="13"/>
          <w:color w:val="auto"/>
        </w:rPr>
        <w:t>&amp;</w:t>
      </w:r>
      <w:r>
        <w:rPr>
          <w:rFonts w:ascii="Arial" w:cs="Arial" w:eastAsia="Arial" w:hAnsi="Arial"/>
          <w:sz w:val="14"/>
          <w:szCs w:val="14"/>
          <w:color w:val="auto"/>
        </w:rPr>
        <w:t>T Investment”), is a subsidiary of M</w:t>
      </w:r>
      <w:r>
        <w:rPr>
          <w:rFonts w:ascii="Arial" w:cs="Arial" w:eastAsia="Arial" w:hAnsi="Arial"/>
          <w:sz w:val="13"/>
          <w:szCs w:val="13"/>
          <w:color w:val="auto"/>
        </w:rPr>
        <w:t>&amp;</w:t>
      </w:r>
      <w:r>
        <w:rPr>
          <w:rFonts w:ascii="Arial" w:cs="Arial" w:eastAsia="Arial" w:hAnsi="Arial"/>
          <w:sz w:val="14"/>
          <w:szCs w:val="14"/>
          <w:color w:val="auto"/>
        </w:rPr>
        <w:t>T Bank that was formed on November 17, 2004. M</w:t>
      </w:r>
      <w:r>
        <w:rPr>
          <w:rFonts w:ascii="Arial" w:cs="Arial" w:eastAsia="Arial" w:hAnsi="Arial"/>
          <w:sz w:val="13"/>
          <w:szCs w:val="13"/>
          <w:color w:val="auto"/>
        </w:rPr>
        <w:t>&amp;</w:t>
      </w:r>
      <w:r>
        <w:rPr>
          <w:rFonts w:ascii="Arial" w:cs="Arial" w:eastAsia="Arial" w:hAnsi="Arial"/>
          <w:sz w:val="14"/>
          <w:szCs w:val="14"/>
          <w:color w:val="auto"/>
        </w:rPr>
        <w:t>T Investment owns all of the outstanding common stock and 88% of the preferred stock of M</w:t>
      </w:r>
      <w:r>
        <w:rPr>
          <w:rFonts w:ascii="Arial" w:cs="Arial" w:eastAsia="Arial" w:hAnsi="Arial"/>
          <w:sz w:val="13"/>
          <w:szCs w:val="13"/>
          <w:color w:val="auto"/>
        </w:rPr>
        <w:t>&amp;</w:t>
      </w:r>
      <w:r>
        <w:rPr>
          <w:rFonts w:ascii="Arial" w:cs="Arial" w:eastAsia="Arial" w:hAnsi="Arial"/>
          <w:sz w:val="14"/>
          <w:szCs w:val="14"/>
          <w:color w:val="auto"/>
        </w:rPr>
        <w:t>T Real Estate Trust. As of December 31, 2006, M</w:t>
      </w:r>
      <w:r>
        <w:rPr>
          <w:rFonts w:ascii="Arial" w:cs="Arial" w:eastAsia="Arial" w:hAnsi="Arial"/>
          <w:sz w:val="13"/>
          <w:szCs w:val="13"/>
          <w:color w:val="auto"/>
        </w:rPr>
        <w:t>&amp;</w:t>
      </w:r>
      <w:r>
        <w:rPr>
          <w:rFonts w:ascii="Arial" w:cs="Arial" w:eastAsia="Arial" w:hAnsi="Arial"/>
          <w:sz w:val="14"/>
          <w:szCs w:val="14"/>
          <w:color w:val="auto"/>
        </w:rPr>
        <w:t>T Investment had assets and stockholder’s equity of approximately $13.8 billion. Excluding dividends from M</w:t>
      </w:r>
      <w:r>
        <w:rPr>
          <w:rFonts w:ascii="Arial" w:cs="Arial" w:eastAsia="Arial" w:hAnsi="Arial"/>
          <w:sz w:val="13"/>
          <w:szCs w:val="13"/>
          <w:color w:val="auto"/>
        </w:rPr>
        <w:t>&amp;</w:t>
      </w:r>
      <w:r>
        <w:rPr>
          <w:rFonts w:ascii="Arial" w:cs="Arial" w:eastAsia="Arial" w:hAnsi="Arial"/>
          <w:sz w:val="14"/>
          <w:szCs w:val="14"/>
          <w:color w:val="auto"/>
        </w:rPr>
        <w:t>T Real Estate Trust, M</w:t>
      </w:r>
      <w:r>
        <w:rPr>
          <w:rFonts w:ascii="Arial" w:cs="Arial" w:eastAsia="Arial" w:hAnsi="Arial"/>
          <w:sz w:val="13"/>
          <w:szCs w:val="13"/>
          <w:color w:val="auto"/>
        </w:rPr>
        <w:t>&amp;</w:t>
      </w:r>
      <w:r>
        <w:rPr>
          <w:rFonts w:ascii="Arial" w:cs="Arial" w:eastAsia="Arial" w:hAnsi="Arial"/>
          <w:sz w:val="14"/>
          <w:szCs w:val="14"/>
          <w:color w:val="auto"/>
        </w:rPr>
        <w:t>T Investment realized $17 million of revenue in 2006. The headquarters of M</w:t>
      </w:r>
      <w:r>
        <w:rPr>
          <w:rFonts w:ascii="Arial" w:cs="Arial" w:eastAsia="Arial" w:hAnsi="Arial"/>
          <w:sz w:val="13"/>
          <w:szCs w:val="13"/>
          <w:color w:val="auto"/>
        </w:rPr>
        <w:t>&amp;</w:t>
      </w:r>
      <w:r>
        <w:rPr>
          <w:rFonts w:ascii="Arial" w:cs="Arial" w:eastAsia="Arial" w:hAnsi="Arial"/>
          <w:sz w:val="14"/>
          <w:szCs w:val="14"/>
          <w:color w:val="auto"/>
        </w:rPr>
        <w:t>T Investment are located at 501 Silverside Road, Wilmington, Delaware 19809. Prior to January 17, 2007, M</w:t>
      </w:r>
      <w:r>
        <w:rPr>
          <w:rFonts w:ascii="Arial" w:cs="Arial" w:eastAsia="Arial" w:hAnsi="Arial"/>
          <w:sz w:val="13"/>
          <w:szCs w:val="13"/>
          <w:color w:val="auto"/>
        </w:rPr>
        <w:t>&amp;</w:t>
      </w:r>
      <w:r>
        <w:rPr>
          <w:rFonts w:ascii="Arial" w:cs="Arial" w:eastAsia="Arial" w:hAnsi="Arial"/>
          <w:sz w:val="14"/>
          <w:szCs w:val="14"/>
          <w:color w:val="auto"/>
        </w:rPr>
        <w:t>T Investment had been a wholly owned subsidiary of M</w:t>
      </w:r>
      <w:r>
        <w:rPr>
          <w:rFonts w:ascii="Arial" w:cs="Arial" w:eastAsia="Arial" w:hAnsi="Arial"/>
          <w:sz w:val="13"/>
          <w:szCs w:val="13"/>
          <w:color w:val="auto"/>
        </w:rPr>
        <w:t>&amp;</w:t>
      </w:r>
      <w:r>
        <w:rPr>
          <w:rFonts w:ascii="Arial" w:cs="Arial" w:eastAsia="Arial" w:hAnsi="Arial"/>
          <w:sz w:val="14"/>
          <w:szCs w:val="14"/>
          <w:color w:val="auto"/>
        </w:rPr>
        <w:t>T Investment Company, Inc., which had</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line="255" w:lineRule="auto"/>
        <w:rPr>
          <w:sz w:val="20"/>
          <w:szCs w:val="20"/>
          <w:color w:val="auto"/>
        </w:rPr>
      </w:pPr>
      <w:r>
        <w:rPr>
          <w:rFonts w:ascii="Arial" w:cs="Arial" w:eastAsia="Arial" w:hAnsi="Arial"/>
          <w:sz w:val="14"/>
          <w:szCs w:val="14"/>
          <w:color w:val="auto"/>
        </w:rPr>
        <w:t>been a wholly owned subsidiary of M</w:t>
      </w:r>
      <w:r>
        <w:rPr>
          <w:rFonts w:ascii="Arial" w:cs="Arial" w:eastAsia="Arial" w:hAnsi="Arial"/>
          <w:sz w:val="13"/>
          <w:szCs w:val="13"/>
          <w:color w:val="auto"/>
        </w:rPr>
        <w:t>&amp;</w:t>
      </w:r>
      <w:r>
        <w:rPr>
          <w:rFonts w:ascii="Arial" w:cs="Arial" w:eastAsia="Arial" w:hAnsi="Arial"/>
          <w:sz w:val="14"/>
          <w:szCs w:val="14"/>
          <w:color w:val="auto"/>
        </w:rPr>
        <w:t>T Bank. M</w:t>
      </w:r>
      <w:r>
        <w:rPr>
          <w:rFonts w:ascii="Arial" w:cs="Arial" w:eastAsia="Arial" w:hAnsi="Arial"/>
          <w:sz w:val="13"/>
          <w:szCs w:val="13"/>
          <w:color w:val="auto"/>
        </w:rPr>
        <w:t>&amp;</w:t>
      </w:r>
      <w:r>
        <w:rPr>
          <w:rFonts w:ascii="Arial" w:cs="Arial" w:eastAsia="Arial" w:hAnsi="Arial"/>
          <w:sz w:val="14"/>
          <w:szCs w:val="14"/>
          <w:color w:val="auto"/>
        </w:rPr>
        <w:t>T Investment Company, Inc. owned 100% of the common stock of M</w:t>
      </w:r>
      <w:r>
        <w:rPr>
          <w:rFonts w:ascii="Arial" w:cs="Arial" w:eastAsia="Arial" w:hAnsi="Arial"/>
          <w:sz w:val="13"/>
          <w:szCs w:val="13"/>
          <w:color w:val="auto"/>
        </w:rPr>
        <w:t>&amp;</w:t>
      </w:r>
      <w:r>
        <w:rPr>
          <w:rFonts w:ascii="Arial" w:cs="Arial" w:eastAsia="Arial" w:hAnsi="Arial"/>
          <w:sz w:val="14"/>
          <w:szCs w:val="14"/>
          <w:color w:val="auto"/>
        </w:rPr>
        <w:t>T Investment at December 31, 2006. Except for that investment holding, M</w:t>
      </w:r>
      <w:r>
        <w:rPr>
          <w:rFonts w:ascii="Arial" w:cs="Arial" w:eastAsia="Arial" w:hAnsi="Arial"/>
          <w:sz w:val="13"/>
          <w:szCs w:val="13"/>
          <w:color w:val="auto"/>
        </w:rPr>
        <w:t>&amp;</w:t>
      </w:r>
      <w:r>
        <w:rPr>
          <w:rFonts w:ascii="Arial" w:cs="Arial" w:eastAsia="Arial" w:hAnsi="Arial"/>
          <w:sz w:val="14"/>
          <w:szCs w:val="14"/>
          <w:color w:val="auto"/>
        </w:rPr>
        <w:t>T Investment Company, Inc. was largely inactive during 2006. Effective January 17, 2007, M</w:t>
      </w:r>
      <w:r>
        <w:rPr>
          <w:rFonts w:ascii="Arial" w:cs="Arial" w:eastAsia="Arial" w:hAnsi="Arial"/>
          <w:sz w:val="13"/>
          <w:szCs w:val="13"/>
          <w:color w:val="auto"/>
        </w:rPr>
        <w:t>&amp;</w:t>
      </w:r>
      <w:r>
        <w:rPr>
          <w:rFonts w:ascii="Arial" w:cs="Arial" w:eastAsia="Arial" w:hAnsi="Arial"/>
          <w:sz w:val="14"/>
          <w:szCs w:val="14"/>
          <w:color w:val="auto"/>
        </w:rPr>
        <w:t>T Investment Company, Inc. was dissolved. As a result, M</w:t>
      </w:r>
      <w:r>
        <w:rPr>
          <w:rFonts w:ascii="Arial" w:cs="Arial" w:eastAsia="Arial" w:hAnsi="Arial"/>
          <w:sz w:val="13"/>
          <w:szCs w:val="13"/>
          <w:color w:val="auto"/>
        </w:rPr>
        <w:t>&amp;</w:t>
      </w:r>
      <w:r>
        <w:rPr>
          <w:rFonts w:ascii="Arial" w:cs="Arial" w:eastAsia="Arial" w:hAnsi="Arial"/>
          <w:sz w:val="14"/>
          <w:szCs w:val="14"/>
          <w:color w:val="auto"/>
        </w:rPr>
        <w:t>T Investment became a direct subsidiary of M</w:t>
      </w:r>
      <w:r>
        <w:rPr>
          <w:rFonts w:ascii="Arial" w:cs="Arial" w:eastAsia="Arial" w:hAnsi="Arial"/>
          <w:sz w:val="13"/>
          <w:szCs w:val="13"/>
          <w:color w:val="auto"/>
        </w:rPr>
        <w:t>&amp;</w:t>
      </w:r>
      <w:r>
        <w:rPr>
          <w:rFonts w:ascii="Arial" w:cs="Arial" w:eastAsia="Arial" w:hAnsi="Arial"/>
          <w:sz w:val="14"/>
          <w:szCs w:val="14"/>
          <w:color w:val="auto"/>
        </w:rPr>
        <w:t>T Bank on that date.</w:t>
      </w:r>
    </w:p>
    <w:p>
      <w:pPr>
        <w:ind w:left="680" w:right="60" w:firstLine="599"/>
        <w:spacing w:after="0" w:line="249" w:lineRule="auto"/>
        <w:rPr>
          <w:sz w:val="20"/>
          <w:szCs w:val="20"/>
          <w:color w:val="auto"/>
        </w:rPr>
      </w:pPr>
      <w:r>
        <w:rPr>
          <w:rFonts w:ascii="Arial" w:cs="Arial" w:eastAsia="Arial" w:hAnsi="Arial"/>
          <w:sz w:val="14"/>
          <w:szCs w:val="14"/>
          <w:color w:val="auto"/>
        </w:rPr>
        <w:t>M</w:t>
      </w:r>
      <w:r>
        <w:rPr>
          <w:rFonts w:ascii="Arial" w:cs="Arial" w:eastAsia="Arial" w:hAnsi="Arial"/>
          <w:sz w:val="13"/>
          <w:szCs w:val="13"/>
          <w:color w:val="auto"/>
        </w:rPr>
        <w:t>&amp;</w:t>
      </w:r>
      <w:r>
        <w:rPr>
          <w:rFonts w:ascii="Arial" w:cs="Arial" w:eastAsia="Arial" w:hAnsi="Arial"/>
          <w:sz w:val="14"/>
          <w:szCs w:val="14"/>
          <w:color w:val="auto"/>
        </w:rPr>
        <w:t>T Lease, LLC (“M</w:t>
      </w:r>
      <w:r>
        <w:rPr>
          <w:rFonts w:ascii="Arial" w:cs="Arial" w:eastAsia="Arial" w:hAnsi="Arial"/>
          <w:sz w:val="13"/>
          <w:szCs w:val="13"/>
          <w:color w:val="auto"/>
        </w:rPr>
        <w:t>&amp;</w:t>
      </w:r>
      <w:r>
        <w:rPr>
          <w:rFonts w:ascii="Arial" w:cs="Arial" w:eastAsia="Arial" w:hAnsi="Arial"/>
          <w:sz w:val="14"/>
          <w:szCs w:val="14"/>
          <w:color w:val="auto"/>
        </w:rPr>
        <w:t>T Lease”), a wholly owned subsidiary of M</w:t>
      </w:r>
      <w:r>
        <w:rPr>
          <w:rFonts w:ascii="Arial" w:cs="Arial" w:eastAsia="Arial" w:hAnsi="Arial"/>
          <w:sz w:val="13"/>
          <w:szCs w:val="13"/>
          <w:color w:val="auto"/>
        </w:rPr>
        <w:t>&amp;</w:t>
      </w:r>
      <w:r>
        <w:rPr>
          <w:rFonts w:ascii="Arial" w:cs="Arial" w:eastAsia="Arial" w:hAnsi="Arial"/>
          <w:sz w:val="14"/>
          <w:szCs w:val="14"/>
          <w:color w:val="auto"/>
        </w:rPr>
        <w:t>T Bank, is a Delaware limited liability company formed in June 2004, but its operations can be traced to a predecessor company that was a wholly owned subsidiary of M</w:t>
      </w:r>
      <w:r>
        <w:rPr>
          <w:rFonts w:ascii="Arial" w:cs="Arial" w:eastAsia="Arial" w:hAnsi="Arial"/>
          <w:sz w:val="13"/>
          <w:szCs w:val="13"/>
          <w:color w:val="auto"/>
        </w:rPr>
        <w:t>&amp;</w:t>
      </w:r>
      <w:r>
        <w:rPr>
          <w:rFonts w:ascii="Arial" w:cs="Arial" w:eastAsia="Arial" w:hAnsi="Arial"/>
          <w:sz w:val="14"/>
          <w:szCs w:val="14"/>
          <w:color w:val="auto"/>
        </w:rPr>
        <w:t>T Bank formed in 1994. M</w:t>
      </w:r>
      <w:r>
        <w:rPr>
          <w:rFonts w:ascii="Arial" w:cs="Arial" w:eastAsia="Arial" w:hAnsi="Arial"/>
          <w:sz w:val="13"/>
          <w:szCs w:val="13"/>
          <w:color w:val="auto"/>
        </w:rPr>
        <w:t>&amp;</w:t>
      </w:r>
      <w:r>
        <w:rPr>
          <w:rFonts w:ascii="Arial" w:cs="Arial" w:eastAsia="Arial" w:hAnsi="Arial"/>
          <w:sz w:val="14"/>
          <w:szCs w:val="14"/>
          <w:color w:val="auto"/>
        </w:rPr>
        <w:t>T Lease is a consumer leasing company with headquarters at One M</w:t>
      </w:r>
      <w:r>
        <w:rPr>
          <w:rFonts w:ascii="Arial" w:cs="Arial" w:eastAsia="Arial" w:hAnsi="Arial"/>
          <w:sz w:val="13"/>
          <w:szCs w:val="13"/>
          <w:color w:val="auto"/>
        </w:rPr>
        <w:t>&amp;</w:t>
      </w:r>
      <w:r>
        <w:rPr>
          <w:rFonts w:ascii="Arial" w:cs="Arial" w:eastAsia="Arial" w:hAnsi="Arial"/>
          <w:sz w:val="14"/>
          <w:szCs w:val="14"/>
          <w:color w:val="auto"/>
        </w:rPr>
        <w:t>T Plaza, Buffalo, New York 14203. As of December 31, 2006, M</w:t>
      </w:r>
      <w:r>
        <w:rPr>
          <w:rFonts w:ascii="Arial" w:cs="Arial" w:eastAsia="Arial" w:hAnsi="Arial"/>
          <w:sz w:val="13"/>
          <w:szCs w:val="13"/>
          <w:color w:val="auto"/>
        </w:rPr>
        <w:t>&amp;</w:t>
      </w:r>
      <w:r>
        <w:rPr>
          <w:rFonts w:ascii="Arial" w:cs="Arial" w:eastAsia="Arial" w:hAnsi="Arial"/>
          <w:sz w:val="14"/>
          <w:szCs w:val="14"/>
          <w:color w:val="auto"/>
        </w:rPr>
        <w:t>T Lease had assets of $68 million and stockholder’s equity of $44 million. M</w:t>
      </w:r>
      <w:r>
        <w:rPr>
          <w:rFonts w:ascii="Arial" w:cs="Arial" w:eastAsia="Arial" w:hAnsi="Arial"/>
          <w:sz w:val="13"/>
          <w:szCs w:val="13"/>
          <w:color w:val="auto"/>
        </w:rPr>
        <w:t>&amp;</w:t>
      </w:r>
      <w:r>
        <w:rPr>
          <w:rFonts w:ascii="Arial" w:cs="Arial" w:eastAsia="Arial" w:hAnsi="Arial"/>
          <w:sz w:val="14"/>
          <w:szCs w:val="14"/>
          <w:color w:val="auto"/>
        </w:rPr>
        <w:t>T Lease recorded $7 million of revenue during 2006.</w:t>
      </w:r>
    </w:p>
    <w:p>
      <w:pPr>
        <w:ind w:left="680" w:right="100" w:firstLine="599"/>
        <w:spacing w:after="0" w:line="249" w:lineRule="auto"/>
        <w:rPr>
          <w:sz w:val="20"/>
          <w:szCs w:val="20"/>
          <w:color w:val="auto"/>
        </w:rPr>
      </w:pPr>
      <w:r>
        <w:rPr>
          <w:rFonts w:ascii="Arial" w:cs="Arial" w:eastAsia="Arial" w:hAnsi="Arial"/>
          <w:sz w:val="14"/>
          <w:szCs w:val="14"/>
          <w:color w:val="auto"/>
        </w:rPr>
        <w:t>M</w:t>
      </w:r>
      <w:r>
        <w:rPr>
          <w:rFonts w:ascii="Arial" w:cs="Arial" w:eastAsia="Arial" w:hAnsi="Arial"/>
          <w:sz w:val="13"/>
          <w:szCs w:val="13"/>
          <w:color w:val="auto"/>
        </w:rPr>
        <w:t>&amp;</w:t>
      </w:r>
      <w:r>
        <w:rPr>
          <w:rFonts w:ascii="Arial" w:cs="Arial" w:eastAsia="Arial" w:hAnsi="Arial"/>
          <w:sz w:val="14"/>
          <w:szCs w:val="14"/>
          <w:color w:val="auto"/>
        </w:rPr>
        <w:t>T Mortgage Corporation (“M</w:t>
      </w:r>
      <w:r>
        <w:rPr>
          <w:rFonts w:ascii="Arial" w:cs="Arial" w:eastAsia="Arial" w:hAnsi="Arial"/>
          <w:sz w:val="13"/>
          <w:szCs w:val="13"/>
          <w:color w:val="auto"/>
        </w:rPr>
        <w:t>&amp;</w:t>
      </w:r>
      <w:r>
        <w:rPr>
          <w:rFonts w:ascii="Arial" w:cs="Arial" w:eastAsia="Arial" w:hAnsi="Arial"/>
          <w:sz w:val="14"/>
          <w:szCs w:val="14"/>
          <w:color w:val="auto"/>
        </w:rPr>
        <w:t>T Mortgage”) was a wholly owned mortgage banking subsidiary of M</w:t>
      </w:r>
      <w:r>
        <w:rPr>
          <w:rFonts w:ascii="Arial" w:cs="Arial" w:eastAsia="Arial" w:hAnsi="Arial"/>
          <w:sz w:val="13"/>
          <w:szCs w:val="13"/>
          <w:color w:val="auto"/>
        </w:rPr>
        <w:t>&amp;</w:t>
      </w:r>
      <w:r>
        <w:rPr>
          <w:rFonts w:ascii="Arial" w:cs="Arial" w:eastAsia="Arial" w:hAnsi="Arial"/>
          <w:sz w:val="14"/>
          <w:szCs w:val="14"/>
          <w:color w:val="auto"/>
        </w:rPr>
        <w:t>T Bank that was incorporated as a New York business corporation in November 1991. M</w:t>
      </w:r>
      <w:r>
        <w:rPr>
          <w:rFonts w:ascii="Arial" w:cs="Arial" w:eastAsia="Arial" w:hAnsi="Arial"/>
          <w:sz w:val="13"/>
          <w:szCs w:val="13"/>
          <w:color w:val="auto"/>
        </w:rPr>
        <w:t>&amp;</w:t>
      </w:r>
      <w:r>
        <w:rPr>
          <w:rFonts w:ascii="Arial" w:cs="Arial" w:eastAsia="Arial" w:hAnsi="Arial"/>
          <w:sz w:val="14"/>
          <w:szCs w:val="14"/>
          <w:color w:val="auto"/>
        </w:rPr>
        <w:t>T Mortgage was merged into M</w:t>
      </w:r>
      <w:r>
        <w:rPr>
          <w:rFonts w:ascii="Arial" w:cs="Arial" w:eastAsia="Arial" w:hAnsi="Arial"/>
          <w:sz w:val="13"/>
          <w:szCs w:val="13"/>
          <w:color w:val="auto"/>
        </w:rPr>
        <w:t>&amp;</w:t>
      </w:r>
      <w:r>
        <w:rPr>
          <w:rFonts w:ascii="Arial" w:cs="Arial" w:eastAsia="Arial" w:hAnsi="Arial"/>
          <w:sz w:val="14"/>
          <w:szCs w:val="14"/>
          <w:color w:val="auto"/>
        </w:rPr>
        <w:t>T Bank effective January 1, 2007. M</w:t>
      </w:r>
      <w:r>
        <w:rPr>
          <w:rFonts w:ascii="Arial" w:cs="Arial" w:eastAsia="Arial" w:hAnsi="Arial"/>
          <w:sz w:val="13"/>
          <w:szCs w:val="13"/>
          <w:color w:val="auto"/>
        </w:rPr>
        <w:t>&amp;</w:t>
      </w:r>
      <w:r>
        <w:rPr>
          <w:rFonts w:ascii="Arial" w:cs="Arial" w:eastAsia="Arial" w:hAnsi="Arial"/>
          <w:sz w:val="14"/>
          <w:szCs w:val="14"/>
          <w:color w:val="auto"/>
        </w:rPr>
        <w:t>T Mortgage’s principal activities were comprised of the origination of residential mortgage loans and providing residential mortgage loan servicing to M</w:t>
      </w:r>
      <w:r>
        <w:rPr>
          <w:rFonts w:ascii="Arial" w:cs="Arial" w:eastAsia="Arial" w:hAnsi="Arial"/>
          <w:sz w:val="13"/>
          <w:szCs w:val="13"/>
          <w:color w:val="auto"/>
        </w:rPr>
        <w:t>&amp;</w:t>
      </w:r>
      <w:r>
        <w:rPr>
          <w:rFonts w:ascii="Arial" w:cs="Arial" w:eastAsia="Arial" w:hAnsi="Arial"/>
          <w:sz w:val="14"/>
          <w:szCs w:val="14"/>
          <w:color w:val="auto"/>
        </w:rPr>
        <w:t>T Bank, M</w:t>
      </w:r>
      <w:r>
        <w:rPr>
          <w:rFonts w:ascii="Arial" w:cs="Arial" w:eastAsia="Arial" w:hAnsi="Arial"/>
          <w:sz w:val="13"/>
          <w:szCs w:val="13"/>
          <w:color w:val="auto"/>
        </w:rPr>
        <w:t>&amp;</w:t>
      </w:r>
      <w:r>
        <w:rPr>
          <w:rFonts w:ascii="Arial" w:cs="Arial" w:eastAsia="Arial" w:hAnsi="Arial"/>
          <w:sz w:val="14"/>
          <w:szCs w:val="14"/>
          <w:color w:val="auto"/>
        </w:rPr>
        <w:t>T Bank, N.A. and others. M</w:t>
      </w:r>
      <w:r>
        <w:rPr>
          <w:rFonts w:ascii="Arial" w:cs="Arial" w:eastAsia="Arial" w:hAnsi="Arial"/>
          <w:sz w:val="13"/>
          <w:szCs w:val="13"/>
          <w:color w:val="auto"/>
        </w:rPr>
        <w:t>&amp;</w:t>
      </w:r>
      <w:r>
        <w:rPr>
          <w:rFonts w:ascii="Arial" w:cs="Arial" w:eastAsia="Arial" w:hAnsi="Arial"/>
          <w:sz w:val="14"/>
          <w:szCs w:val="14"/>
          <w:color w:val="auto"/>
        </w:rPr>
        <w:t>T Mortgage operated throughout New York State, Maryland and Pennsylvania, and maintained offices in 19 other states. M</w:t>
      </w:r>
      <w:r>
        <w:rPr>
          <w:rFonts w:ascii="Arial" w:cs="Arial" w:eastAsia="Arial" w:hAnsi="Arial"/>
          <w:sz w:val="13"/>
          <w:szCs w:val="13"/>
          <w:color w:val="auto"/>
        </w:rPr>
        <w:t>&amp;</w:t>
      </w:r>
      <w:r>
        <w:rPr>
          <w:rFonts w:ascii="Arial" w:cs="Arial" w:eastAsia="Arial" w:hAnsi="Arial"/>
          <w:sz w:val="14"/>
          <w:szCs w:val="14"/>
          <w:color w:val="auto"/>
        </w:rPr>
        <w:t>T Mortgage had assets of $2.8 billion and stockholder’s equity of $388 million as of December 31, 2006, and recorded approximately $347 million of revenue during 2006. Mortgage loans serviced by M</w:t>
      </w:r>
      <w:r>
        <w:rPr>
          <w:rFonts w:ascii="Arial" w:cs="Arial" w:eastAsia="Arial" w:hAnsi="Arial"/>
          <w:sz w:val="13"/>
          <w:szCs w:val="13"/>
          <w:color w:val="auto"/>
        </w:rPr>
        <w:t>&amp;</w:t>
      </w:r>
      <w:r>
        <w:rPr>
          <w:rFonts w:ascii="Arial" w:cs="Arial" w:eastAsia="Arial" w:hAnsi="Arial"/>
          <w:sz w:val="14"/>
          <w:szCs w:val="14"/>
          <w:color w:val="auto"/>
        </w:rPr>
        <w:t>T Mortgage for non-affiliates totaled $16.7 billion at December 31, 2006.</w:t>
      </w:r>
    </w:p>
    <w:p>
      <w:pPr>
        <w:ind w:left="1280"/>
        <w:spacing w:after="0"/>
        <w:rPr>
          <w:sz w:val="20"/>
          <w:szCs w:val="20"/>
          <w:color w:val="auto"/>
        </w:rPr>
      </w:pPr>
      <w:r>
        <w:rPr>
          <w:rFonts w:ascii="Arial" w:cs="Arial" w:eastAsia="Arial" w:hAnsi="Arial"/>
          <w:sz w:val="14"/>
          <w:szCs w:val="14"/>
          <w:color w:val="auto"/>
        </w:rPr>
        <w:t>M</w:t>
      </w:r>
      <w:r>
        <w:rPr>
          <w:rFonts w:ascii="Arial" w:cs="Arial" w:eastAsia="Arial" w:hAnsi="Arial"/>
          <w:sz w:val="13"/>
          <w:szCs w:val="13"/>
          <w:color w:val="auto"/>
        </w:rPr>
        <w:t>&amp;</w:t>
      </w:r>
      <w:r>
        <w:rPr>
          <w:rFonts w:ascii="Arial" w:cs="Arial" w:eastAsia="Arial" w:hAnsi="Arial"/>
          <w:sz w:val="14"/>
          <w:szCs w:val="14"/>
          <w:color w:val="auto"/>
        </w:rPr>
        <w:t>T Mortgage Reinsurance Company, Inc. (“M</w:t>
      </w:r>
      <w:r>
        <w:rPr>
          <w:rFonts w:ascii="Arial" w:cs="Arial" w:eastAsia="Arial" w:hAnsi="Arial"/>
          <w:sz w:val="13"/>
          <w:szCs w:val="13"/>
          <w:color w:val="auto"/>
        </w:rPr>
        <w:t>&amp;</w:t>
      </w:r>
      <w:r>
        <w:rPr>
          <w:rFonts w:ascii="Arial" w:cs="Arial" w:eastAsia="Arial" w:hAnsi="Arial"/>
          <w:sz w:val="14"/>
          <w:szCs w:val="14"/>
          <w:color w:val="auto"/>
        </w:rPr>
        <w:t>T Reinsurance”), a wholly owned subsidiary of M</w:t>
      </w:r>
      <w:r>
        <w:rPr>
          <w:rFonts w:ascii="Arial" w:cs="Arial" w:eastAsia="Arial" w:hAnsi="Arial"/>
          <w:sz w:val="13"/>
          <w:szCs w:val="13"/>
          <w:color w:val="auto"/>
        </w:rPr>
        <w:t>&amp;</w:t>
      </w:r>
      <w:r>
        <w:rPr>
          <w:rFonts w:ascii="Arial" w:cs="Arial" w:eastAsia="Arial" w:hAnsi="Arial"/>
          <w:sz w:val="14"/>
          <w:szCs w:val="14"/>
          <w:color w:val="auto"/>
        </w:rPr>
        <w:t>T Bank, was incorporated as a Vermont business</w:t>
      </w:r>
    </w:p>
    <w:p>
      <w:pPr>
        <w:spacing w:after="0" w:line="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corporation in July 1999. M</w:t>
      </w:r>
      <w:r>
        <w:rPr>
          <w:rFonts w:ascii="Arial" w:cs="Arial" w:eastAsia="Arial" w:hAnsi="Arial"/>
          <w:sz w:val="12"/>
          <w:szCs w:val="12"/>
          <w:color w:val="auto"/>
        </w:rPr>
        <w:t>&amp;</w:t>
      </w:r>
      <w:r>
        <w:rPr>
          <w:rFonts w:ascii="Arial" w:cs="Arial" w:eastAsia="Arial" w:hAnsi="Arial"/>
          <w:sz w:val="13"/>
          <w:szCs w:val="13"/>
          <w:color w:val="auto"/>
        </w:rPr>
        <w:t>T Reinsurance enters into reinsurance contracts with insurance companies who insure against the risk of a mortgage borrower’s payment</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default in connection with M</w:t>
      </w:r>
      <w:r>
        <w:rPr>
          <w:rFonts w:ascii="Arial" w:cs="Arial" w:eastAsia="Arial" w:hAnsi="Arial"/>
          <w:sz w:val="12"/>
          <w:szCs w:val="12"/>
          <w:color w:val="auto"/>
        </w:rPr>
        <w:t>&amp;</w:t>
      </w:r>
      <w:r>
        <w:rPr>
          <w:rFonts w:ascii="Arial" w:cs="Arial" w:eastAsia="Arial" w:hAnsi="Arial"/>
          <w:sz w:val="13"/>
          <w:szCs w:val="13"/>
          <w:color w:val="auto"/>
        </w:rPr>
        <w:t>T Mortgage-related mortgage loans. M</w:t>
      </w:r>
      <w:r>
        <w:rPr>
          <w:rFonts w:ascii="Arial" w:cs="Arial" w:eastAsia="Arial" w:hAnsi="Arial"/>
          <w:sz w:val="12"/>
          <w:szCs w:val="12"/>
          <w:color w:val="auto"/>
        </w:rPr>
        <w:t>&amp;</w:t>
      </w:r>
      <w:r>
        <w:rPr>
          <w:rFonts w:ascii="Arial" w:cs="Arial" w:eastAsia="Arial" w:hAnsi="Arial"/>
          <w:sz w:val="13"/>
          <w:szCs w:val="13"/>
          <w:color w:val="auto"/>
        </w:rPr>
        <w:t>T Reinsurance receives a share of the premium for those policies in exchange for accepting a portion</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of the insurer’s risk of borrower default. M</w:t>
      </w:r>
      <w:r>
        <w:rPr>
          <w:rFonts w:ascii="Arial" w:cs="Arial" w:eastAsia="Arial" w:hAnsi="Arial"/>
          <w:sz w:val="13"/>
          <w:szCs w:val="13"/>
          <w:color w:val="auto"/>
        </w:rPr>
        <w:t>&amp;</w:t>
      </w:r>
      <w:r>
        <w:rPr>
          <w:rFonts w:ascii="Arial" w:cs="Arial" w:eastAsia="Arial" w:hAnsi="Arial"/>
          <w:sz w:val="14"/>
          <w:szCs w:val="14"/>
          <w:color w:val="auto"/>
        </w:rPr>
        <w:t>T Reinsurance had assets of approximately $21 million and stockholder’s equity of approximately $20 million as of</w:t>
      </w:r>
    </w:p>
    <w:p>
      <w:pPr>
        <w:spacing w:after="0" w:line="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December 31, 2006, and recorded approximately $4 million of revenue during 2006. M</w:t>
      </w:r>
      <w:r>
        <w:rPr>
          <w:rFonts w:ascii="Arial" w:cs="Arial" w:eastAsia="Arial" w:hAnsi="Arial"/>
          <w:sz w:val="12"/>
          <w:szCs w:val="12"/>
          <w:color w:val="auto"/>
        </w:rPr>
        <w:t>&amp;</w:t>
      </w:r>
      <w:r>
        <w:rPr>
          <w:rFonts w:ascii="Arial" w:cs="Arial" w:eastAsia="Arial" w:hAnsi="Arial"/>
          <w:sz w:val="13"/>
          <w:szCs w:val="13"/>
          <w:color w:val="auto"/>
        </w:rPr>
        <w:t>T Reinsurance’s principal and registered office is at 148 College Street, Burlington,</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Vermont 05401.</w:t>
      </w:r>
    </w:p>
    <w:p>
      <w:pPr>
        <w:spacing w:after="0" w:line="6" w:lineRule="exact"/>
        <w:rPr>
          <w:sz w:val="20"/>
          <w:szCs w:val="20"/>
          <w:color w:val="auto"/>
        </w:rPr>
      </w:pPr>
    </w:p>
    <w:p>
      <w:pPr>
        <w:ind w:left="680" w:firstLine="599"/>
        <w:spacing w:after="0" w:line="249" w:lineRule="auto"/>
        <w:rPr>
          <w:sz w:val="20"/>
          <w:szCs w:val="20"/>
          <w:color w:val="auto"/>
        </w:rPr>
      </w:pPr>
      <w:r>
        <w:rPr>
          <w:rFonts w:ascii="Arial" w:cs="Arial" w:eastAsia="Arial" w:hAnsi="Arial"/>
          <w:sz w:val="14"/>
          <w:szCs w:val="14"/>
          <w:color w:val="auto"/>
        </w:rPr>
        <w:t>M</w:t>
      </w:r>
      <w:r>
        <w:rPr>
          <w:rFonts w:ascii="Arial" w:cs="Arial" w:eastAsia="Arial" w:hAnsi="Arial"/>
          <w:sz w:val="13"/>
          <w:szCs w:val="13"/>
          <w:color w:val="auto"/>
        </w:rPr>
        <w:t>&amp;</w:t>
      </w:r>
      <w:r>
        <w:rPr>
          <w:rFonts w:ascii="Arial" w:cs="Arial" w:eastAsia="Arial" w:hAnsi="Arial"/>
          <w:sz w:val="14"/>
          <w:szCs w:val="14"/>
          <w:color w:val="auto"/>
        </w:rPr>
        <w:t>T Real Estate Trust (“M</w:t>
      </w:r>
      <w:r>
        <w:rPr>
          <w:rFonts w:ascii="Arial" w:cs="Arial" w:eastAsia="Arial" w:hAnsi="Arial"/>
          <w:sz w:val="13"/>
          <w:szCs w:val="13"/>
          <w:color w:val="auto"/>
        </w:rPr>
        <w:t>&amp;</w:t>
      </w:r>
      <w:r>
        <w:rPr>
          <w:rFonts w:ascii="Arial" w:cs="Arial" w:eastAsia="Arial" w:hAnsi="Arial"/>
          <w:sz w:val="14"/>
          <w:szCs w:val="14"/>
          <w:color w:val="auto"/>
        </w:rPr>
        <w:t>T Real Estate”) is a Maryland Real Estate Investment Trust and is a subsidiary of M</w:t>
      </w:r>
      <w:r>
        <w:rPr>
          <w:rFonts w:ascii="Arial" w:cs="Arial" w:eastAsia="Arial" w:hAnsi="Arial"/>
          <w:sz w:val="13"/>
          <w:szCs w:val="13"/>
          <w:color w:val="auto"/>
        </w:rPr>
        <w:t>&amp;</w:t>
      </w:r>
      <w:r>
        <w:rPr>
          <w:rFonts w:ascii="Arial" w:cs="Arial" w:eastAsia="Arial" w:hAnsi="Arial"/>
          <w:sz w:val="14"/>
          <w:szCs w:val="14"/>
          <w:color w:val="auto"/>
        </w:rPr>
        <w:t>T Investment. M</w:t>
      </w:r>
      <w:r>
        <w:rPr>
          <w:rFonts w:ascii="Arial" w:cs="Arial" w:eastAsia="Arial" w:hAnsi="Arial"/>
          <w:sz w:val="13"/>
          <w:szCs w:val="13"/>
          <w:color w:val="auto"/>
        </w:rPr>
        <w:t>&amp;</w:t>
      </w:r>
      <w:r>
        <w:rPr>
          <w:rFonts w:ascii="Arial" w:cs="Arial" w:eastAsia="Arial" w:hAnsi="Arial"/>
          <w:sz w:val="14"/>
          <w:szCs w:val="14"/>
          <w:color w:val="auto"/>
        </w:rPr>
        <w:t>T Real Estate was formed through the merger of two separate subsidiaries, but traces its origin to M</w:t>
      </w:r>
      <w:r>
        <w:rPr>
          <w:rFonts w:ascii="Arial" w:cs="Arial" w:eastAsia="Arial" w:hAnsi="Arial"/>
          <w:sz w:val="13"/>
          <w:szCs w:val="13"/>
          <w:color w:val="auto"/>
        </w:rPr>
        <w:t>&amp;</w:t>
      </w:r>
      <w:r>
        <w:rPr>
          <w:rFonts w:ascii="Arial" w:cs="Arial" w:eastAsia="Arial" w:hAnsi="Arial"/>
          <w:sz w:val="14"/>
          <w:szCs w:val="14"/>
          <w:color w:val="auto"/>
        </w:rPr>
        <w:t>T Real Estate, Inc., a New York business corporation incorporated in July 1995. M</w:t>
      </w:r>
      <w:r>
        <w:rPr>
          <w:rFonts w:ascii="Arial" w:cs="Arial" w:eastAsia="Arial" w:hAnsi="Arial"/>
          <w:sz w:val="13"/>
          <w:szCs w:val="13"/>
          <w:color w:val="auto"/>
        </w:rPr>
        <w:t>&amp;</w:t>
      </w:r>
      <w:r>
        <w:rPr>
          <w:rFonts w:ascii="Arial" w:cs="Arial" w:eastAsia="Arial" w:hAnsi="Arial"/>
          <w:sz w:val="14"/>
          <w:szCs w:val="14"/>
          <w:color w:val="auto"/>
        </w:rPr>
        <w:t>T Real Estate engages in commercial real estate lending and provides loan servicing to M</w:t>
      </w:r>
      <w:r>
        <w:rPr>
          <w:rFonts w:ascii="Arial" w:cs="Arial" w:eastAsia="Arial" w:hAnsi="Arial"/>
          <w:sz w:val="13"/>
          <w:szCs w:val="13"/>
          <w:color w:val="auto"/>
        </w:rPr>
        <w:t>&amp;</w:t>
      </w:r>
      <w:r>
        <w:rPr>
          <w:rFonts w:ascii="Arial" w:cs="Arial" w:eastAsia="Arial" w:hAnsi="Arial"/>
          <w:sz w:val="14"/>
          <w:szCs w:val="14"/>
          <w:color w:val="auto"/>
        </w:rPr>
        <w:t>T Bank. As of December 31, 2006, M</w:t>
      </w:r>
      <w:r>
        <w:rPr>
          <w:rFonts w:ascii="Arial" w:cs="Arial" w:eastAsia="Arial" w:hAnsi="Arial"/>
          <w:sz w:val="13"/>
          <w:szCs w:val="13"/>
          <w:color w:val="auto"/>
        </w:rPr>
        <w:t>&amp;</w:t>
      </w:r>
      <w:r>
        <w:rPr>
          <w:rFonts w:ascii="Arial" w:cs="Arial" w:eastAsia="Arial" w:hAnsi="Arial"/>
          <w:sz w:val="14"/>
          <w:szCs w:val="14"/>
          <w:color w:val="auto"/>
        </w:rPr>
        <w:t>T Real Estate had assets of $13.5 billion, common stockholder’s equity of $13.2 billion, and preferred stockholders’ equity, consisting of 9% fixed-rate preferred stock (par value $1,000), of $1 million. All of the outstanding common stock and 88% of the preferred stock of M</w:t>
      </w:r>
      <w:r>
        <w:rPr>
          <w:rFonts w:ascii="Arial" w:cs="Arial" w:eastAsia="Arial" w:hAnsi="Arial"/>
          <w:sz w:val="13"/>
          <w:szCs w:val="13"/>
          <w:color w:val="auto"/>
        </w:rPr>
        <w:t>&amp;</w:t>
      </w:r>
      <w:r>
        <w:rPr>
          <w:rFonts w:ascii="Arial" w:cs="Arial" w:eastAsia="Arial" w:hAnsi="Arial"/>
          <w:sz w:val="14"/>
          <w:szCs w:val="14"/>
          <w:color w:val="auto"/>
        </w:rPr>
        <w:t>T Real Estate is owned by M</w:t>
      </w:r>
      <w:r>
        <w:rPr>
          <w:rFonts w:ascii="Arial" w:cs="Arial" w:eastAsia="Arial" w:hAnsi="Arial"/>
          <w:sz w:val="13"/>
          <w:szCs w:val="13"/>
          <w:color w:val="auto"/>
        </w:rPr>
        <w:t>&amp;</w:t>
      </w:r>
      <w:r>
        <w:rPr>
          <w:rFonts w:ascii="Arial" w:cs="Arial" w:eastAsia="Arial" w:hAnsi="Arial"/>
          <w:sz w:val="14"/>
          <w:szCs w:val="14"/>
          <w:color w:val="auto"/>
        </w:rPr>
        <w:t>T Investment. The remaining 12% of M</w:t>
      </w:r>
      <w:r>
        <w:rPr>
          <w:rFonts w:ascii="Arial" w:cs="Arial" w:eastAsia="Arial" w:hAnsi="Arial"/>
          <w:sz w:val="13"/>
          <w:szCs w:val="13"/>
          <w:color w:val="auto"/>
        </w:rPr>
        <w:t>&amp;</w:t>
      </w:r>
      <w:r>
        <w:rPr>
          <w:rFonts w:ascii="Arial" w:cs="Arial" w:eastAsia="Arial" w:hAnsi="Arial"/>
          <w:sz w:val="14"/>
          <w:szCs w:val="14"/>
          <w:color w:val="auto"/>
        </w:rPr>
        <w:t>T Real Estate’s outstanding preferred stock is owned by officers or former officers of the Company. M</w:t>
      </w:r>
      <w:r>
        <w:rPr>
          <w:rFonts w:ascii="Arial" w:cs="Arial" w:eastAsia="Arial" w:hAnsi="Arial"/>
          <w:sz w:val="13"/>
          <w:szCs w:val="13"/>
          <w:color w:val="auto"/>
        </w:rPr>
        <w:t>&amp;</w:t>
      </w:r>
      <w:r>
        <w:rPr>
          <w:rFonts w:ascii="Arial" w:cs="Arial" w:eastAsia="Arial" w:hAnsi="Arial"/>
          <w:sz w:val="14"/>
          <w:szCs w:val="14"/>
          <w:color w:val="auto"/>
        </w:rPr>
        <w:t>T Real Estate recorded $864 million of revenue in 2006. The headquarters of M</w:t>
      </w:r>
      <w:r>
        <w:rPr>
          <w:rFonts w:ascii="Arial" w:cs="Arial" w:eastAsia="Arial" w:hAnsi="Arial"/>
          <w:sz w:val="13"/>
          <w:szCs w:val="13"/>
          <w:color w:val="auto"/>
        </w:rPr>
        <w:t>&amp;</w:t>
      </w:r>
      <w:r>
        <w:rPr>
          <w:rFonts w:ascii="Arial" w:cs="Arial" w:eastAsia="Arial" w:hAnsi="Arial"/>
          <w:sz w:val="14"/>
          <w:szCs w:val="14"/>
          <w:color w:val="auto"/>
        </w:rPr>
        <w:t>T Real Estate are located at M</w:t>
      </w:r>
      <w:r>
        <w:rPr>
          <w:rFonts w:ascii="Arial" w:cs="Arial" w:eastAsia="Arial" w:hAnsi="Arial"/>
          <w:sz w:val="13"/>
          <w:szCs w:val="13"/>
          <w:color w:val="auto"/>
        </w:rPr>
        <w:t>&amp;</w:t>
      </w:r>
      <w:r>
        <w:rPr>
          <w:rFonts w:ascii="Arial" w:cs="Arial" w:eastAsia="Arial" w:hAnsi="Arial"/>
          <w:sz w:val="14"/>
          <w:szCs w:val="14"/>
          <w:color w:val="auto"/>
        </w:rPr>
        <w:t>T Center, One Fountain Plaza, Buffalo, New York 14203.</w:t>
      </w:r>
    </w:p>
    <w:p>
      <w:pPr>
        <w:ind w:left="1280"/>
        <w:spacing w:after="0"/>
        <w:rPr>
          <w:sz w:val="20"/>
          <w:szCs w:val="20"/>
          <w:color w:val="auto"/>
        </w:rPr>
      </w:pPr>
      <w:r>
        <w:rPr>
          <w:rFonts w:ascii="Arial" w:cs="Arial" w:eastAsia="Arial" w:hAnsi="Arial"/>
          <w:sz w:val="13"/>
          <w:szCs w:val="13"/>
          <w:color w:val="auto"/>
        </w:rPr>
        <w:t>M</w:t>
      </w:r>
      <w:r>
        <w:rPr>
          <w:rFonts w:ascii="Arial" w:cs="Arial" w:eastAsia="Arial" w:hAnsi="Arial"/>
          <w:sz w:val="12"/>
          <w:szCs w:val="12"/>
          <w:color w:val="auto"/>
        </w:rPr>
        <w:t>&amp;</w:t>
      </w:r>
      <w:r>
        <w:rPr>
          <w:rFonts w:ascii="Arial" w:cs="Arial" w:eastAsia="Arial" w:hAnsi="Arial"/>
          <w:sz w:val="13"/>
          <w:szCs w:val="13"/>
          <w:color w:val="auto"/>
        </w:rPr>
        <w:t>T Realty Capital Corporation (“M</w:t>
      </w:r>
      <w:r>
        <w:rPr>
          <w:rFonts w:ascii="Arial" w:cs="Arial" w:eastAsia="Arial" w:hAnsi="Arial"/>
          <w:sz w:val="12"/>
          <w:szCs w:val="12"/>
          <w:color w:val="auto"/>
        </w:rPr>
        <w:t>&amp;</w:t>
      </w:r>
      <w:r>
        <w:rPr>
          <w:rFonts w:ascii="Arial" w:cs="Arial" w:eastAsia="Arial" w:hAnsi="Arial"/>
          <w:sz w:val="13"/>
          <w:szCs w:val="13"/>
          <w:color w:val="auto"/>
        </w:rPr>
        <w:t>T Realty Capital”), a wholly owned subsidiary of M</w:t>
      </w:r>
      <w:r>
        <w:rPr>
          <w:rFonts w:ascii="Arial" w:cs="Arial" w:eastAsia="Arial" w:hAnsi="Arial"/>
          <w:sz w:val="12"/>
          <w:szCs w:val="12"/>
          <w:color w:val="auto"/>
        </w:rPr>
        <w:t>&amp;</w:t>
      </w:r>
      <w:r>
        <w:rPr>
          <w:rFonts w:ascii="Arial" w:cs="Arial" w:eastAsia="Arial" w:hAnsi="Arial"/>
          <w:sz w:val="13"/>
          <w:szCs w:val="13"/>
          <w:color w:val="auto"/>
        </w:rPr>
        <w:t>T Bank, was incorporated as a Maryland corporation in October</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1973. M</w:t>
      </w:r>
      <w:r>
        <w:rPr>
          <w:rFonts w:ascii="Arial" w:cs="Arial" w:eastAsia="Arial" w:hAnsi="Arial"/>
          <w:sz w:val="12"/>
          <w:szCs w:val="12"/>
          <w:color w:val="auto"/>
        </w:rPr>
        <w:t>&amp;</w:t>
      </w:r>
      <w:r>
        <w:rPr>
          <w:rFonts w:ascii="Arial" w:cs="Arial" w:eastAsia="Arial" w:hAnsi="Arial"/>
          <w:sz w:val="13"/>
          <w:szCs w:val="13"/>
          <w:color w:val="auto"/>
        </w:rPr>
        <w:t>T Realty Capital engages in multi-family commercial real estate lending and provides loan servicing to purchasers of the loans it originates. As of December 31,</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2006 M</w:t>
      </w:r>
      <w:r>
        <w:rPr>
          <w:rFonts w:ascii="Arial" w:cs="Arial" w:eastAsia="Arial" w:hAnsi="Arial"/>
          <w:sz w:val="12"/>
          <w:szCs w:val="12"/>
          <w:color w:val="auto"/>
        </w:rPr>
        <w:t>&amp;</w:t>
      </w:r>
      <w:r>
        <w:rPr>
          <w:rFonts w:ascii="Arial" w:cs="Arial" w:eastAsia="Arial" w:hAnsi="Arial"/>
          <w:sz w:val="13"/>
          <w:szCs w:val="13"/>
          <w:color w:val="auto"/>
        </w:rPr>
        <w:t>T Realty Capital serviced $4.9 billion of commercial mortgage loans for non-affiliates and had assets of $111 million and stockholder’s equity of $37 million.</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w:t>
      </w:r>
      <w:r>
        <w:rPr>
          <w:rFonts w:ascii="Arial" w:cs="Arial" w:eastAsia="Arial" w:hAnsi="Arial"/>
          <w:sz w:val="12"/>
          <w:szCs w:val="12"/>
          <w:color w:val="auto"/>
        </w:rPr>
        <w:t>&amp;</w:t>
      </w:r>
      <w:r>
        <w:rPr>
          <w:rFonts w:ascii="Arial" w:cs="Arial" w:eastAsia="Arial" w:hAnsi="Arial"/>
          <w:sz w:val="13"/>
          <w:szCs w:val="13"/>
          <w:color w:val="auto"/>
        </w:rPr>
        <w:t>T Realty Capital recorded revenues of $35 million in 2006. The headquarters of M</w:t>
      </w:r>
      <w:r>
        <w:rPr>
          <w:rFonts w:ascii="Arial" w:cs="Arial" w:eastAsia="Arial" w:hAnsi="Arial"/>
          <w:sz w:val="12"/>
          <w:szCs w:val="12"/>
          <w:color w:val="auto"/>
        </w:rPr>
        <w:t>&amp;</w:t>
      </w:r>
      <w:r>
        <w:rPr>
          <w:rFonts w:ascii="Arial" w:cs="Arial" w:eastAsia="Arial" w:hAnsi="Arial"/>
          <w:sz w:val="13"/>
          <w:szCs w:val="13"/>
          <w:color w:val="auto"/>
        </w:rPr>
        <w:t>T Realty Capital are located at 25 South Charles Street, Baltimore, Maryland 21202.</w:t>
      </w:r>
    </w:p>
    <w:p>
      <w:pPr>
        <w:spacing w:after="0" w:line="18" w:lineRule="exact"/>
        <w:rPr>
          <w:sz w:val="20"/>
          <w:szCs w:val="20"/>
          <w:color w:val="auto"/>
        </w:rPr>
      </w:pPr>
    </w:p>
    <w:p>
      <w:pPr>
        <w:ind w:left="680" w:right="100" w:firstLine="599"/>
        <w:spacing w:after="0" w:line="253" w:lineRule="auto"/>
        <w:rPr>
          <w:sz w:val="20"/>
          <w:szCs w:val="20"/>
          <w:color w:val="auto"/>
        </w:rPr>
      </w:pPr>
      <w:r>
        <w:rPr>
          <w:rFonts w:ascii="Arial" w:cs="Arial" w:eastAsia="Arial" w:hAnsi="Arial"/>
          <w:sz w:val="14"/>
          <w:szCs w:val="14"/>
          <w:color w:val="auto"/>
        </w:rPr>
        <w:t>M</w:t>
      </w:r>
      <w:r>
        <w:rPr>
          <w:rFonts w:ascii="Arial" w:cs="Arial" w:eastAsia="Arial" w:hAnsi="Arial"/>
          <w:sz w:val="13"/>
          <w:szCs w:val="13"/>
          <w:color w:val="auto"/>
        </w:rPr>
        <w:t>&amp;</w:t>
      </w:r>
      <w:r>
        <w:rPr>
          <w:rFonts w:ascii="Arial" w:cs="Arial" w:eastAsia="Arial" w:hAnsi="Arial"/>
          <w:sz w:val="14"/>
          <w:szCs w:val="14"/>
          <w:color w:val="auto"/>
        </w:rPr>
        <w:t>T Securities, Inc. (“M</w:t>
      </w:r>
      <w:r>
        <w:rPr>
          <w:rFonts w:ascii="Arial" w:cs="Arial" w:eastAsia="Arial" w:hAnsi="Arial"/>
          <w:sz w:val="13"/>
          <w:szCs w:val="13"/>
          <w:color w:val="auto"/>
        </w:rPr>
        <w:t>&amp;</w:t>
      </w:r>
      <w:r>
        <w:rPr>
          <w:rFonts w:ascii="Arial" w:cs="Arial" w:eastAsia="Arial" w:hAnsi="Arial"/>
          <w:sz w:val="14"/>
          <w:szCs w:val="14"/>
          <w:color w:val="auto"/>
        </w:rPr>
        <w:t>T Securities”) is a wholly owned subsidiary of M</w:t>
      </w:r>
      <w:r>
        <w:rPr>
          <w:rFonts w:ascii="Arial" w:cs="Arial" w:eastAsia="Arial" w:hAnsi="Arial"/>
          <w:sz w:val="13"/>
          <w:szCs w:val="13"/>
          <w:color w:val="auto"/>
        </w:rPr>
        <w:t>&amp;</w:t>
      </w:r>
      <w:r>
        <w:rPr>
          <w:rFonts w:ascii="Arial" w:cs="Arial" w:eastAsia="Arial" w:hAnsi="Arial"/>
          <w:sz w:val="14"/>
          <w:szCs w:val="14"/>
          <w:color w:val="auto"/>
        </w:rPr>
        <w:t>T Bank that was incorporated as a New York business corporation in November 1985. M</w:t>
      </w:r>
      <w:r>
        <w:rPr>
          <w:rFonts w:ascii="Arial" w:cs="Arial" w:eastAsia="Arial" w:hAnsi="Arial"/>
          <w:sz w:val="13"/>
          <w:szCs w:val="13"/>
          <w:color w:val="auto"/>
        </w:rPr>
        <w:t>&amp;</w:t>
      </w:r>
      <w:r>
        <w:rPr>
          <w:rFonts w:ascii="Arial" w:cs="Arial" w:eastAsia="Arial" w:hAnsi="Arial"/>
          <w:sz w:val="14"/>
          <w:szCs w:val="14"/>
          <w:color w:val="auto"/>
        </w:rPr>
        <w:t>T Securities is registered as a broker/dealer under the Securities Exchange Act of 1934, as amended, and as an investment advisor under the Investment Advisors Act of 1940, as amended. M</w:t>
      </w:r>
      <w:r>
        <w:rPr>
          <w:rFonts w:ascii="Arial" w:cs="Arial" w:eastAsia="Arial" w:hAnsi="Arial"/>
          <w:sz w:val="13"/>
          <w:szCs w:val="13"/>
          <w:color w:val="auto"/>
        </w:rPr>
        <w:t>&amp;</w:t>
      </w:r>
      <w:r>
        <w:rPr>
          <w:rFonts w:ascii="Arial" w:cs="Arial" w:eastAsia="Arial" w:hAnsi="Arial"/>
          <w:sz w:val="14"/>
          <w:szCs w:val="14"/>
          <w:color w:val="auto"/>
        </w:rPr>
        <w:t>T Securities is licensed as a life insurance agent in each state where M</w:t>
      </w:r>
      <w:r>
        <w:rPr>
          <w:rFonts w:ascii="Arial" w:cs="Arial" w:eastAsia="Arial" w:hAnsi="Arial"/>
          <w:sz w:val="13"/>
          <w:szCs w:val="13"/>
          <w:color w:val="auto"/>
        </w:rPr>
        <w:t>&amp;</w:t>
      </w:r>
      <w:r>
        <w:rPr>
          <w:rFonts w:ascii="Arial" w:cs="Arial" w:eastAsia="Arial" w:hAnsi="Arial"/>
          <w:sz w:val="14"/>
          <w:szCs w:val="14"/>
          <w:color w:val="auto"/>
        </w:rPr>
        <w:t>T Bank operates branch offices and in a number of other states. It provides securities brokerage, investment advisory and insurance services. As of December 31, 2006, M</w:t>
      </w:r>
      <w:r>
        <w:rPr>
          <w:rFonts w:ascii="Arial" w:cs="Arial" w:eastAsia="Arial" w:hAnsi="Arial"/>
          <w:sz w:val="13"/>
          <w:szCs w:val="13"/>
          <w:color w:val="auto"/>
        </w:rPr>
        <w:t>&amp;</w:t>
      </w:r>
      <w:r>
        <w:rPr>
          <w:rFonts w:ascii="Arial" w:cs="Arial" w:eastAsia="Arial" w:hAnsi="Arial"/>
          <w:sz w:val="14"/>
          <w:szCs w:val="14"/>
          <w:color w:val="auto"/>
        </w:rPr>
        <w:t>T</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right="420"/>
        <w:spacing w:after="0" w:line="258" w:lineRule="auto"/>
        <w:rPr>
          <w:sz w:val="20"/>
          <w:szCs w:val="20"/>
          <w:color w:val="auto"/>
        </w:rPr>
      </w:pPr>
      <w:r>
        <w:rPr>
          <w:rFonts w:ascii="Arial" w:cs="Arial" w:eastAsia="Arial" w:hAnsi="Arial"/>
          <w:sz w:val="14"/>
          <w:szCs w:val="14"/>
          <w:color w:val="auto"/>
        </w:rPr>
        <w:t>Securities had assets of $43 million and stockholder’s equity of $28 million. M</w:t>
      </w:r>
      <w:r>
        <w:rPr>
          <w:rFonts w:ascii="Arial" w:cs="Arial" w:eastAsia="Arial" w:hAnsi="Arial"/>
          <w:sz w:val="13"/>
          <w:szCs w:val="13"/>
          <w:color w:val="auto"/>
        </w:rPr>
        <w:t>&amp;</w:t>
      </w:r>
      <w:r>
        <w:rPr>
          <w:rFonts w:ascii="Arial" w:cs="Arial" w:eastAsia="Arial" w:hAnsi="Arial"/>
          <w:sz w:val="14"/>
          <w:szCs w:val="14"/>
          <w:color w:val="auto"/>
        </w:rPr>
        <w:t>T Securities recorded $83 million of revenue during 2006. The headquarters of M</w:t>
      </w:r>
      <w:r>
        <w:rPr>
          <w:rFonts w:ascii="Arial" w:cs="Arial" w:eastAsia="Arial" w:hAnsi="Arial"/>
          <w:sz w:val="13"/>
          <w:szCs w:val="13"/>
          <w:color w:val="auto"/>
        </w:rPr>
        <w:t>&amp;</w:t>
      </w:r>
      <w:r>
        <w:rPr>
          <w:rFonts w:ascii="Arial" w:cs="Arial" w:eastAsia="Arial" w:hAnsi="Arial"/>
          <w:sz w:val="14"/>
          <w:szCs w:val="14"/>
          <w:color w:val="auto"/>
        </w:rPr>
        <w:t>T Securities are located at One M</w:t>
      </w:r>
      <w:r>
        <w:rPr>
          <w:rFonts w:ascii="Arial" w:cs="Arial" w:eastAsia="Arial" w:hAnsi="Arial"/>
          <w:sz w:val="13"/>
          <w:szCs w:val="13"/>
          <w:color w:val="auto"/>
        </w:rPr>
        <w:t>&amp;</w:t>
      </w:r>
      <w:r>
        <w:rPr>
          <w:rFonts w:ascii="Arial" w:cs="Arial" w:eastAsia="Arial" w:hAnsi="Arial"/>
          <w:sz w:val="14"/>
          <w:szCs w:val="14"/>
          <w:color w:val="auto"/>
        </w:rPr>
        <w:t>T Plaza, Buffalo, New York 14203.</w:t>
      </w:r>
    </w:p>
    <w:p>
      <w:pPr>
        <w:ind w:left="680" w:firstLine="599"/>
        <w:spacing w:after="0" w:line="249" w:lineRule="auto"/>
        <w:rPr>
          <w:sz w:val="20"/>
          <w:szCs w:val="20"/>
          <w:color w:val="auto"/>
        </w:rPr>
      </w:pPr>
      <w:r>
        <w:rPr>
          <w:rFonts w:ascii="Arial" w:cs="Arial" w:eastAsia="Arial" w:hAnsi="Arial"/>
          <w:sz w:val="14"/>
          <w:szCs w:val="14"/>
          <w:color w:val="auto"/>
        </w:rPr>
        <w:t>M</w:t>
      </w:r>
      <w:r>
        <w:rPr>
          <w:rFonts w:ascii="Arial" w:cs="Arial" w:eastAsia="Arial" w:hAnsi="Arial"/>
          <w:sz w:val="13"/>
          <w:szCs w:val="13"/>
          <w:color w:val="auto"/>
        </w:rPr>
        <w:t>&amp;</w:t>
      </w:r>
      <w:r>
        <w:rPr>
          <w:rFonts w:ascii="Arial" w:cs="Arial" w:eastAsia="Arial" w:hAnsi="Arial"/>
          <w:sz w:val="14"/>
          <w:szCs w:val="14"/>
          <w:color w:val="auto"/>
        </w:rPr>
        <w:t>T Insurance Agency, Inc. (“M</w:t>
      </w:r>
      <w:r>
        <w:rPr>
          <w:rFonts w:ascii="Arial" w:cs="Arial" w:eastAsia="Arial" w:hAnsi="Arial"/>
          <w:sz w:val="13"/>
          <w:szCs w:val="13"/>
          <w:color w:val="auto"/>
        </w:rPr>
        <w:t>&amp;</w:t>
      </w:r>
      <w:r>
        <w:rPr>
          <w:rFonts w:ascii="Arial" w:cs="Arial" w:eastAsia="Arial" w:hAnsi="Arial"/>
          <w:sz w:val="14"/>
          <w:szCs w:val="14"/>
          <w:color w:val="auto"/>
        </w:rPr>
        <w:t>T Insurance Agency”), a wholly owned insurance agency subsidiary of M</w:t>
      </w:r>
      <w:r>
        <w:rPr>
          <w:rFonts w:ascii="Arial" w:cs="Arial" w:eastAsia="Arial" w:hAnsi="Arial"/>
          <w:sz w:val="13"/>
          <w:szCs w:val="13"/>
          <w:color w:val="auto"/>
        </w:rPr>
        <w:t>&amp;</w:t>
      </w:r>
      <w:r>
        <w:rPr>
          <w:rFonts w:ascii="Arial" w:cs="Arial" w:eastAsia="Arial" w:hAnsi="Arial"/>
          <w:sz w:val="14"/>
          <w:szCs w:val="14"/>
          <w:color w:val="auto"/>
        </w:rPr>
        <w:t>T Bank, was incorporated as a New York corporation in March 1955. M</w:t>
      </w:r>
      <w:r>
        <w:rPr>
          <w:rFonts w:ascii="Arial" w:cs="Arial" w:eastAsia="Arial" w:hAnsi="Arial"/>
          <w:sz w:val="13"/>
          <w:szCs w:val="13"/>
          <w:color w:val="auto"/>
        </w:rPr>
        <w:t>&amp;</w:t>
      </w:r>
      <w:r>
        <w:rPr>
          <w:rFonts w:ascii="Arial" w:cs="Arial" w:eastAsia="Arial" w:hAnsi="Arial"/>
          <w:sz w:val="14"/>
          <w:szCs w:val="14"/>
          <w:color w:val="auto"/>
        </w:rPr>
        <w:t>T Insurance Agency provides insurance agency services principally to the commercial market. As of December 31, 2006, M</w:t>
      </w:r>
      <w:r>
        <w:rPr>
          <w:rFonts w:ascii="Arial" w:cs="Arial" w:eastAsia="Arial" w:hAnsi="Arial"/>
          <w:sz w:val="13"/>
          <w:szCs w:val="13"/>
          <w:color w:val="auto"/>
        </w:rPr>
        <w:t>&amp;</w:t>
      </w:r>
      <w:r>
        <w:rPr>
          <w:rFonts w:ascii="Arial" w:cs="Arial" w:eastAsia="Arial" w:hAnsi="Arial"/>
          <w:sz w:val="14"/>
          <w:szCs w:val="14"/>
          <w:color w:val="auto"/>
        </w:rPr>
        <w:t>T Insurance Agency had assets of $28 million and stockholder’s equity of $22 million. M</w:t>
      </w:r>
      <w:r>
        <w:rPr>
          <w:rFonts w:ascii="Arial" w:cs="Arial" w:eastAsia="Arial" w:hAnsi="Arial"/>
          <w:sz w:val="13"/>
          <w:szCs w:val="13"/>
          <w:color w:val="auto"/>
        </w:rPr>
        <w:t>&amp;</w:t>
      </w:r>
      <w:r>
        <w:rPr>
          <w:rFonts w:ascii="Arial" w:cs="Arial" w:eastAsia="Arial" w:hAnsi="Arial"/>
          <w:sz w:val="14"/>
          <w:szCs w:val="14"/>
          <w:color w:val="auto"/>
        </w:rPr>
        <w:t>T Insurance Agency recorded revenues of $10 million during 2006. The headquarters of M</w:t>
      </w:r>
      <w:r>
        <w:rPr>
          <w:rFonts w:ascii="Arial" w:cs="Arial" w:eastAsia="Arial" w:hAnsi="Arial"/>
          <w:sz w:val="13"/>
          <w:szCs w:val="13"/>
          <w:color w:val="auto"/>
        </w:rPr>
        <w:t>&amp;</w:t>
      </w:r>
      <w:r>
        <w:rPr>
          <w:rFonts w:ascii="Arial" w:cs="Arial" w:eastAsia="Arial" w:hAnsi="Arial"/>
          <w:sz w:val="14"/>
          <w:szCs w:val="14"/>
          <w:color w:val="auto"/>
        </w:rPr>
        <w:t>T Insurance Agency are located at 334 Delaware Avenue, Buffalo, New York 14202. On February 1, 2006, M</w:t>
      </w:r>
      <w:r>
        <w:rPr>
          <w:rFonts w:ascii="Arial" w:cs="Arial" w:eastAsia="Arial" w:hAnsi="Arial"/>
          <w:sz w:val="13"/>
          <w:szCs w:val="13"/>
          <w:color w:val="auto"/>
        </w:rPr>
        <w:t>&amp;</w:t>
      </w:r>
      <w:r>
        <w:rPr>
          <w:rFonts w:ascii="Arial" w:cs="Arial" w:eastAsia="Arial" w:hAnsi="Arial"/>
          <w:sz w:val="14"/>
          <w:szCs w:val="14"/>
          <w:color w:val="auto"/>
        </w:rPr>
        <w:t>T Insurance Agency acquired Hess Egan Hagerty &amp; L’Hommedieu, Inc. (“Hess Egan”), a commercial insurance and surety brokerage agency based in Chevy Chase, Maryland with additional offices in Pennsylvania and New Jersey. As of December 31, 2006, Hess Egan had assets of $26 million, stockholder’s equity of $13 million, and recorded revenues of $8 million during the eleven months ended December 31, 2006. Hess Egan was merged into M</w:t>
      </w:r>
      <w:r>
        <w:rPr>
          <w:rFonts w:ascii="Arial" w:cs="Arial" w:eastAsia="Arial" w:hAnsi="Arial"/>
          <w:sz w:val="13"/>
          <w:szCs w:val="13"/>
          <w:color w:val="auto"/>
        </w:rPr>
        <w:t>&amp;</w:t>
      </w:r>
      <w:r>
        <w:rPr>
          <w:rFonts w:ascii="Arial" w:cs="Arial" w:eastAsia="Arial" w:hAnsi="Arial"/>
          <w:sz w:val="14"/>
          <w:szCs w:val="14"/>
          <w:color w:val="auto"/>
        </w:rPr>
        <w:t>T Insurance Agency effective January 1, 2007.</w:t>
      </w:r>
    </w:p>
    <w:p>
      <w:pPr>
        <w:ind w:left="680" w:right="200" w:firstLine="599"/>
        <w:spacing w:after="0" w:line="268" w:lineRule="auto"/>
        <w:rPr>
          <w:sz w:val="20"/>
          <w:szCs w:val="20"/>
          <w:color w:val="auto"/>
        </w:rPr>
      </w:pPr>
      <w:r>
        <w:rPr>
          <w:rFonts w:ascii="Arial" w:cs="Arial" w:eastAsia="Arial" w:hAnsi="Arial"/>
          <w:sz w:val="13"/>
          <w:szCs w:val="13"/>
          <w:color w:val="auto"/>
        </w:rPr>
        <w:t>M</w:t>
      </w:r>
      <w:r>
        <w:rPr>
          <w:rFonts w:ascii="Arial" w:cs="Arial" w:eastAsia="Arial" w:hAnsi="Arial"/>
          <w:sz w:val="12"/>
          <w:szCs w:val="12"/>
          <w:color w:val="auto"/>
        </w:rPr>
        <w:t>&amp;</w:t>
      </w:r>
      <w:r>
        <w:rPr>
          <w:rFonts w:ascii="Arial" w:cs="Arial" w:eastAsia="Arial" w:hAnsi="Arial"/>
          <w:sz w:val="13"/>
          <w:szCs w:val="13"/>
          <w:color w:val="auto"/>
        </w:rPr>
        <w:t>T Auto Receivables I, LLC (“M</w:t>
      </w:r>
      <w:r>
        <w:rPr>
          <w:rFonts w:ascii="Arial" w:cs="Arial" w:eastAsia="Arial" w:hAnsi="Arial"/>
          <w:sz w:val="12"/>
          <w:szCs w:val="12"/>
          <w:color w:val="auto"/>
        </w:rPr>
        <w:t>&amp;</w:t>
      </w:r>
      <w:r>
        <w:rPr>
          <w:rFonts w:ascii="Arial" w:cs="Arial" w:eastAsia="Arial" w:hAnsi="Arial"/>
          <w:sz w:val="13"/>
          <w:szCs w:val="13"/>
          <w:color w:val="auto"/>
        </w:rPr>
        <w:t>T Auto Receivables”), a wholly owned subsidiary of M</w:t>
      </w:r>
      <w:r>
        <w:rPr>
          <w:rFonts w:ascii="Arial" w:cs="Arial" w:eastAsia="Arial" w:hAnsi="Arial"/>
          <w:sz w:val="12"/>
          <w:szCs w:val="12"/>
          <w:color w:val="auto"/>
        </w:rPr>
        <w:t>&amp;</w:t>
      </w:r>
      <w:r>
        <w:rPr>
          <w:rFonts w:ascii="Arial" w:cs="Arial" w:eastAsia="Arial" w:hAnsi="Arial"/>
          <w:sz w:val="13"/>
          <w:szCs w:val="13"/>
          <w:color w:val="auto"/>
        </w:rPr>
        <w:t>T Bank, was formed as a Delaware limited liability company in May 2002. M</w:t>
      </w:r>
      <w:r>
        <w:rPr>
          <w:rFonts w:ascii="Arial" w:cs="Arial" w:eastAsia="Arial" w:hAnsi="Arial"/>
          <w:sz w:val="12"/>
          <w:szCs w:val="12"/>
          <w:color w:val="auto"/>
        </w:rPr>
        <w:t>&amp;</w:t>
      </w:r>
      <w:r>
        <w:rPr>
          <w:rFonts w:ascii="Arial" w:cs="Arial" w:eastAsia="Arial" w:hAnsi="Arial"/>
          <w:sz w:val="13"/>
          <w:szCs w:val="13"/>
          <w:color w:val="auto"/>
        </w:rPr>
        <w:t>T Auto Receivables is a special purpose entity whose activities are generally restricted to purchasing and owning automobile loans for the purpose of securing a revolving asset-backed structured borrowing. M</w:t>
      </w:r>
      <w:r>
        <w:rPr>
          <w:rFonts w:ascii="Arial" w:cs="Arial" w:eastAsia="Arial" w:hAnsi="Arial"/>
          <w:sz w:val="12"/>
          <w:szCs w:val="12"/>
          <w:color w:val="auto"/>
        </w:rPr>
        <w:t>&amp;</w:t>
      </w:r>
      <w:r>
        <w:rPr>
          <w:rFonts w:ascii="Arial" w:cs="Arial" w:eastAsia="Arial" w:hAnsi="Arial"/>
          <w:sz w:val="13"/>
          <w:szCs w:val="13"/>
          <w:color w:val="auto"/>
        </w:rPr>
        <w:t>T Auto Receivables had assets of $565 million and stockholder’s equity of $64 million as of December 31, 2006, and recorded approximately $32 million of revenue during 2006. M</w:t>
      </w:r>
      <w:r>
        <w:rPr>
          <w:rFonts w:ascii="Arial" w:cs="Arial" w:eastAsia="Arial" w:hAnsi="Arial"/>
          <w:sz w:val="12"/>
          <w:szCs w:val="12"/>
          <w:color w:val="auto"/>
        </w:rPr>
        <w:t>&amp;</w:t>
      </w:r>
      <w:r>
        <w:rPr>
          <w:rFonts w:ascii="Arial" w:cs="Arial" w:eastAsia="Arial" w:hAnsi="Arial"/>
          <w:sz w:val="13"/>
          <w:szCs w:val="13"/>
          <w:color w:val="auto"/>
        </w:rPr>
        <w:t>T Auto Receivables’ registered office is at 1209 Orange Street, Wilmington, Delaware 19801.</w:t>
      </w:r>
    </w:p>
    <w:p>
      <w:pPr>
        <w:spacing w:after="0" w:line="1" w:lineRule="exact"/>
        <w:rPr>
          <w:sz w:val="20"/>
          <w:szCs w:val="20"/>
          <w:color w:val="auto"/>
        </w:rPr>
      </w:pPr>
    </w:p>
    <w:p>
      <w:pPr>
        <w:ind w:left="680" w:right="240" w:firstLine="599"/>
        <w:spacing w:after="0" w:line="249" w:lineRule="auto"/>
        <w:rPr>
          <w:sz w:val="20"/>
          <w:szCs w:val="20"/>
          <w:color w:val="auto"/>
        </w:rPr>
      </w:pPr>
      <w:r>
        <w:rPr>
          <w:rFonts w:ascii="Arial" w:cs="Arial" w:eastAsia="Arial" w:hAnsi="Arial"/>
          <w:sz w:val="14"/>
          <w:szCs w:val="14"/>
          <w:color w:val="auto"/>
        </w:rPr>
        <w:t>MTB Investment Advisors, Inc. (“MTB Investment Advisors”), a wholly owned subsidiary of M</w:t>
      </w:r>
      <w:r>
        <w:rPr>
          <w:rFonts w:ascii="Arial" w:cs="Arial" w:eastAsia="Arial" w:hAnsi="Arial"/>
          <w:sz w:val="13"/>
          <w:szCs w:val="13"/>
          <w:color w:val="auto"/>
        </w:rPr>
        <w:t>&amp;</w:t>
      </w:r>
      <w:r>
        <w:rPr>
          <w:rFonts w:ascii="Arial" w:cs="Arial" w:eastAsia="Arial" w:hAnsi="Arial"/>
          <w:sz w:val="14"/>
          <w:szCs w:val="14"/>
          <w:color w:val="auto"/>
        </w:rPr>
        <w:t>T Bank, was incorporated as a Maryland corporation on June 30, 1995. MTB Investment Advisors serves as investment advisor to the MTB Group of Funds, a family of proprietary mutual funds, and institutional clients. As of December 31, 2006, MTB Investment Advisors had assets of $33 million and stockholder’s equity of $29 million. MTB Investment Advisors recorded revenues of $43 million in 2006. The headquarters of MTB Investment Advisors are located at 100 East Pratt Street, Baltimore, Maryland 21202.</w:t>
      </w:r>
    </w:p>
    <w:p>
      <w:pPr>
        <w:ind w:left="680" w:right="700" w:firstLine="599"/>
        <w:spacing w:after="0" w:line="301" w:lineRule="auto"/>
        <w:rPr>
          <w:sz w:val="20"/>
          <w:szCs w:val="20"/>
          <w:color w:val="auto"/>
        </w:rPr>
      </w:pPr>
      <w:r>
        <w:rPr>
          <w:rFonts w:ascii="Arial" w:cs="Arial" w:eastAsia="Arial" w:hAnsi="Arial"/>
          <w:sz w:val="13"/>
          <w:szCs w:val="13"/>
          <w:color w:val="auto"/>
        </w:rPr>
        <w:t>The Registrant and its banking subsidiaries have a number of other special-purpose or inactive subsidiaries. These other subsidiaries did not represent, individually and collectively, a significant portion of the Company’s consolidated assets, net income and stockholders’ equity at December 31, 2006.</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Segment Information, Principal Products/Services and Foreign Operations</w:t>
      </w:r>
    </w:p>
    <w:p>
      <w:pPr>
        <w:spacing w:after="0" w:line="22" w:lineRule="exact"/>
        <w:rPr>
          <w:sz w:val="20"/>
          <w:szCs w:val="20"/>
          <w:color w:val="auto"/>
        </w:rPr>
      </w:pPr>
    </w:p>
    <w:p>
      <w:pPr>
        <w:ind w:left="680" w:right="60"/>
        <w:spacing w:after="0" w:line="249" w:lineRule="auto"/>
        <w:rPr>
          <w:sz w:val="20"/>
          <w:szCs w:val="20"/>
          <w:color w:val="auto"/>
        </w:rPr>
      </w:pPr>
      <w:r>
        <w:rPr>
          <w:rFonts w:ascii="Arial" w:cs="Arial" w:eastAsia="Arial" w:hAnsi="Arial"/>
          <w:sz w:val="14"/>
          <w:szCs w:val="14"/>
          <w:color w:val="auto"/>
        </w:rPr>
        <w:t>Information about the Registrant’s business segments is included in note 21 of Notes to Financial Statements filed herewith in Part II, Item 8, “Financial Statements and Supplementary Data” and is further discussed in Part II, Item 7, “Management’s Discussion and Analysis of Financial Condition and Results of Operations.” The Registrant’s reportable segments have been determined based upon its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Commercial Banking, Commercial Real Estate, Discretionary Portfolio, Residential Mortgage Banking and Retail Banking. The Company’s international activities are discussed in note 16 of Notes to Financial Statements filed herewith in Part II, Item 8, “Financial Statements and Supplementary Data.”</w:t>
      </w:r>
    </w:p>
    <w:p>
      <w:pPr>
        <w:jc w:val="both"/>
        <w:ind w:left="680" w:right="400" w:firstLine="599"/>
        <w:spacing w:after="0" w:line="256" w:lineRule="auto"/>
        <w:rPr>
          <w:sz w:val="20"/>
          <w:szCs w:val="20"/>
          <w:color w:val="auto"/>
        </w:rPr>
      </w:pPr>
      <w:r>
        <w:rPr>
          <w:rFonts w:ascii="Arial" w:cs="Arial" w:eastAsia="Arial" w:hAnsi="Arial"/>
          <w:sz w:val="14"/>
          <w:szCs w:val="14"/>
          <w:color w:val="auto"/>
        </w:rPr>
        <w:t>The only activities that, as a class, contributed 10% or more of the sum of consolidated interest income and other income in any of the last three years were lending transactions and service charges on deposit accounts. The amount of income from such sources during those years is set forth on the Company’s Consolidated Statement of Income filed herewith in Part II, Item 8, “Financial Statements and Supplementary Data.”</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Supervision and Regulation of the Company</w:t>
      </w:r>
    </w:p>
    <w:p>
      <w:pPr>
        <w:spacing w:after="0" w:line="22" w:lineRule="exact"/>
        <w:rPr>
          <w:sz w:val="20"/>
          <w:szCs w:val="20"/>
          <w:color w:val="auto"/>
        </w:rPr>
      </w:pPr>
    </w:p>
    <w:p>
      <w:pPr>
        <w:ind w:left="680" w:right="140"/>
        <w:spacing w:after="0" w:line="263" w:lineRule="auto"/>
        <w:rPr>
          <w:sz w:val="20"/>
          <w:szCs w:val="20"/>
          <w:color w:val="auto"/>
        </w:rPr>
      </w:pPr>
      <w:r>
        <w:rPr>
          <w:rFonts w:ascii="Arial" w:cs="Arial" w:eastAsia="Arial" w:hAnsi="Arial"/>
          <w:sz w:val="14"/>
          <w:szCs w:val="14"/>
          <w:color w:val="auto"/>
        </w:rPr>
        <w:t>The banking industry is subject to extensive state and federal regulation and continues to undergo significant change. The following discussion summarizes certain aspects of the banking laws and</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line="257" w:lineRule="auto"/>
        <w:rPr>
          <w:sz w:val="20"/>
          <w:szCs w:val="20"/>
          <w:color w:val="auto"/>
        </w:rPr>
      </w:pPr>
      <w:r>
        <w:rPr>
          <w:rFonts w:ascii="Arial" w:cs="Arial" w:eastAsia="Arial" w:hAnsi="Arial"/>
          <w:sz w:val="14"/>
          <w:szCs w:val="14"/>
          <w:color w:val="auto"/>
        </w:rPr>
        <w:t>regulations that affect the Company. Proposals to change the laws and regulations governing the banking industry are frequently raised in Congress, in state legislatures, and before the various bank regulatory agencies. The likelihood and timing of any changes and the impact such changes might have on the Company are impossible to determine with any certainty. A change in applicable laws or regulations, or a change in the way such laws or regulations are interpreted by regulatory agencies or courts, may have a material impact on the business, operations and earnings of the Company. To the extent that the following information describes statutory or regulatory provisions, it is qualified entirely by reference to the particular statutory or regulatory provision.</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Financial Services Modernization</w:t>
      </w:r>
    </w:p>
    <w:p>
      <w:pPr>
        <w:spacing w:after="0" w:line="22" w:lineRule="exact"/>
        <w:rPr>
          <w:sz w:val="20"/>
          <w:szCs w:val="20"/>
          <w:color w:val="auto"/>
        </w:rPr>
      </w:pPr>
    </w:p>
    <w:p>
      <w:pPr>
        <w:ind w:left="680" w:right="120"/>
        <w:spacing w:after="0" w:line="249" w:lineRule="auto"/>
        <w:rPr>
          <w:sz w:val="20"/>
          <w:szCs w:val="20"/>
          <w:color w:val="auto"/>
        </w:rPr>
      </w:pPr>
      <w:r>
        <w:rPr>
          <w:rFonts w:ascii="Arial" w:cs="Arial" w:eastAsia="Arial" w:hAnsi="Arial"/>
          <w:sz w:val="14"/>
          <w:szCs w:val="14"/>
          <w:color w:val="auto"/>
        </w:rPr>
        <w:t>The Gramm-Leach-Bliley Act of 1999 (“Gramm-Leach”) enables combinations among banks, securities firms and insurance companies. Under Gramm-Leach, bank holding companies are permitted to offer their customers virtually any type of financial service that is financial in nature or incidental thereto, including banking, securities underwriting, insurance (both underwriting and agency), and merchant banking.</w:t>
      </w:r>
    </w:p>
    <w:p>
      <w:pPr>
        <w:ind w:left="680" w:right="60" w:firstLine="599"/>
        <w:spacing w:after="0" w:line="249" w:lineRule="auto"/>
        <w:rPr>
          <w:sz w:val="20"/>
          <w:szCs w:val="20"/>
          <w:color w:val="auto"/>
        </w:rPr>
      </w:pPr>
      <w:r>
        <w:rPr>
          <w:rFonts w:ascii="Arial" w:cs="Arial" w:eastAsia="Arial" w:hAnsi="Arial"/>
          <w:sz w:val="14"/>
          <w:szCs w:val="14"/>
          <w:color w:val="auto"/>
        </w:rPr>
        <w:t>In order to engage in these financial activities, a bank holding company must qualify and register with the Federal Reserve Board as a “financial holding company” by demonstrating that each of its bank subsidiaries is “well capitalized,” “well managed,” and has at least a “satisfactory” rating under the Community Reinvestment Act of 1977 (“CRA”). M</w:t>
      </w:r>
      <w:r>
        <w:rPr>
          <w:rFonts w:ascii="Arial" w:cs="Arial" w:eastAsia="Arial" w:hAnsi="Arial"/>
          <w:sz w:val="13"/>
          <w:szCs w:val="13"/>
          <w:color w:val="auto"/>
        </w:rPr>
        <w:t>&amp;</w:t>
      </w:r>
      <w:r>
        <w:rPr>
          <w:rFonts w:ascii="Arial" w:cs="Arial" w:eastAsia="Arial" w:hAnsi="Arial"/>
          <w:sz w:val="14"/>
          <w:szCs w:val="14"/>
          <w:color w:val="auto"/>
        </w:rPr>
        <w:t>T currently satisfies the qualifications for registering as a financial holding company, but has not elected to do so to date. For as long as AIB owns at least 15% of M</w:t>
      </w:r>
      <w:r>
        <w:rPr>
          <w:rFonts w:ascii="Arial" w:cs="Arial" w:eastAsia="Arial" w:hAnsi="Arial"/>
          <w:sz w:val="13"/>
          <w:szCs w:val="13"/>
          <w:color w:val="auto"/>
        </w:rPr>
        <w:t>&amp;</w:t>
      </w:r>
      <w:r>
        <w:rPr>
          <w:rFonts w:ascii="Arial" w:cs="Arial" w:eastAsia="Arial" w:hAnsi="Arial"/>
          <w:sz w:val="14"/>
          <w:szCs w:val="14"/>
          <w:color w:val="auto"/>
        </w:rPr>
        <w:t>T’s outstanding common stock, M</w:t>
      </w:r>
      <w:r>
        <w:rPr>
          <w:rFonts w:ascii="Arial" w:cs="Arial" w:eastAsia="Arial" w:hAnsi="Arial"/>
          <w:sz w:val="13"/>
          <w:szCs w:val="13"/>
          <w:color w:val="auto"/>
        </w:rPr>
        <w:t>&amp;</w:t>
      </w:r>
      <w:r>
        <w:rPr>
          <w:rFonts w:ascii="Arial" w:cs="Arial" w:eastAsia="Arial" w:hAnsi="Arial"/>
          <w:sz w:val="14"/>
          <w:szCs w:val="14"/>
          <w:color w:val="auto"/>
        </w:rPr>
        <w:t>T may not become a financial holding company without the approval of the Executive Committee of the M</w:t>
      </w:r>
      <w:r>
        <w:rPr>
          <w:rFonts w:ascii="Arial" w:cs="Arial" w:eastAsia="Arial" w:hAnsi="Arial"/>
          <w:sz w:val="13"/>
          <w:szCs w:val="13"/>
          <w:color w:val="auto"/>
        </w:rPr>
        <w:t>&amp;</w:t>
      </w:r>
      <w:r>
        <w:rPr>
          <w:rFonts w:ascii="Arial" w:cs="Arial" w:eastAsia="Arial" w:hAnsi="Arial"/>
          <w:sz w:val="14"/>
          <w:szCs w:val="14"/>
          <w:color w:val="auto"/>
        </w:rPr>
        <w:t>T board of directors, which must also include the affirmative approval of the AIB Designee on such committee, as described above under the caption “Amendments to M</w:t>
      </w:r>
      <w:r>
        <w:rPr>
          <w:rFonts w:ascii="Arial" w:cs="Arial" w:eastAsia="Arial" w:hAnsi="Arial"/>
          <w:sz w:val="13"/>
          <w:szCs w:val="13"/>
          <w:color w:val="auto"/>
        </w:rPr>
        <w:t>&amp;</w:t>
      </w:r>
      <w:r>
        <w:rPr>
          <w:rFonts w:ascii="Arial" w:cs="Arial" w:eastAsia="Arial" w:hAnsi="Arial"/>
          <w:sz w:val="14"/>
          <w:szCs w:val="14"/>
          <w:color w:val="auto"/>
        </w:rPr>
        <w:t>T’s Bylaws.”</w:t>
      </w:r>
    </w:p>
    <w:p>
      <w:pPr>
        <w:ind w:left="680" w:firstLine="599"/>
        <w:spacing w:after="0" w:line="271" w:lineRule="auto"/>
        <w:rPr>
          <w:sz w:val="20"/>
          <w:szCs w:val="20"/>
          <w:color w:val="auto"/>
        </w:rPr>
      </w:pPr>
      <w:r>
        <w:rPr>
          <w:rFonts w:ascii="Arial" w:cs="Arial" w:eastAsia="Arial" w:hAnsi="Arial"/>
          <w:sz w:val="13"/>
          <w:szCs w:val="13"/>
          <w:color w:val="auto"/>
        </w:rPr>
        <w:t>The financial activities authorized by Gramm-Leach may also be engaged in by a “financial subsidiary” of a national or state bank, except for insurance or annuity underwriting, insurance company portfolio investments, real estate investment and development, and merchant banking, which must be conducted in a financial holding company. In order for these financial activities to be engaged in by a financial subsidiary of a national or state bank, Gramm-Leach requires each of the parent bank (and its sister-bank affiliates) to be well capitalized and well managed; the aggregate consolidated assets of all of that bank’s financial subsidiaries may not exceed the lesser of 45% of its consolidated total assets or $50 billion; the bank must have at least a satisfactory CRA rating; and, if that bank is one of the 100 largest national banks, it must meet certain financial rating or other comparable requirements. M</w:t>
      </w:r>
      <w:r>
        <w:rPr>
          <w:rFonts w:ascii="Arial" w:cs="Arial" w:eastAsia="Arial" w:hAnsi="Arial"/>
          <w:sz w:val="12"/>
          <w:szCs w:val="12"/>
          <w:color w:val="auto"/>
        </w:rPr>
        <w:t>&amp;</w:t>
      </w:r>
      <w:r>
        <w:rPr>
          <w:rFonts w:ascii="Arial" w:cs="Arial" w:eastAsia="Arial" w:hAnsi="Arial"/>
          <w:sz w:val="13"/>
          <w:szCs w:val="13"/>
          <w:color w:val="auto"/>
        </w:rPr>
        <w:t>T Bank and M</w:t>
      </w:r>
      <w:r>
        <w:rPr>
          <w:rFonts w:ascii="Arial" w:cs="Arial" w:eastAsia="Arial" w:hAnsi="Arial"/>
          <w:sz w:val="12"/>
          <w:szCs w:val="12"/>
          <w:color w:val="auto"/>
        </w:rPr>
        <w:t>&amp;</w:t>
      </w:r>
      <w:r>
        <w:rPr>
          <w:rFonts w:ascii="Arial" w:cs="Arial" w:eastAsia="Arial" w:hAnsi="Arial"/>
          <w:sz w:val="13"/>
          <w:szCs w:val="13"/>
          <w:color w:val="auto"/>
        </w:rPr>
        <w:t>T Bank, N.A. currently satisfy the qualifications for engaging in financial activities through financial subsidiaries, but neither has elected to do so to date. Gramm-Leach also establishes a system of functional regulation under which the federal banking agencies will regulate the banking activities of financial holding companies and banks’ financial subsidiaries, the U.S. Securities and Exchange Commission will regulate their securities activities, and state insurance regulators will regulate their insurance activities. Rules developed by the federal financial institutions regulators under Gramm-Leach require disclosure of privacy policies to consumers and, in some circumstances, allow consumers to prevent the disclosure of certain personal information to nonaffiliated third parties. The foregoing discussion is qualified in its entirety by reference to the statutory provisions of Gramm-Leach and the implementing regulations which have been adopted by various government agencies pursuant to Gramm-Leach.</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Bank Holding Company Regulation</w:t>
      </w:r>
    </w:p>
    <w:p>
      <w:pPr>
        <w:spacing w:after="0" w:line="22" w:lineRule="exact"/>
        <w:rPr>
          <w:sz w:val="20"/>
          <w:szCs w:val="20"/>
          <w:color w:val="auto"/>
        </w:rPr>
      </w:pPr>
    </w:p>
    <w:p>
      <w:pPr>
        <w:ind w:left="680" w:right="20"/>
        <w:spacing w:after="0" w:line="249" w:lineRule="auto"/>
        <w:rPr>
          <w:sz w:val="20"/>
          <w:szCs w:val="20"/>
          <w:color w:val="auto"/>
        </w:rPr>
      </w:pPr>
      <w:r>
        <w:rPr>
          <w:rFonts w:ascii="Arial" w:cs="Arial" w:eastAsia="Arial" w:hAnsi="Arial"/>
          <w:sz w:val="14"/>
          <w:szCs w:val="14"/>
          <w:color w:val="auto"/>
        </w:rPr>
        <w:t>As a registered bank holding company, the Registrant and its nonbank subsidiaries are subject to supervision and regulation under the BHCA by the Federal Reserve Board and under the Banking Law by the Banking Superintendent. The Federal Reserve Board requires regular reports from the Registrant and is authorized by the BHCA to make regular examinations of the Registrant and its subsidiaries.</w:t>
      </w:r>
    </w:p>
    <w:p>
      <w:pPr>
        <w:ind w:left="680" w:right="140" w:firstLine="599"/>
        <w:spacing w:after="0" w:line="301" w:lineRule="auto"/>
        <w:rPr>
          <w:sz w:val="20"/>
          <w:szCs w:val="20"/>
          <w:color w:val="auto"/>
        </w:rPr>
      </w:pPr>
      <w:r>
        <w:rPr>
          <w:rFonts w:ascii="Arial" w:cs="Arial" w:eastAsia="Arial" w:hAnsi="Arial"/>
          <w:sz w:val="13"/>
          <w:szCs w:val="13"/>
          <w:color w:val="auto"/>
        </w:rPr>
        <w:t>The Registrant may not acquire direct or indirect ownership or control of more than 5% of the voting shares of any company, including a bank, without the prior approval of the Federal Reserve Board, except as specifically authorized under the BHCA. The Registrant is also subject to regulation under the</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right="60"/>
        <w:spacing w:after="0" w:line="255" w:lineRule="auto"/>
        <w:rPr>
          <w:sz w:val="20"/>
          <w:szCs w:val="20"/>
          <w:color w:val="auto"/>
        </w:rPr>
      </w:pPr>
      <w:r>
        <w:rPr>
          <w:rFonts w:ascii="Arial" w:cs="Arial" w:eastAsia="Arial" w:hAnsi="Arial"/>
          <w:sz w:val="14"/>
          <w:szCs w:val="14"/>
          <w:color w:val="auto"/>
        </w:rPr>
        <w:t>Banking Law with respect to certain acquisitions of domestic banks. Under the BHCA, the Registrant, subject to the approval of the Federal Reserve Board, may acquire shares of non-banking corporations the activities of which are deemed by the Federal Reserve Board to be so closely related to banking or managing or controlling banks as to be a proper incident thereto.</w:t>
      </w:r>
    </w:p>
    <w:p>
      <w:pPr>
        <w:jc w:val="both"/>
        <w:ind w:left="680" w:right="160" w:firstLine="599"/>
        <w:spacing w:after="0" w:line="249" w:lineRule="auto"/>
        <w:rPr>
          <w:sz w:val="20"/>
          <w:szCs w:val="20"/>
          <w:color w:val="auto"/>
        </w:rPr>
      </w:pPr>
      <w:r>
        <w:rPr>
          <w:rFonts w:ascii="Arial" w:cs="Arial" w:eastAsia="Arial" w:hAnsi="Arial"/>
          <w:sz w:val="14"/>
          <w:szCs w:val="14"/>
          <w:color w:val="auto"/>
        </w:rPr>
        <w:t>The Federal Reserve Board has enforcement powers over bank holding companies and their non-banking subsidiaries, among other things, to interdict activities that represent unsafe or unsound practices or constitute violations of law, rule, regulation, administrative orders or written agreements with a federal bank regulator. These powers may be exercised through the issuance of cease-and-desist orders, civil money penalties or other actions.</w:t>
      </w:r>
    </w:p>
    <w:p>
      <w:pPr>
        <w:ind w:left="680" w:right="40" w:firstLine="599"/>
        <w:spacing w:after="0" w:line="249" w:lineRule="auto"/>
        <w:rPr>
          <w:sz w:val="20"/>
          <w:szCs w:val="20"/>
          <w:color w:val="auto"/>
        </w:rPr>
      </w:pPr>
      <w:r>
        <w:rPr>
          <w:rFonts w:ascii="Arial" w:cs="Arial" w:eastAsia="Arial" w:hAnsi="Arial"/>
          <w:sz w:val="14"/>
          <w:szCs w:val="14"/>
          <w:color w:val="auto"/>
        </w:rPr>
        <w:t>Under the Federal Reserve Board’s statement of policy with respect to bank holding company operations, a bank holding company is required to serve as a source of financial strength to its subsidiary depository institutions and to commit all available resources to support such institutions in circumstances where it might not do so absent such policy. Although this “source of strength” policy has been challenged in litigation, the Federal Reserve Board continues to take the position that it has authority to enforce it. For a discussion of circumstances under which a bank holding company may be required to guarantee the capital levels or performance of its subsidiary banks, see “Capital Adequacy,” below. Consistent with this “source of strength” policy, the Federal Reserve Board takes the position that a bank holding company generally should not maintain a rate of cash dividends unless its net income available to common shareholders has been sufficient to fully fund the dividends and the prospective rate of earnings retention appears to be consistent with the company’s capital needs, asset quality and overall financial condition. The Federal Reserve also has the authority to terminate any activity of a bank holding company that constitutes a serious risk to the financial soundness or stability of any subsidiary depository institution or to terminate its control of any bank or nonbank subsidiaries.</w:t>
      </w:r>
    </w:p>
    <w:p>
      <w:pPr>
        <w:spacing w:after="0" w:line="1" w:lineRule="exact"/>
        <w:rPr>
          <w:sz w:val="20"/>
          <w:szCs w:val="20"/>
          <w:color w:val="auto"/>
        </w:rPr>
      </w:pPr>
    </w:p>
    <w:p>
      <w:pPr>
        <w:ind w:left="680" w:right="80" w:firstLine="599"/>
        <w:spacing w:after="0" w:line="249" w:lineRule="auto"/>
        <w:rPr>
          <w:sz w:val="20"/>
          <w:szCs w:val="20"/>
          <w:color w:val="auto"/>
        </w:rPr>
      </w:pPr>
      <w:r>
        <w:rPr>
          <w:rFonts w:ascii="Arial" w:cs="Arial" w:eastAsia="Arial" w:hAnsi="Arial"/>
          <w:sz w:val="14"/>
          <w:szCs w:val="14"/>
          <w:color w:val="auto"/>
        </w:rPr>
        <w:t>The Riegle-Neal Interstate Banking and Branching Efficiency Act of 1994, as amended (the “Interstate Banking Act”) generally permits bank holding companies to acquire banks in any state, and preempts all state laws restricting the ownership by a bank holding company of banks in more than one state. The Interstate Banking Act also permits a bank to merge with an out-of-state bank and convert any offices into branches of the resulting bank if both states have not opted out of interstate branching; permits a bank to acquire branches from an out-of-state bank if the law of the state where the branches are located permits the interstate branch acquisition; and permits banks to establish and operate de novo interstate branches whenever the host state opts-in to de novo branching. Bank holding companies and banks seeking to engage in transactions authorized by the Interstate Banking Act must be adequately capitalized and managed.</w:t>
      </w:r>
    </w:p>
    <w:p>
      <w:pPr>
        <w:ind w:left="680" w:right="40" w:firstLine="599"/>
        <w:spacing w:after="0" w:line="249" w:lineRule="auto"/>
        <w:rPr>
          <w:sz w:val="20"/>
          <w:szCs w:val="20"/>
          <w:color w:val="auto"/>
        </w:rPr>
      </w:pPr>
      <w:r>
        <w:rPr>
          <w:rFonts w:ascii="Arial" w:cs="Arial" w:eastAsia="Arial" w:hAnsi="Arial"/>
          <w:sz w:val="14"/>
          <w:szCs w:val="14"/>
          <w:color w:val="auto"/>
        </w:rPr>
        <w:t>The Banking Law authorizes interstate branching by merger or acquisition on a reciprocal basis, and permits the acquisition of a single branch without restriction, but does not provide for de novo interstate branching.</w:t>
      </w:r>
    </w:p>
    <w:p>
      <w:pPr>
        <w:ind w:left="680" w:firstLine="599"/>
        <w:spacing w:after="0" w:line="250" w:lineRule="auto"/>
        <w:rPr>
          <w:sz w:val="20"/>
          <w:szCs w:val="20"/>
          <w:color w:val="auto"/>
        </w:rPr>
      </w:pPr>
      <w:r>
        <w:rPr>
          <w:rFonts w:ascii="Arial" w:cs="Arial" w:eastAsia="Arial" w:hAnsi="Arial"/>
          <w:sz w:val="14"/>
          <w:szCs w:val="14"/>
          <w:color w:val="auto"/>
        </w:rPr>
        <w:t>Bank holding companies and their subsidiary banks are also subject to the provisions of the CRA. Under the terms of the CRA, the Federal Reserve Board (or other appropriate bank regulatory agency) is required, in connection with its examination of a bank, to assess such bank’s record in meeting the credit needs of the communities served by that bank, including low- and moderate-income neighborhoods. During these examinations, the Federal Reserve Board (or other appropriate bank regulatory agency) rates such bank’s compliance with the CRA as “Outstanding,” “Satisfactory,” “Needs to Improve” or “Substantial Noncompliance.” The failure of a bank to receive at least a “Satisfactory” rating could inhibit such bank or its bank holding company from undertaking certain activities, including acquisitions of other financial institutions or opening or relocating a branch office, as further discussed below. M</w:t>
      </w:r>
      <w:r>
        <w:rPr>
          <w:rFonts w:ascii="Arial" w:cs="Arial" w:eastAsia="Arial" w:hAnsi="Arial"/>
          <w:sz w:val="13"/>
          <w:szCs w:val="13"/>
          <w:color w:val="auto"/>
        </w:rPr>
        <w:t>&amp;</w:t>
      </w:r>
      <w:r>
        <w:rPr>
          <w:rFonts w:ascii="Arial" w:cs="Arial" w:eastAsia="Arial" w:hAnsi="Arial"/>
          <w:sz w:val="14"/>
          <w:szCs w:val="14"/>
          <w:color w:val="auto"/>
        </w:rPr>
        <w:t>T Bank has a CRA rating of “Outstanding” and M</w:t>
      </w:r>
      <w:r>
        <w:rPr>
          <w:rFonts w:ascii="Arial" w:cs="Arial" w:eastAsia="Arial" w:hAnsi="Arial"/>
          <w:sz w:val="13"/>
          <w:szCs w:val="13"/>
          <w:color w:val="auto"/>
        </w:rPr>
        <w:t>&amp;</w:t>
      </w:r>
      <w:r>
        <w:rPr>
          <w:rFonts w:ascii="Arial" w:cs="Arial" w:eastAsia="Arial" w:hAnsi="Arial"/>
          <w:sz w:val="14"/>
          <w:szCs w:val="14"/>
          <w:color w:val="auto"/>
        </w:rPr>
        <w:t>T Bank, N.A. has a CRA rating of “Satisfactory.” Furthermore, such assessment is also required of any bank that has applied, among other things, to merge or consolidate with or acquire the assets or assume the liabilities of a federally-regulated financial institution, or to open or relocate a branch office. In the case of a bank holding company applying for approval to acquire a bank or bank holding company, the Federal Reserve Board will assess the record of each subsidiary bank of the applicant bank holding company in considering the application. The Banking Law contains provisions similar to the CRA which are applicable to New York-chartered banks. M</w:t>
      </w:r>
      <w:r>
        <w:rPr>
          <w:rFonts w:ascii="Arial" w:cs="Arial" w:eastAsia="Arial" w:hAnsi="Arial"/>
          <w:sz w:val="13"/>
          <w:szCs w:val="13"/>
          <w:color w:val="auto"/>
        </w:rPr>
        <w:t>&amp;</w:t>
      </w:r>
      <w:r>
        <w:rPr>
          <w:rFonts w:ascii="Arial" w:cs="Arial" w:eastAsia="Arial" w:hAnsi="Arial"/>
          <w:sz w:val="14"/>
          <w:szCs w:val="14"/>
          <w:color w:val="auto"/>
        </w:rPr>
        <w:t>T Bank has a CRA rating of “Outstanding” as determined by the New York State Banking Department.</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Supervision and Regulation of Bank Subsidiaries</w:t>
      </w:r>
    </w:p>
    <w:p>
      <w:pPr>
        <w:spacing w:after="0" w:line="22" w:lineRule="exact"/>
        <w:rPr>
          <w:sz w:val="20"/>
          <w:szCs w:val="20"/>
          <w:color w:val="auto"/>
        </w:rPr>
      </w:pPr>
    </w:p>
    <w:p>
      <w:pPr>
        <w:ind w:left="680" w:right="100"/>
        <w:spacing w:after="0" w:line="268" w:lineRule="auto"/>
        <w:rPr>
          <w:sz w:val="20"/>
          <w:szCs w:val="20"/>
          <w:color w:val="auto"/>
        </w:rPr>
      </w:pPr>
      <w:r>
        <w:rPr>
          <w:rFonts w:ascii="Arial" w:cs="Arial" w:eastAsia="Arial" w:hAnsi="Arial"/>
          <w:sz w:val="13"/>
          <w:szCs w:val="13"/>
          <w:color w:val="auto"/>
        </w:rPr>
        <w:t>The Registrant’s bank subsidiaries are subject to supervision and regulation, and are examined regularly, by various bank regulatory agencies: M</w:t>
      </w:r>
      <w:r>
        <w:rPr>
          <w:rFonts w:ascii="Arial" w:cs="Arial" w:eastAsia="Arial" w:hAnsi="Arial"/>
          <w:sz w:val="12"/>
          <w:szCs w:val="12"/>
          <w:color w:val="auto"/>
        </w:rPr>
        <w:t>&amp;</w:t>
      </w:r>
      <w:r>
        <w:rPr>
          <w:rFonts w:ascii="Arial" w:cs="Arial" w:eastAsia="Arial" w:hAnsi="Arial"/>
          <w:sz w:val="13"/>
          <w:szCs w:val="13"/>
          <w:color w:val="auto"/>
        </w:rPr>
        <w:t>T Bank by the Federal Reserve Board and the Banking Superintendent; and M</w:t>
      </w:r>
      <w:r>
        <w:rPr>
          <w:rFonts w:ascii="Arial" w:cs="Arial" w:eastAsia="Arial" w:hAnsi="Arial"/>
          <w:sz w:val="12"/>
          <w:szCs w:val="12"/>
          <w:color w:val="auto"/>
        </w:rPr>
        <w:t>&amp;</w:t>
      </w:r>
      <w:r>
        <w:rPr>
          <w:rFonts w:ascii="Arial" w:cs="Arial" w:eastAsia="Arial" w:hAnsi="Arial"/>
          <w:sz w:val="13"/>
          <w:szCs w:val="13"/>
          <w:color w:val="auto"/>
        </w:rPr>
        <w:t>T Bank, N.A. by the Comptroller of the Currency (“OCC”). The Registrant and its direct non-banking subsidiaries are affiliates, within the meaning of the Federal Reserve Act, of the Registrant’s subsidiary banks and their subsidiaries. As a result, the Registrant’s subsidiary banks and their subsidiaries are subject to restrictions on loans or extensions of credit to, purchases of assets from, investments in, and transactions with the Registrant and its direct non-banking subsidiaries and on certain other transactions with them or involving their securities. Gramm-Leach places similar restrictions on the Registrant’s subsidiary banks making loans or extending credit to, purchasing assets from, investing in, or entering into transactions with, their financial subsidiaries.</w:t>
      </w:r>
    </w:p>
    <w:p>
      <w:pPr>
        <w:spacing w:after="0" w:line="1" w:lineRule="exact"/>
        <w:rPr>
          <w:sz w:val="20"/>
          <w:szCs w:val="20"/>
          <w:color w:val="auto"/>
        </w:rPr>
      </w:pPr>
    </w:p>
    <w:p>
      <w:pPr>
        <w:ind w:left="680" w:right="20" w:firstLine="599"/>
        <w:spacing w:after="0" w:line="273" w:lineRule="auto"/>
        <w:rPr>
          <w:sz w:val="20"/>
          <w:szCs w:val="20"/>
          <w:color w:val="auto"/>
        </w:rPr>
      </w:pPr>
      <w:r>
        <w:rPr>
          <w:rFonts w:ascii="Arial" w:cs="Arial" w:eastAsia="Arial" w:hAnsi="Arial"/>
          <w:sz w:val="13"/>
          <w:szCs w:val="13"/>
          <w:color w:val="auto"/>
        </w:rPr>
        <w:t>Under the “cross-guarantee” provisions of the FDI Act, insured depository institutions under common control are required to reimburse the FDIC for any loss suffered by the DIF of the FDIC as a result of the default of a commonly controlled insured depository institution or for any assistance provided by the FDIC to a commonly controlled insured depository institution in danger of default. Thus, any insured depository institution subsidiary of M</w:t>
      </w:r>
      <w:r>
        <w:rPr>
          <w:rFonts w:ascii="Arial" w:cs="Arial" w:eastAsia="Arial" w:hAnsi="Arial"/>
          <w:sz w:val="12"/>
          <w:szCs w:val="12"/>
          <w:color w:val="auto"/>
        </w:rPr>
        <w:t>&amp;</w:t>
      </w:r>
      <w:r>
        <w:rPr>
          <w:rFonts w:ascii="Arial" w:cs="Arial" w:eastAsia="Arial" w:hAnsi="Arial"/>
          <w:sz w:val="13"/>
          <w:szCs w:val="13"/>
          <w:color w:val="auto"/>
        </w:rPr>
        <w:t>T could incur liability to the FDIC in the event of a default of another insured depository institution owned or controlled by M</w:t>
      </w:r>
      <w:r>
        <w:rPr>
          <w:rFonts w:ascii="Arial" w:cs="Arial" w:eastAsia="Arial" w:hAnsi="Arial"/>
          <w:sz w:val="12"/>
          <w:szCs w:val="12"/>
          <w:color w:val="auto"/>
        </w:rPr>
        <w:t>&amp;</w:t>
      </w:r>
      <w:r>
        <w:rPr>
          <w:rFonts w:ascii="Arial" w:cs="Arial" w:eastAsia="Arial" w:hAnsi="Arial"/>
          <w:sz w:val="13"/>
          <w:szCs w:val="13"/>
          <w:color w:val="auto"/>
        </w:rPr>
        <w:t>T. The FDIC’s claim under the cross-guarantee provisions is superior to claims of stockholders of the insured depository institution or its holding company and to most claims arising out of obligations or liabilities owed to affiliates of the institution, but is subordinate to claims of depositors, secured creditors and holders of subordinated debt (other than affiliates) of the commonly controlled insured depository institution. The FDIC may decline to enforce the cross-guarantee provisions if it determines that a waiver is in the best interest of the DIF.</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Dividends from Bank Subsidiaries</w:t>
      </w:r>
    </w:p>
    <w:p>
      <w:pPr>
        <w:spacing w:after="0" w:line="22" w:lineRule="exact"/>
        <w:rPr>
          <w:sz w:val="20"/>
          <w:szCs w:val="20"/>
          <w:color w:val="auto"/>
        </w:rPr>
      </w:pPr>
    </w:p>
    <w:p>
      <w:pPr>
        <w:ind w:left="680"/>
        <w:spacing w:after="0" w:line="249" w:lineRule="auto"/>
        <w:rPr>
          <w:sz w:val="20"/>
          <w:szCs w:val="20"/>
          <w:color w:val="auto"/>
        </w:rPr>
      </w:pPr>
      <w:r>
        <w:rPr>
          <w:rFonts w:ascii="Arial" w:cs="Arial" w:eastAsia="Arial" w:hAnsi="Arial"/>
          <w:sz w:val="14"/>
          <w:szCs w:val="14"/>
          <w:color w:val="auto"/>
        </w:rPr>
        <w:t>The Registrant is a legal entity separate and distinct from its banking and other subsidiaries. The majority of the Registrant’s revenue is from dividends paid to the Registrant by its subsidiary banks. M</w:t>
      </w:r>
      <w:r>
        <w:rPr>
          <w:rFonts w:ascii="Arial" w:cs="Arial" w:eastAsia="Arial" w:hAnsi="Arial"/>
          <w:sz w:val="13"/>
          <w:szCs w:val="13"/>
          <w:color w:val="auto"/>
        </w:rPr>
        <w:t>&amp;</w:t>
      </w:r>
      <w:r>
        <w:rPr>
          <w:rFonts w:ascii="Arial" w:cs="Arial" w:eastAsia="Arial" w:hAnsi="Arial"/>
          <w:sz w:val="14"/>
          <w:szCs w:val="14"/>
          <w:color w:val="auto"/>
        </w:rPr>
        <w:t>T Bank and M</w:t>
      </w:r>
      <w:r>
        <w:rPr>
          <w:rFonts w:ascii="Arial" w:cs="Arial" w:eastAsia="Arial" w:hAnsi="Arial"/>
          <w:sz w:val="13"/>
          <w:szCs w:val="13"/>
          <w:color w:val="auto"/>
        </w:rPr>
        <w:t>&amp;</w:t>
      </w:r>
      <w:r>
        <w:rPr>
          <w:rFonts w:ascii="Arial" w:cs="Arial" w:eastAsia="Arial" w:hAnsi="Arial"/>
          <w:sz w:val="14"/>
          <w:szCs w:val="14"/>
          <w:color w:val="auto"/>
        </w:rPr>
        <w:t>T Bank, N.A. are subject, under one or more of the banking laws, to restrictions on the amount and frequency (no more often than quarterly) of dividend declarations. Future dividend payments to the Registrant by its subsidiary banks will be dependent on a number of factors, including the earnings and financial condition of each such bank, and are subject to the limitations referred to in note 22 of Notes to Financial Statements filed herewith in Part II, Item 8, “Financial Statements and Supplementary Data,” and to other statutory powers of bank regulatory agencies.</w:t>
      </w:r>
    </w:p>
    <w:p>
      <w:pPr>
        <w:ind w:left="680" w:right="80" w:firstLine="599"/>
        <w:spacing w:after="0" w:line="256" w:lineRule="auto"/>
        <w:rPr>
          <w:sz w:val="20"/>
          <w:szCs w:val="20"/>
          <w:color w:val="auto"/>
        </w:rPr>
      </w:pPr>
      <w:r>
        <w:rPr>
          <w:rFonts w:ascii="Arial" w:cs="Arial" w:eastAsia="Arial" w:hAnsi="Arial"/>
          <w:sz w:val="14"/>
          <w:szCs w:val="14"/>
          <w:color w:val="auto"/>
        </w:rPr>
        <w:t>An insured depository institution is prohibited from making any capital distribution to its owner, including any dividend, if, after making such distribution, the depository institution fails to meet the required minimum level for any relevant capital measure, including the risk-based capital adequacy and leverage standards discussed herein.</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Supervision and Regulation of M</w:t>
      </w:r>
      <w:r>
        <w:rPr>
          <w:rFonts w:ascii="Arial" w:cs="Arial" w:eastAsia="Arial" w:hAnsi="Arial"/>
          <w:sz w:val="13"/>
          <w:szCs w:val="13"/>
          <w:b w:val="1"/>
          <w:bCs w:val="1"/>
          <w:color w:val="auto"/>
        </w:rPr>
        <w:t>&amp;</w:t>
      </w:r>
      <w:r>
        <w:rPr>
          <w:rFonts w:ascii="Arial" w:cs="Arial" w:eastAsia="Arial" w:hAnsi="Arial"/>
          <w:sz w:val="14"/>
          <w:szCs w:val="14"/>
          <w:b w:val="1"/>
          <w:bCs w:val="1"/>
          <w:color w:val="auto"/>
        </w:rPr>
        <w:t>T Bank’s Subsidiaries</w:t>
      </w:r>
    </w:p>
    <w:p>
      <w:pPr>
        <w:spacing w:after="0" w:line="22" w:lineRule="exact"/>
        <w:rPr>
          <w:sz w:val="20"/>
          <w:szCs w:val="20"/>
          <w:color w:val="auto"/>
        </w:rPr>
      </w:pPr>
    </w:p>
    <w:p>
      <w:pPr>
        <w:jc w:val="both"/>
        <w:ind w:left="680" w:right="320"/>
        <w:spacing w:after="0" w:line="256" w:lineRule="auto"/>
        <w:rPr>
          <w:sz w:val="20"/>
          <w:szCs w:val="20"/>
          <w:color w:val="auto"/>
        </w:rPr>
      </w:pPr>
      <w:r>
        <w:rPr>
          <w:rFonts w:ascii="Arial" w:cs="Arial" w:eastAsia="Arial" w:hAnsi="Arial"/>
          <w:sz w:val="14"/>
          <w:szCs w:val="14"/>
          <w:color w:val="auto"/>
        </w:rPr>
        <w:t>M</w:t>
      </w:r>
      <w:r>
        <w:rPr>
          <w:rFonts w:ascii="Arial" w:cs="Arial" w:eastAsia="Arial" w:hAnsi="Arial"/>
          <w:sz w:val="13"/>
          <w:szCs w:val="13"/>
          <w:color w:val="auto"/>
        </w:rPr>
        <w:t>&amp;</w:t>
      </w:r>
      <w:r>
        <w:rPr>
          <w:rFonts w:ascii="Arial" w:cs="Arial" w:eastAsia="Arial" w:hAnsi="Arial"/>
          <w:sz w:val="14"/>
          <w:szCs w:val="14"/>
          <w:color w:val="auto"/>
        </w:rPr>
        <w:t>T Bank has a number of subsidiaries. These subsidiaries are subject to the laws and regulations of both the federal government and the various states in which they conduct business. For example, M</w:t>
      </w:r>
      <w:r>
        <w:rPr>
          <w:rFonts w:ascii="Arial" w:cs="Arial" w:eastAsia="Arial" w:hAnsi="Arial"/>
          <w:sz w:val="13"/>
          <w:szCs w:val="13"/>
          <w:color w:val="auto"/>
        </w:rPr>
        <w:t>&amp;</w:t>
      </w:r>
      <w:r>
        <w:rPr>
          <w:rFonts w:ascii="Arial" w:cs="Arial" w:eastAsia="Arial" w:hAnsi="Arial"/>
          <w:sz w:val="14"/>
          <w:szCs w:val="14"/>
          <w:color w:val="auto"/>
        </w:rPr>
        <w:t>T Securities is regulated by the Securities and Exchange Commission, the National Association of Securities Dealers, Inc. and state securities regulators.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Capital Adequacy</w:t>
      </w:r>
    </w:p>
    <w:p>
      <w:pPr>
        <w:spacing w:after="0" w:line="22" w:lineRule="exact"/>
        <w:rPr>
          <w:sz w:val="20"/>
          <w:szCs w:val="20"/>
          <w:color w:val="auto"/>
        </w:rPr>
      </w:pPr>
    </w:p>
    <w:p>
      <w:pPr>
        <w:jc w:val="both"/>
        <w:ind w:left="680" w:right="200"/>
        <w:spacing w:after="0" w:line="249" w:lineRule="auto"/>
        <w:rPr>
          <w:sz w:val="20"/>
          <w:szCs w:val="20"/>
          <w:color w:val="auto"/>
        </w:rPr>
      </w:pPr>
      <w:r>
        <w:rPr>
          <w:rFonts w:ascii="Arial" w:cs="Arial" w:eastAsia="Arial" w:hAnsi="Arial"/>
          <w:sz w:val="14"/>
          <w:szCs w:val="14"/>
          <w:color w:val="auto"/>
        </w:rPr>
        <w:t>The Federal Reserve Board, the FDIC and the OCC have adopted risk-based capital adequacy guidelines for bank holding companies and banks under their supervision. Under these guidelines, the so-called “Tier 1 capital” and “Total capital” as a percentage of risk-weighted assets and certain off-balance sheet instruments must be at least 4% and 8%, respectively.</w:t>
      </w:r>
    </w:p>
    <w:p>
      <w:pPr>
        <w:jc w:val="both"/>
        <w:ind w:left="680" w:right="140" w:firstLine="599"/>
        <w:spacing w:after="0" w:line="256" w:lineRule="auto"/>
        <w:rPr>
          <w:sz w:val="20"/>
          <w:szCs w:val="20"/>
          <w:color w:val="auto"/>
        </w:rPr>
      </w:pPr>
      <w:r>
        <w:rPr>
          <w:rFonts w:ascii="Arial" w:cs="Arial" w:eastAsia="Arial" w:hAnsi="Arial"/>
          <w:sz w:val="14"/>
          <w:szCs w:val="14"/>
          <w:color w:val="auto"/>
        </w:rPr>
        <w:t>The Federal Reserve Board, the FDIC and the OCC have also imposed a leverage standard to supplement their risk-based ratios. This leverage standard focuses on a banking institution’s ratio of Tier 1 capital to average total assets, adjusted for goodwill and certain other items. Under these guidelines, banking institutions that meet certain criteria, including excellent asset quality, high liquidity, low interest</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right="80"/>
        <w:spacing w:after="0" w:line="252" w:lineRule="auto"/>
        <w:rPr>
          <w:sz w:val="20"/>
          <w:szCs w:val="20"/>
          <w:color w:val="auto"/>
        </w:rPr>
      </w:pPr>
      <w:r>
        <w:rPr>
          <w:rFonts w:ascii="Arial" w:cs="Arial" w:eastAsia="Arial" w:hAnsi="Arial"/>
          <w:sz w:val="14"/>
          <w:szCs w:val="14"/>
          <w:color w:val="auto"/>
        </w:rPr>
        <w:t>rate exposure and good earnings, and that have received the highest regulatory rating must maintain a ratio of Tier 1 capital to total adjusted average assets of at least 3%. Institutions not meeting these criteria, as well as institutions with supervisory, financial or operational weaknesses, along with those experiencing or anticipating significant growth are expected to maintain a Tier 1 capital to total adjusted average assets ratio equal to at least 4% to 5%. As reflected in the table in note 22 of Notes to Financial Statements filed herewith in Part II, Item 8, “Financial Statements and Supplementary Data,” the risk-based capital ratios and leverage ratios of the Registrant, M</w:t>
      </w:r>
      <w:r>
        <w:rPr>
          <w:rFonts w:ascii="Arial" w:cs="Arial" w:eastAsia="Arial" w:hAnsi="Arial"/>
          <w:sz w:val="13"/>
          <w:szCs w:val="13"/>
          <w:color w:val="auto"/>
        </w:rPr>
        <w:t>&amp;</w:t>
      </w:r>
      <w:r>
        <w:rPr>
          <w:rFonts w:ascii="Arial" w:cs="Arial" w:eastAsia="Arial" w:hAnsi="Arial"/>
          <w:sz w:val="14"/>
          <w:szCs w:val="14"/>
          <w:color w:val="auto"/>
        </w:rPr>
        <w:t>T Bank and M</w:t>
      </w:r>
      <w:r>
        <w:rPr>
          <w:rFonts w:ascii="Arial" w:cs="Arial" w:eastAsia="Arial" w:hAnsi="Arial"/>
          <w:sz w:val="13"/>
          <w:szCs w:val="13"/>
          <w:color w:val="auto"/>
        </w:rPr>
        <w:t>&amp;</w:t>
      </w:r>
      <w:r>
        <w:rPr>
          <w:rFonts w:ascii="Arial" w:cs="Arial" w:eastAsia="Arial" w:hAnsi="Arial"/>
          <w:sz w:val="14"/>
          <w:szCs w:val="14"/>
          <w:color w:val="auto"/>
        </w:rPr>
        <w:t>T Bank, N.A. as of December 31, 2006 exceeded the required capital ratios for classification as “well capitalized,” the highest classification under the regulatory capital guidelines.</w:t>
      </w:r>
    </w:p>
    <w:p>
      <w:pPr>
        <w:ind w:left="680" w:firstLine="599"/>
        <w:spacing w:after="0" w:line="268" w:lineRule="auto"/>
        <w:rPr>
          <w:sz w:val="20"/>
          <w:szCs w:val="20"/>
          <w:color w:val="auto"/>
        </w:rPr>
      </w:pPr>
      <w:r>
        <w:rPr>
          <w:rFonts w:ascii="Arial" w:cs="Arial" w:eastAsia="Arial" w:hAnsi="Arial"/>
          <w:sz w:val="13"/>
          <w:szCs w:val="13"/>
          <w:color w:val="auto"/>
        </w:rPr>
        <w:t>The federal banking agencies, including the Federal Reserve Board and the OCC, maintain risk-based capital standards in order to ensure that those standards take adequate account of interest rate risk, concentration of credit risk, the risk of nontraditional activities and equity investments in nonfinancial companies, as well as reflect the actual performance and expected risk of loss on certain multifamily housing loans. Bank regulators periodically propose amendments to the risk-based capital guidelines and related regulatory framework, and consider changes to the risk-based capital standards that could significantly increase the amount of capital needed to meet the requirements for the capital tiers described below. While the Company’s management studies such proposals, the timing of adoption, ultimate form and effect of any such proposed amendments on M</w:t>
      </w:r>
      <w:r>
        <w:rPr>
          <w:rFonts w:ascii="Arial" w:cs="Arial" w:eastAsia="Arial" w:hAnsi="Arial"/>
          <w:sz w:val="12"/>
          <w:szCs w:val="12"/>
          <w:color w:val="auto"/>
        </w:rPr>
        <w:t>&amp;</w:t>
      </w:r>
      <w:r>
        <w:rPr>
          <w:rFonts w:ascii="Arial" w:cs="Arial" w:eastAsia="Arial" w:hAnsi="Arial"/>
          <w:sz w:val="13"/>
          <w:szCs w:val="13"/>
          <w:color w:val="auto"/>
        </w:rPr>
        <w:t>T’s capital requirements and operations cannot be predicted.</w:t>
      </w:r>
    </w:p>
    <w:p>
      <w:pPr>
        <w:spacing w:after="0" w:line="1" w:lineRule="exact"/>
        <w:rPr>
          <w:sz w:val="20"/>
          <w:szCs w:val="20"/>
          <w:color w:val="auto"/>
        </w:rPr>
      </w:pPr>
    </w:p>
    <w:p>
      <w:pPr>
        <w:ind w:left="680" w:right="240" w:firstLine="599"/>
        <w:spacing w:after="0" w:line="249" w:lineRule="auto"/>
        <w:rPr>
          <w:sz w:val="20"/>
          <w:szCs w:val="20"/>
          <w:color w:val="auto"/>
        </w:rPr>
      </w:pPr>
      <w:r>
        <w:rPr>
          <w:rFonts w:ascii="Arial" w:cs="Arial" w:eastAsia="Arial" w:hAnsi="Arial"/>
          <w:sz w:val="14"/>
          <w:szCs w:val="14"/>
          <w:color w:val="auto"/>
        </w:rPr>
        <w:t>The federal banking agencies are required to take “prompt corrective action” in respect of depository institutions and their bank holding companies that do not meet minimum capital requirements. The Federal Deposit Insurance Corporation Improvement Act established five capital tiers: “well capitalized,” “adequately capitalized,” “undercapitalized,” “significantly undercapitalized” and “critically undercapitalized.” A depository institution’s capital tier, or that of its bank holding company, depends upon where its capital levels are in relation to various relevant capital measures, including a risk-based capital measure and a leverage ratio capital measure, and certain other factors.</w:t>
      </w:r>
    </w:p>
    <w:p>
      <w:pPr>
        <w:ind w:left="680" w:right="60" w:firstLine="599"/>
        <w:spacing w:after="0" w:line="268" w:lineRule="auto"/>
        <w:rPr>
          <w:sz w:val="20"/>
          <w:szCs w:val="20"/>
          <w:color w:val="auto"/>
        </w:rPr>
      </w:pPr>
      <w:r>
        <w:rPr>
          <w:rFonts w:ascii="Arial" w:cs="Arial" w:eastAsia="Arial" w:hAnsi="Arial"/>
          <w:sz w:val="13"/>
          <w:szCs w:val="13"/>
          <w:color w:val="auto"/>
        </w:rPr>
        <w:t>Under the implementing regulations adopted by the federal banking agencies, a bank holding company or bank is considered “well capitalized” if it has (i) a total risk-based capital ratio of 10% or greater, (ii) a Tier 1 risk-based capital ratio of 6% or greater, (iii) a leverage ratio of 5% or greater and (iv) is not subject to any order or written directive to meet and maintain a specific capital level for any capital measure. An “adequately capitalized” bank holding company or bank is defined as one that has</w:t>
      </w:r>
    </w:p>
    <w:p>
      <w:pPr>
        <w:ind w:left="680" w:right="20" w:firstLine="7"/>
        <w:spacing w:after="0" w:line="268" w:lineRule="auto"/>
        <w:tabs>
          <w:tab w:leader="none" w:pos="852" w:val="left"/>
        </w:tabs>
        <w:numPr>
          <w:ilvl w:val="0"/>
          <w:numId w:val="7"/>
        </w:numPr>
        <w:rPr>
          <w:rFonts w:ascii="Arial" w:cs="Arial" w:eastAsia="Arial" w:hAnsi="Arial"/>
          <w:sz w:val="13"/>
          <w:szCs w:val="13"/>
          <w:color w:val="auto"/>
        </w:rPr>
      </w:pPr>
      <w:r>
        <w:rPr>
          <w:rFonts w:ascii="Arial" w:cs="Arial" w:eastAsia="Arial" w:hAnsi="Arial"/>
          <w:sz w:val="13"/>
          <w:szCs w:val="13"/>
          <w:color w:val="auto"/>
        </w:rPr>
        <w:t>a total risk-based capital ratio of 8% or greater, (ii) a Tier 1 risk-based capital ratio of 4% or greater and (iii) a leverage ratio of 4% or greater (or 3% or greater in the case of a bank with a composite CAMELS rating of 1). A bank holding company or bank is considered (A) “undercapitalized” if it has (i) a total risk-based capital ratio of less than 8%, (ii) a Tier 1 risk-based capital ratio of less than 4% or (iii) a leverage ratio of less than 4% (or 3% in the case of a bank with a composite CAMELS rating of 1);</w:t>
      </w:r>
    </w:p>
    <w:p>
      <w:pPr>
        <w:ind w:left="680" w:right="20"/>
        <w:spacing w:after="0" w:line="249" w:lineRule="auto"/>
        <w:rPr>
          <w:rFonts w:ascii="Arial" w:cs="Arial" w:eastAsia="Arial" w:hAnsi="Arial"/>
          <w:sz w:val="13"/>
          <w:szCs w:val="13"/>
          <w:color w:val="auto"/>
        </w:rPr>
      </w:pPr>
      <w:r>
        <w:rPr>
          <w:rFonts w:ascii="Arial" w:cs="Arial" w:eastAsia="Arial" w:hAnsi="Arial"/>
          <w:sz w:val="14"/>
          <w:szCs w:val="14"/>
          <w:color w:val="auto"/>
        </w:rPr>
        <w:t>(B) “significantly undercapitalized” if the bank has (i) a total risk-based capital ratio of less than 6%, or (ii) a Tier 1 risk-based capital ratio of less than 3% or (iii) a leverage ratio of less than 3% and (C) “critically undercapitalized” if the bank has a ratio of tangible equity to total assets equal to or less than 2%. The Federal Reserve Board may reclassify a “well capitalized” bank holding company or bank as “adequately capitalized” or subject an “adequately capitalized” or “undercapitalized” institution to the supervisory actions applicable to the next lower capital category if it determines that the bank holding company or bank is in an unsafe or unsound condition or deems the bank holding company or bank to be engaged in an unsafe or unsound practice and not to have corrected the deficiency. M</w:t>
      </w:r>
      <w:r>
        <w:rPr>
          <w:rFonts w:ascii="Arial" w:cs="Arial" w:eastAsia="Arial" w:hAnsi="Arial"/>
          <w:sz w:val="13"/>
          <w:szCs w:val="13"/>
          <w:color w:val="auto"/>
        </w:rPr>
        <w:t>&amp;</w:t>
      </w:r>
      <w:r>
        <w:rPr>
          <w:rFonts w:ascii="Arial" w:cs="Arial" w:eastAsia="Arial" w:hAnsi="Arial"/>
          <w:sz w:val="14"/>
          <w:szCs w:val="14"/>
          <w:color w:val="auto"/>
        </w:rPr>
        <w:t>T, M</w:t>
      </w:r>
      <w:r>
        <w:rPr>
          <w:rFonts w:ascii="Arial" w:cs="Arial" w:eastAsia="Arial" w:hAnsi="Arial"/>
          <w:sz w:val="13"/>
          <w:szCs w:val="13"/>
          <w:color w:val="auto"/>
        </w:rPr>
        <w:t>&amp;</w:t>
      </w:r>
      <w:r>
        <w:rPr>
          <w:rFonts w:ascii="Arial" w:cs="Arial" w:eastAsia="Arial" w:hAnsi="Arial"/>
          <w:sz w:val="14"/>
          <w:szCs w:val="14"/>
          <w:color w:val="auto"/>
        </w:rPr>
        <w:t>T Bank and M</w:t>
      </w:r>
      <w:r>
        <w:rPr>
          <w:rFonts w:ascii="Arial" w:cs="Arial" w:eastAsia="Arial" w:hAnsi="Arial"/>
          <w:sz w:val="13"/>
          <w:szCs w:val="13"/>
          <w:color w:val="auto"/>
        </w:rPr>
        <w:t>&amp;</w:t>
      </w:r>
      <w:r>
        <w:rPr>
          <w:rFonts w:ascii="Arial" w:cs="Arial" w:eastAsia="Arial" w:hAnsi="Arial"/>
          <w:sz w:val="14"/>
          <w:szCs w:val="14"/>
          <w:color w:val="auto"/>
        </w:rPr>
        <w:t>T Bank, N.A. currently meet the definition of “well capitalized” institutions.</w:t>
      </w:r>
    </w:p>
    <w:p>
      <w:pPr>
        <w:ind w:left="680" w:right="180" w:firstLine="599"/>
        <w:spacing w:after="0" w:line="276" w:lineRule="auto"/>
        <w:rPr>
          <w:rFonts w:ascii="Arial" w:cs="Arial" w:eastAsia="Arial" w:hAnsi="Arial"/>
          <w:sz w:val="13"/>
          <w:szCs w:val="13"/>
          <w:color w:val="auto"/>
        </w:rPr>
      </w:pPr>
      <w:r>
        <w:rPr>
          <w:rFonts w:ascii="Arial" w:cs="Arial" w:eastAsia="Arial" w:hAnsi="Arial"/>
          <w:sz w:val="13"/>
          <w:szCs w:val="13"/>
          <w:color w:val="auto"/>
        </w:rPr>
        <w:t>“Undercapitalized” depository institutions, among other things, are subject to growth limitations, are prohibited, with certain exceptions, from making capital distributions, are limited in their ability to obtain funding from a Federal Reserve Bank and are required to submit a capital restoration plan. The federal banking agencies may not accept a capital plan without determining, among other things, that the plan is based on realistic assumptions and is likely to succeed in restoring the depository institution’s capital. In addition, for a capital restoration plan to be acceptable, the depository institution’s parent holding company must guarantee that the institution will comply with such capital restoration plan and provide appropriate assurances of performance. If a depository institution fails to submit an acceptable</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right="20"/>
        <w:spacing w:after="0" w:line="251" w:lineRule="auto"/>
        <w:rPr>
          <w:sz w:val="20"/>
          <w:szCs w:val="20"/>
          <w:color w:val="auto"/>
        </w:rPr>
      </w:pPr>
      <w:r>
        <w:rPr>
          <w:rFonts w:ascii="Arial" w:cs="Arial" w:eastAsia="Arial" w:hAnsi="Arial"/>
          <w:sz w:val="14"/>
          <w:szCs w:val="14"/>
          <w:color w:val="auto"/>
        </w:rPr>
        <w:t>plan, including if the holding company refuses or is unable to make the guarantee described in the previous sentence, it is treated as if it is “significantly undercapitalized.” Failure to submit or implement an acceptable capital plan also is grounds for the appointment of a conservator or a receiver. “Significantly undercapitalized” depository institutions may be subject to a number of additional requirements and restrictions, including orders to sell sufficient voting stock to become “adequately capitalized,” requirements to reduce total assets and cessation of receipt of deposits from correspondent banks. Moreover, the parent holding company of a “significantly undercapitalized” depository institution may be ordered to divest itself of the institution or of nonbank subsidiaries of the holding company. “Critically undercapitalized” institutions, among other things, are prohibited from making any payments of principal and interest on subordinated debt, and are subject to the appointment of a receiver or conservator.</w:t>
      </w:r>
    </w:p>
    <w:p>
      <w:pPr>
        <w:spacing w:after="0" w:line="3" w:lineRule="exact"/>
        <w:rPr>
          <w:sz w:val="20"/>
          <w:szCs w:val="20"/>
          <w:color w:val="auto"/>
        </w:rPr>
      </w:pPr>
    </w:p>
    <w:p>
      <w:pPr>
        <w:ind w:left="680" w:right="120" w:firstLine="599"/>
        <w:spacing w:after="0" w:line="249" w:lineRule="auto"/>
        <w:rPr>
          <w:sz w:val="20"/>
          <w:szCs w:val="20"/>
          <w:color w:val="auto"/>
        </w:rPr>
      </w:pPr>
      <w:r>
        <w:rPr>
          <w:rFonts w:ascii="Arial" w:cs="Arial" w:eastAsia="Arial" w:hAnsi="Arial"/>
          <w:sz w:val="14"/>
          <w:szCs w:val="14"/>
          <w:color w:val="auto"/>
        </w:rPr>
        <w:t>Each federal banking agency prescribes standards for depository institutions and depository institution holding companies relating to internal controls, information systems, internal audit systems, loan documentation, credit underwriting, interest rate exposure, asset growth, compensation, a maximum ratio of classified assets to capital, minimum earnings sufficient to absorb losses, a minimum ratio of market value to book value for publicly traded shares and other standards as they deem appropriate. The Federal Reserve Board and OCC have adopted such standards.</w:t>
      </w:r>
    </w:p>
    <w:p>
      <w:pPr>
        <w:jc w:val="both"/>
        <w:ind w:left="680" w:right="60" w:firstLine="599"/>
        <w:spacing w:after="0" w:line="249" w:lineRule="auto"/>
        <w:rPr>
          <w:sz w:val="20"/>
          <w:szCs w:val="20"/>
          <w:color w:val="auto"/>
        </w:rPr>
      </w:pPr>
      <w:r>
        <w:rPr>
          <w:rFonts w:ascii="Arial" w:cs="Arial" w:eastAsia="Arial" w:hAnsi="Arial"/>
          <w:sz w:val="14"/>
          <w:szCs w:val="14"/>
          <w:color w:val="auto"/>
        </w:rPr>
        <w:t>Depository institutions that are not “well capitalized” or “adequately capitalized” and have not received a waiver from the FDIC are prohibited from accepting or renewing brokered deposits. As of December 31, 2006, M</w:t>
      </w:r>
      <w:r>
        <w:rPr>
          <w:rFonts w:ascii="Arial" w:cs="Arial" w:eastAsia="Arial" w:hAnsi="Arial"/>
          <w:sz w:val="13"/>
          <w:szCs w:val="13"/>
          <w:color w:val="auto"/>
        </w:rPr>
        <w:t>&amp;</w:t>
      </w:r>
      <w:r>
        <w:rPr>
          <w:rFonts w:ascii="Arial" w:cs="Arial" w:eastAsia="Arial" w:hAnsi="Arial"/>
          <w:sz w:val="14"/>
          <w:szCs w:val="14"/>
          <w:color w:val="auto"/>
        </w:rPr>
        <w:t>T Bank had approximately $2.8 billion of brokered deposits, while M</w:t>
      </w:r>
      <w:r>
        <w:rPr>
          <w:rFonts w:ascii="Arial" w:cs="Arial" w:eastAsia="Arial" w:hAnsi="Arial"/>
          <w:sz w:val="13"/>
          <w:szCs w:val="13"/>
          <w:color w:val="auto"/>
        </w:rPr>
        <w:t>&amp;</w:t>
      </w:r>
      <w:r>
        <w:rPr>
          <w:rFonts w:ascii="Arial" w:cs="Arial" w:eastAsia="Arial" w:hAnsi="Arial"/>
          <w:sz w:val="14"/>
          <w:szCs w:val="14"/>
          <w:color w:val="auto"/>
        </w:rPr>
        <w:t>T Bank, N.A. did not have any brokered deposits at that date.</w:t>
      </w:r>
    </w:p>
    <w:p>
      <w:pPr>
        <w:ind w:left="680" w:right="60" w:firstLine="599"/>
        <w:spacing w:after="0" w:line="251" w:lineRule="auto"/>
        <w:rPr>
          <w:sz w:val="20"/>
          <w:szCs w:val="20"/>
          <w:color w:val="auto"/>
        </w:rPr>
      </w:pPr>
      <w:r>
        <w:rPr>
          <w:rFonts w:ascii="Arial" w:cs="Arial" w:eastAsia="Arial" w:hAnsi="Arial"/>
          <w:sz w:val="14"/>
          <w:szCs w:val="14"/>
          <w:color w:val="auto"/>
        </w:rPr>
        <w:t>Although M</w:t>
      </w:r>
      <w:r>
        <w:rPr>
          <w:rFonts w:ascii="Arial" w:cs="Arial" w:eastAsia="Arial" w:hAnsi="Arial"/>
          <w:sz w:val="13"/>
          <w:szCs w:val="13"/>
          <w:color w:val="auto"/>
        </w:rPr>
        <w:t>&amp;</w:t>
      </w:r>
      <w:r>
        <w:rPr>
          <w:rFonts w:ascii="Arial" w:cs="Arial" w:eastAsia="Arial" w:hAnsi="Arial"/>
          <w:sz w:val="14"/>
          <w:szCs w:val="14"/>
          <w:color w:val="auto"/>
        </w:rPr>
        <w:t>T has issued shares of common stock in connection with acquisitions or at other times, the Company has generally maintained capital ratios in excess of minimum regulatory guidelines largely through internal capital generation (i.e. net income less dividends paid). Historically, M</w:t>
      </w:r>
      <w:r>
        <w:rPr>
          <w:rFonts w:ascii="Arial" w:cs="Arial" w:eastAsia="Arial" w:hAnsi="Arial"/>
          <w:sz w:val="13"/>
          <w:szCs w:val="13"/>
          <w:color w:val="auto"/>
        </w:rPr>
        <w:t>&amp;</w:t>
      </w:r>
      <w:r>
        <w:rPr>
          <w:rFonts w:ascii="Arial" w:cs="Arial" w:eastAsia="Arial" w:hAnsi="Arial"/>
          <w:sz w:val="14"/>
          <w:szCs w:val="14"/>
          <w:color w:val="auto"/>
        </w:rPr>
        <w:t>T’s dividend payout ratio and dividend yield, when compared with other bank holding companies, has been relatively low, thereby allowing for capital retention to support growth or to facilitate purchases of M</w:t>
      </w:r>
      <w:r>
        <w:rPr>
          <w:rFonts w:ascii="Arial" w:cs="Arial" w:eastAsia="Arial" w:hAnsi="Arial"/>
          <w:sz w:val="13"/>
          <w:szCs w:val="13"/>
          <w:color w:val="auto"/>
        </w:rPr>
        <w:t>&amp;</w:t>
      </w:r>
      <w:r>
        <w:rPr>
          <w:rFonts w:ascii="Arial" w:cs="Arial" w:eastAsia="Arial" w:hAnsi="Arial"/>
          <w:sz w:val="14"/>
          <w:szCs w:val="14"/>
          <w:color w:val="auto"/>
        </w:rPr>
        <w:t>T’s common stock to be held as treasury stock. Management’s policy of reinvestment of earnings and repurchase of shares of common stock is intended to enhance M</w:t>
      </w:r>
      <w:r>
        <w:rPr>
          <w:rFonts w:ascii="Arial" w:cs="Arial" w:eastAsia="Arial" w:hAnsi="Arial"/>
          <w:sz w:val="13"/>
          <w:szCs w:val="13"/>
          <w:color w:val="auto"/>
        </w:rPr>
        <w:t>&amp;</w:t>
      </w:r>
      <w:r>
        <w:rPr>
          <w:rFonts w:ascii="Arial" w:cs="Arial" w:eastAsia="Arial" w:hAnsi="Arial"/>
          <w:sz w:val="14"/>
          <w:szCs w:val="14"/>
          <w:color w:val="auto"/>
        </w:rPr>
        <w:t>T’s earnings per share prospects and thereby reward stockholders over time with capital gains in the form of increased stock price rather than high dividend income.</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FDIC Deposit Insurance Assessments</w:t>
      </w:r>
    </w:p>
    <w:p>
      <w:pPr>
        <w:spacing w:after="0" w:line="22" w:lineRule="exact"/>
        <w:rPr>
          <w:sz w:val="20"/>
          <w:szCs w:val="20"/>
          <w:color w:val="auto"/>
        </w:rPr>
      </w:pPr>
    </w:p>
    <w:p>
      <w:pPr>
        <w:ind w:left="680" w:right="140"/>
        <w:spacing w:after="0" w:line="249" w:lineRule="auto"/>
        <w:rPr>
          <w:sz w:val="20"/>
          <w:szCs w:val="20"/>
          <w:color w:val="auto"/>
        </w:rPr>
      </w:pPr>
      <w:r>
        <w:rPr>
          <w:rFonts w:ascii="Arial" w:cs="Arial" w:eastAsia="Arial" w:hAnsi="Arial"/>
          <w:sz w:val="14"/>
          <w:szCs w:val="14"/>
          <w:color w:val="auto"/>
        </w:rPr>
        <w:t>In February 2006, The Federal Deposit Insurance Reform Act of 2005 and The Federal Deposit Insurance Reform Conforming Amendments Act of 2005 (collectively the “Reform Act”) were signed into law. The Reform Act provided for the merging of the Bank Insurance Fund and Savings Association Insurance Fund into the new DIF, effective March 31, 2006.</w:t>
      </w:r>
    </w:p>
    <w:p>
      <w:pPr>
        <w:jc w:val="both"/>
        <w:ind w:left="680" w:firstLine="599"/>
        <w:spacing w:after="0" w:line="249" w:lineRule="auto"/>
        <w:rPr>
          <w:sz w:val="20"/>
          <w:szCs w:val="20"/>
          <w:color w:val="auto"/>
        </w:rPr>
      </w:pPr>
      <w:r>
        <w:rPr>
          <w:rFonts w:ascii="Arial" w:cs="Arial" w:eastAsia="Arial" w:hAnsi="Arial"/>
          <w:sz w:val="14"/>
          <w:szCs w:val="14"/>
          <w:color w:val="auto"/>
        </w:rPr>
        <w:t>As institutions with deposits insured by the DIF, M</w:t>
      </w:r>
      <w:r>
        <w:rPr>
          <w:rFonts w:ascii="Arial" w:cs="Arial" w:eastAsia="Arial" w:hAnsi="Arial"/>
          <w:sz w:val="13"/>
          <w:szCs w:val="13"/>
          <w:color w:val="auto"/>
        </w:rPr>
        <w:t>&amp;</w:t>
      </w:r>
      <w:r>
        <w:rPr>
          <w:rFonts w:ascii="Arial" w:cs="Arial" w:eastAsia="Arial" w:hAnsi="Arial"/>
          <w:sz w:val="14"/>
          <w:szCs w:val="14"/>
          <w:color w:val="auto"/>
        </w:rPr>
        <w:t>T Bank and M</w:t>
      </w:r>
      <w:r>
        <w:rPr>
          <w:rFonts w:ascii="Arial" w:cs="Arial" w:eastAsia="Arial" w:hAnsi="Arial"/>
          <w:sz w:val="13"/>
          <w:szCs w:val="13"/>
          <w:color w:val="auto"/>
        </w:rPr>
        <w:t>&amp;</w:t>
      </w:r>
      <w:r>
        <w:rPr>
          <w:rFonts w:ascii="Arial" w:cs="Arial" w:eastAsia="Arial" w:hAnsi="Arial"/>
          <w:sz w:val="14"/>
          <w:szCs w:val="14"/>
          <w:color w:val="auto"/>
        </w:rPr>
        <w:t>T Bank, N.A. are subject to FDIC deposit insurance assessments. Under the provisions of the Reform Act, the regular insurance assessments to be paid by insured institutions are specified in schedules issued by the FDIC that specify a target reserve ratio designed to maintain the reserve ratio of between 1.15% and 1.50% of estimated insured deposits.</w:t>
      </w:r>
    </w:p>
    <w:p>
      <w:pPr>
        <w:ind w:left="680" w:right="40" w:firstLine="599"/>
        <w:spacing w:after="0" w:line="249" w:lineRule="auto"/>
        <w:rPr>
          <w:sz w:val="20"/>
          <w:szCs w:val="20"/>
          <w:color w:val="auto"/>
        </w:rPr>
      </w:pPr>
      <w:r>
        <w:rPr>
          <w:rFonts w:ascii="Arial" w:cs="Arial" w:eastAsia="Arial" w:hAnsi="Arial"/>
          <w:sz w:val="14"/>
          <w:szCs w:val="14"/>
          <w:color w:val="auto"/>
        </w:rPr>
        <w:t>Under the Reform Act, the FDIC has modified its risk-based deposit premium assessment system under which each depository institution is placed in one of four assessment categories based on the institution’s capital classification under the prompt corrective action provisions described above, and an institution’s long-term debt issuer ratings. Effective January 1, 2007, the adjusted assessment rates for insured institutions under the modified system range from .05% to .43% depending upon the assessment category into which the insured institution is placed. Under the previous assessment system, the adjusted assessment rates ranged from .00% to .27%. Neither of the Company’s bank subsidiaries paid regular insurance assessments to the FDIC in 2006.</w:t>
      </w:r>
    </w:p>
    <w:p>
      <w:pPr>
        <w:ind w:left="680" w:right="160" w:firstLine="599"/>
        <w:spacing w:after="0" w:line="256" w:lineRule="auto"/>
        <w:rPr>
          <w:sz w:val="20"/>
          <w:szCs w:val="20"/>
          <w:color w:val="auto"/>
        </w:rPr>
      </w:pPr>
      <w:r>
        <w:rPr>
          <w:rFonts w:ascii="Arial" w:cs="Arial" w:eastAsia="Arial" w:hAnsi="Arial"/>
          <w:sz w:val="14"/>
          <w:szCs w:val="14"/>
          <w:color w:val="auto"/>
        </w:rPr>
        <w:t>The Reform Act provides for a one-time assessment credit for eligible insured depository institutions (those institutions that were in existence on December 31, 1996 and paid a deposit insurance assessment prior to that date, or are a successor to any such institution). The credit is determined based on the assessment base of the institution as of December 31, 1996 as compared with the combined</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60"/>
        <w:spacing w:after="0" w:line="258" w:lineRule="auto"/>
        <w:rPr>
          <w:sz w:val="20"/>
          <w:szCs w:val="20"/>
          <w:color w:val="auto"/>
        </w:rPr>
      </w:pPr>
      <w:r>
        <w:rPr>
          <w:rFonts w:ascii="Arial" w:cs="Arial" w:eastAsia="Arial" w:hAnsi="Arial"/>
          <w:sz w:val="13"/>
          <w:szCs w:val="13"/>
          <w:color w:val="auto"/>
        </w:rPr>
        <w:t>aggregate assessment base of all eligible institutions as of that date. The credit may be used to offset up to 100% of the 2007 DIF assessment, and if not completely used in 2007, may be applied to not more than 90% of each of the aggregate 2008, 2009 and 2010 DIF assessments.</w:t>
      </w:r>
    </w:p>
    <w:p>
      <w:pPr>
        <w:spacing w:after="0" w:line="1" w:lineRule="exact"/>
        <w:rPr>
          <w:sz w:val="20"/>
          <w:szCs w:val="20"/>
          <w:color w:val="auto"/>
        </w:rPr>
      </w:pPr>
    </w:p>
    <w:p>
      <w:pPr>
        <w:ind w:left="680" w:right="120" w:firstLine="599"/>
        <w:spacing w:after="0" w:line="268" w:lineRule="auto"/>
        <w:rPr>
          <w:sz w:val="20"/>
          <w:szCs w:val="20"/>
          <w:color w:val="auto"/>
        </w:rPr>
      </w:pPr>
      <w:r>
        <w:rPr>
          <w:rFonts w:ascii="Arial" w:cs="Arial" w:eastAsia="Arial" w:hAnsi="Arial"/>
          <w:sz w:val="13"/>
          <w:szCs w:val="13"/>
          <w:color w:val="auto"/>
        </w:rPr>
        <w:t>In addition to insurance fund assessments, beginning in 1997 the FDIC assessed deposits to fund the repayment of debt obligations of the Financing Corporation (“FICO”). FICO is a government agency-sponsored entity that was formed to borrow the money necessary to carry out the closing and ultimate disposition of failed thrift institutions by the Resolution Trust Corporation. The current annualized rate established by the FDIC is 1.22 basis points (hundredths of one percent).</w:t>
      </w:r>
    </w:p>
    <w:p>
      <w:pPr>
        <w:spacing w:after="0" w:line="1" w:lineRule="exact"/>
        <w:rPr>
          <w:sz w:val="20"/>
          <w:szCs w:val="20"/>
          <w:color w:val="auto"/>
        </w:rPr>
      </w:pPr>
    </w:p>
    <w:p>
      <w:pPr>
        <w:jc w:val="both"/>
        <w:ind w:left="680" w:right="180" w:firstLine="599"/>
        <w:spacing w:after="0" w:line="256" w:lineRule="auto"/>
        <w:rPr>
          <w:sz w:val="20"/>
          <w:szCs w:val="20"/>
          <w:color w:val="auto"/>
        </w:rPr>
      </w:pPr>
      <w:r>
        <w:rPr>
          <w:rFonts w:ascii="Arial" w:cs="Arial" w:eastAsia="Arial" w:hAnsi="Arial"/>
          <w:sz w:val="14"/>
          <w:szCs w:val="14"/>
          <w:color w:val="auto"/>
        </w:rPr>
        <w:t>The insurance assessments under the Reform Act are not expected to have a significant adverse impact on the results of operations and capital of M</w:t>
      </w:r>
      <w:r>
        <w:rPr>
          <w:rFonts w:ascii="Arial" w:cs="Arial" w:eastAsia="Arial" w:hAnsi="Arial"/>
          <w:sz w:val="13"/>
          <w:szCs w:val="13"/>
          <w:color w:val="auto"/>
        </w:rPr>
        <w:t>&amp;</w:t>
      </w:r>
      <w:r>
        <w:rPr>
          <w:rFonts w:ascii="Arial" w:cs="Arial" w:eastAsia="Arial" w:hAnsi="Arial"/>
          <w:sz w:val="14"/>
          <w:szCs w:val="14"/>
          <w:color w:val="auto"/>
        </w:rPr>
        <w:t>T Bank or M</w:t>
      </w:r>
      <w:r>
        <w:rPr>
          <w:rFonts w:ascii="Arial" w:cs="Arial" w:eastAsia="Arial" w:hAnsi="Arial"/>
          <w:sz w:val="13"/>
          <w:szCs w:val="13"/>
          <w:color w:val="auto"/>
        </w:rPr>
        <w:t>&amp;</w:t>
      </w:r>
      <w:r>
        <w:rPr>
          <w:rFonts w:ascii="Arial" w:cs="Arial" w:eastAsia="Arial" w:hAnsi="Arial"/>
          <w:sz w:val="14"/>
          <w:szCs w:val="14"/>
          <w:color w:val="auto"/>
        </w:rPr>
        <w:t>T Bank, N.A. in 2007 or 2008. However, any significant increases in assessment rates or additional special assessments by the FDIC could have an adverse impact on the results of operations and capital of M</w:t>
      </w:r>
      <w:r>
        <w:rPr>
          <w:rFonts w:ascii="Arial" w:cs="Arial" w:eastAsia="Arial" w:hAnsi="Arial"/>
          <w:sz w:val="13"/>
          <w:szCs w:val="13"/>
          <w:color w:val="auto"/>
        </w:rPr>
        <w:t>&amp;</w:t>
      </w:r>
      <w:r>
        <w:rPr>
          <w:rFonts w:ascii="Arial" w:cs="Arial" w:eastAsia="Arial" w:hAnsi="Arial"/>
          <w:sz w:val="14"/>
          <w:szCs w:val="14"/>
          <w:color w:val="auto"/>
        </w:rPr>
        <w:t>T Bank or M</w:t>
      </w:r>
      <w:r>
        <w:rPr>
          <w:rFonts w:ascii="Arial" w:cs="Arial" w:eastAsia="Arial" w:hAnsi="Arial"/>
          <w:sz w:val="13"/>
          <w:szCs w:val="13"/>
          <w:color w:val="auto"/>
        </w:rPr>
        <w:t>&amp;</w:t>
      </w:r>
      <w:r>
        <w:rPr>
          <w:rFonts w:ascii="Arial" w:cs="Arial" w:eastAsia="Arial" w:hAnsi="Arial"/>
          <w:sz w:val="14"/>
          <w:szCs w:val="14"/>
          <w:color w:val="auto"/>
        </w:rPr>
        <w:t>T Bank, N.A.</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Consumer Protection Laws</w:t>
      </w:r>
    </w:p>
    <w:p>
      <w:pPr>
        <w:spacing w:after="0" w:line="22" w:lineRule="exact"/>
        <w:rPr>
          <w:sz w:val="20"/>
          <w:szCs w:val="20"/>
          <w:color w:val="auto"/>
        </w:rPr>
      </w:pPr>
    </w:p>
    <w:p>
      <w:pPr>
        <w:ind w:left="680" w:right="140"/>
        <w:spacing w:after="0" w:line="249" w:lineRule="auto"/>
        <w:rPr>
          <w:sz w:val="20"/>
          <w:szCs w:val="20"/>
          <w:color w:val="auto"/>
        </w:rPr>
      </w:pPr>
      <w:r>
        <w:rPr>
          <w:rFonts w:ascii="Arial" w:cs="Arial" w:eastAsia="Arial" w:hAnsi="Arial"/>
          <w:sz w:val="14"/>
          <w:szCs w:val="14"/>
          <w:color w:val="auto"/>
        </w:rPr>
        <w:t>In connection with their respective lending and leasing activities, M</w:t>
      </w:r>
      <w:r>
        <w:rPr>
          <w:rFonts w:ascii="Arial" w:cs="Arial" w:eastAsia="Arial" w:hAnsi="Arial"/>
          <w:sz w:val="13"/>
          <w:szCs w:val="13"/>
          <w:color w:val="auto"/>
        </w:rPr>
        <w:t>&amp;</w:t>
      </w:r>
      <w:r>
        <w:rPr>
          <w:rFonts w:ascii="Arial" w:cs="Arial" w:eastAsia="Arial" w:hAnsi="Arial"/>
          <w:sz w:val="14"/>
          <w:szCs w:val="14"/>
          <w:color w:val="auto"/>
        </w:rPr>
        <w:t>T Bank, certain of its subsidiaries, and M</w:t>
      </w:r>
      <w:r>
        <w:rPr>
          <w:rFonts w:ascii="Arial" w:cs="Arial" w:eastAsia="Arial" w:hAnsi="Arial"/>
          <w:sz w:val="13"/>
          <w:szCs w:val="13"/>
          <w:color w:val="auto"/>
        </w:rPr>
        <w:t>&amp;</w:t>
      </w:r>
      <w:r>
        <w:rPr>
          <w:rFonts w:ascii="Arial" w:cs="Arial" w:eastAsia="Arial" w:hAnsi="Arial"/>
          <w:sz w:val="14"/>
          <w:szCs w:val="14"/>
          <w:color w:val="auto"/>
        </w:rPr>
        <w:t>T Bank, N.A. are each subject to a number of federal and state laws designed to protect borrowers and promote lending to various sectors of the economy population. These laws include the Equal Credit Opportunity Act, the Fair Credit Reporting Act, the Fair and Accurate Credit Transactions Act, the Truth in Lending Act, the Home Mortgage Disclosure Act, and the Real Estate Settlement Procedures Act, and various state law counterparts.</w:t>
      </w:r>
    </w:p>
    <w:p>
      <w:pPr>
        <w:ind w:left="680" w:right="40" w:firstLine="599"/>
        <w:spacing w:after="0" w:line="251" w:lineRule="auto"/>
        <w:rPr>
          <w:sz w:val="20"/>
          <w:szCs w:val="20"/>
          <w:color w:val="auto"/>
        </w:rPr>
      </w:pPr>
      <w:r>
        <w:rPr>
          <w:rFonts w:ascii="Arial" w:cs="Arial" w:eastAsia="Arial" w:hAnsi="Arial"/>
          <w:sz w:val="14"/>
          <w:szCs w:val="14"/>
          <w:color w:val="auto"/>
        </w:rPr>
        <w:t>In addition, federal law currently contains extensive customer privacy protection provisions. Under these provisions, a financial institution must provide to its customers, at the inception of the customer relationship and annually thereafter, the institution’s policies and procedures regarding the handling of customers’ nonpublic personal financial information. These provisions also provide that, except for certain limited exceptions, a financial institution may not provide such personal information to unaffiliated third parties unless the institution discloses to the customer that such information may be so provided and the customer is given the opportunity to opt out of such disclosure. Federal law makes it a criminal offense, except in limited circumstances, to obtain or attempt to obtain customer information of a financial nature by fraudulent or deceptive means.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Sarbanes-Oxley Act of 2002</w:t>
      </w:r>
    </w:p>
    <w:p>
      <w:pPr>
        <w:spacing w:after="0" w:line="22" w:lineRule="exact"/>
        <w:rPr>
          <w:sz w:val="20"/>
          <w:szCs w:val="20"/>
          <w:color w:val="auto"/>
        </w:rPr>
      </w:pPr>
    </w:p>
    <w:p>
      <w:pPr>
        <w:ind w:left="680" w:right="100"/>
        <w:spacing w:after="0" w:line="268" w:lineRule="auto"/>
        <w:rPr>
          <w:sz w:val="20"/>
          <w:szCs w:val="20"/>
          <w:color w:val="auto"/>
        </w:rPr>
      </w:pPr>
      <w:r>
        <w:rPr>
          <w:rFonts w:ascii="Arial" w:cs="Arial" w:eastAsia="Arial" w:hAnsi="Arial"/>
          <w:sz w:val="13"/>
          <w:szCs w:val="13"/>
          <w:color w:val="auto"/>
        </w:rPr>
        <w:t>The Sarbanes-Oxley Act of 2002 implemented a broad range of corporate governance, accounting and reporting measures for companies that have securities registered under the Exchange Act, including publicly-held bank holding companies such as M</w:t>
      </w:r>
      <w:r>
        <w:rPr>
          <w:rFonts w:ascii="Arial" w:cs="Arial" w:eastAsia="Arial" w:hAnsi="Arial"/>
          <w:sz w:val="12"/>
          <w:szCs w:val="12"/>
          <w:color w:val="auto"/>
        </w:rPr>
        <w:t>&amp;</w:t>
      </w:r>
      <w:r>
        <w:rPr>
          <w:rFonts w:ascii="Arial" w:cs="Arial" w:eastAsia="Arial" w:hAnsi="Arial"/>
          <w:sz w:val="13"/>
          <w:szCs w:val="13"/>
          <w:color w:val="auto"/>
        </w:rPr>
        <w:t>T. Specifically, the Sarbanes-Oxley Act of 2002 and the various regulations promulgated thereunder, established, among other things: (i) new requirements for audit committees, including independence, expertise, and responsibilities; (ii) additional responsibilities regarding financial statements for the Chief Executive Officer and Chief Financial Officer of the reporting company; (iii) the forfeiture of bonuses or other incentive-based compensation and profits from the sale of the reporting company’s securities by the Chief Executive Officer and Chief Financial Officer in the twelve-month period following the initial publication of any financial statements that later require restatement; (iv) the creation of an independent accounting oversight board;</w:t>
      </w:r>
    </w:p>
    <w:p>
      <w:pPr>
        <w:spacing w:after="0" w:line="1" w:lineRule="exact"/>
        <w:rPr>
          <w:sz w:val="20"/>
          <w:szCs w:val="20"/>
          <w:color w:val="auto"/>
        </w:rPr>
      </w:pPr>
    </w:p>
    <w:p>
      <w:pPr>
        <w:ind w:left="900" w:hanging="213"/>
        <w:spacing w:after="0"/>
        <w:tabs>
          <w:tab w:leader="none" w:pos="900" w:val="left"/>
        </w:tabs>
        <w:numPr>
          <w:ilvl w:val="0"/>
          <w:numId w:val="8"/>
        </w:numPr>
        <w:rPr>
          <w:rFonts w:ascii="Arial" w:cs="Arial" w:eastAsia="Arial" w:hAnsi="Arial"/>
          <w:sz w:val="13"/>
          <w:szCs w:val="13"/>
          <w:color w:val="auto"/>
        </w:rPr>
      </w:pPr>
      <w:r>
        <w:rPr>
          <w:rFonts w:ascii="Arial" w:cs="Arial" w:eastAsia="Arial" w:hAnsi="Arial"/>
          <w:sz w:val="13"/>
          <w:szCs w:val="13"/>
          <w:color w:val="auto"/>
        </w:rPr>
        <w:t>new standards for auditors and regulation of audits, including independence provisions that restrict non-audit services that accountants may provide to their audit clients;</w:t>
      </w:r>
    </w:p>
    <w:p>
      <w:pPr>
        <w:spacing w:after="0" w:line="17" w:lineRule="exact"/>
        <w:rPr>
          <w:rFonts w:ascii="Arial" w:cs="Arial" w:eastAsia="Arial" w:hAnsi="Arial"/>
          <w:sz w:val="13"/>
          <w:szCs w:val="13"/>
          <w:color w:val="auto"/>
        </w:rPr>
      </w:pPr>
    </w:p>
    <w:p>
      <w:pPr>
        <w:ind w:left="680" w:right="60" w:firstLine="7"/>
        <w:spacing w:after="0" w:line="253" w:lineRule="auto"/>
        <w:tabs>
          <w:tab w:leader="none" w:pos="924"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increased disclosure and reporting obligations for the reporting company and their directors and executive officers, including accelerated reporting of stock transactions and a prohibition on trading during pension blackout periods; (vii) a prohibition on personal loans to directors and officers, except certain loans made by insured financial institutions on nonpreferential terms and in compliance with other bank regulatory requirements; and (viii) a range of new and increased civil and criminal penalties for fraud and other violations of the securities laws.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USA Patriot Act</w:t>
      </w:r>
    </w:p>
    <w:p>
      <w:pPr>
        <w:spacing w:after="0" w:line="22" w:lineRule="exact"/>
        <w:rPr>
          <w:sz w:val="20"/>
          <w:szCs w:val="20"/>
          <w:color w:val="auto"/>
        </w:rPr>
      </w:pPr>
    </w:p>
    <w:p>
      <w:pPr>
        <w:ind w:left="680" w:right="480"/>
        <w:spacing w:after="0" w:line="263" w:lineRule="auto"/>
        <w:rPr>
          <w:sz w:val="20"/>
          <w:szCs w:val="20"/>
          <w:color w:val="auto"/>
        </w:rPr>
      </w:pPr>
      <w:r>
        <w:rPr>
          <w:rFonts w:ascii="Arial" w:cs="Arial" w:eastAsia="Arial" w:hAnsi="Arial"/>
          <w:sz w:val="14"/>
          <w:szCs w:val="14"/>
          <w:color w:val="auto"/>
        </w:rPr>
        <w:t>The Uniting and Strengthening America by Providing Appropriate Tools Required to Intercept and Obstruct Terrorism Act of 2001 (the “USA Patriot Act”) imposes additional obligations on U.S. financial institutions, including banks and broker dealer subsidiaries, to implement policies, procedures and</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right="60"/>
        <w:spacing w:after="0" w:line="259" w:lineRule="auto"/>
        <w:rPr>
          <w:sz w:val="20"/>
          <w:szCs w:val="20"/>
          <w:color w:val="auto"/>
        </w:rPr>
      </w:pPr>
      <w:r>
        <w:rPr>
          <w:rFonts w:ascii="Arial" w:cs="Arial" w:eastAsia="Arial" w:hAnsi="Arial"/>
          <w:sz w:val="14"/>
          <w:szCs w:val="14"/>
          <w:color w:val="auto"/>
        </w:rPr>
        <w:t>controls which are reasonably designed to detect and report instances of money laundering and the financing of terrorism. In addition, provisions of the USA Patriot Act require the federal financial institution regulatory agencies to consider the effectiveness of a financial institution’s anti-money laundering activities when reviewing bank mergers and bank holding company acquisitions. The Registrant and its impacted subsidiaries have approved policies and procedures that are believed to be compliant with the USA Patriot Act.</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Regulatory Impact of M</w:t>
      </w:r>
      <w:r>
        <w:rPr>
          <w:rFonts w:ascii="Arial" w:cs="Arial" w:eastAsia="Arial" w:hAnsi="Arial"/>
          <w:sz w:val="13"/>
          <w:szCs w:val="13"/>
          <w:b w:val="1"/>
          <w:bCs w:val="1"/>
          <w:color w:val="auto"/>
        </w:rPr>
        <w:t>&amp;</w:t>
      </w:r>
      <w:r>
        <w:rPr>
          <w:rFonts w:ascii="Arial" w:cs="Arial" w:eastAsia="Arial" w:hAnsi="Arial"/>
          <w:sz w:val="14"/>
          <w:szCs w:val="14"/>
          <w:b w:val="1"/>
          <w:bCs w:val="1"/>
          <w:color w:val="auto"/>
        </w:rPr>
        <w:t>T’s Relationship With AIB</w:t>
      </w:r>
    </w:p>
    <w:p>
      <w:pPr>
        <w:spacing w:after="0" w:line="22" w:lineRule="exact"/>
        <w:rPr>
          <w:sz w:val="20"/>
          <w:szCs w:val="20"/>
          <w:color w:val="auto"/>
        </w:rPr>
      </w:pPr>
    </w:p>
    <w:p>
      <w:pPr>
        <w:ind w:left="680"/>
        <w:spacing w:after="0" w:line="251" w:lineRule="auto"/>
        <w:rPr>
          <w:sz w:val="20"/>
          <w:szCs w:val="20"/>
          <w:color w:val="auto"/>
        </w:rPr>
      </w:pPr>
      <w:r>
        <w:rPr>
          <w:rFonts w:ascii="Arial" w:cs="Arial" w:eastAsia="Arial" w:hAnsi="Arial"/>
          <w:sz w:val="14"/>
          <w:szCs w:val="14"/>
          <w:color w:val="auto"/>
        </w:rPr>
        <w:t>As described above under the caption “Relationship With Allied Irish Banks, p.l.c.,” AIB owns approximately 24.2% of the issued and outstanding shares of M</w:t>
      </w:r>
      <w:r>
        <w:rPr>
          <w:rFonts w:ascii="Arial" w:cs="Arial" w:eastAsia="Arial" w:hAnsi="Arial"/>
          <w:sz w:val="13"/>
          <w:szCs w:val="13"/>
          <w:color w:val="auto"/>
        </w:rPr>
        <w:t>&amp;</w:t>
      </w:r>
      <w:r>
        <w:rPr>
          <w:rFonts w:ascii="Arial" w:cs="Arial" w:eastAsia="Arial" w:hAnsi="Arial"/>
          <w:sz w:val="14"/>
          <w:szCs w:val="14"/>
          <w:color w:val="auto"/>
        </w:rPr>
        <w:t>T common stock and has representation on the M</w:t>
      </w:r>
      <w:r>
        <w:rPr>
          <w:rFonts w:ascii="Arial" w:cs="Arial" w:eastAsia="Arial" w:hAnsi="Arial"/>
          <w:sz w:val="13"/>
          <w:szCs w:val="13"/>
          <w:color w:val="auto"/>
        </w:rPr>
        <w:t>&amp;</w:t>
      </w:r>
      <w:r>
        <w:rPr>
          <w:rFonts w:ascii="Arial" w:cs="Arial" w:eastAsia="Arial" w:hAnsi="Arial"/>
          <w:sz w:val="14"/>
          <w:szCs w:val="14"/>
          <w:color w:val="auto"/>
        </w:rPr>
        <w:t>T and M</w:t>
      </w:r>
      <w:r>
        <w:rPr>
          <w:rFonts w:ascii="Arial" w:cs="Arial" w:eastAsia="Arial" w:hAnsi="Arial"/>
          <w:sz w:val="13"/>
          <w:szCs w:val="13"/>
          <w:color w:val="auto"/>
        </w:rPr>
        <w:t>&amp;</w:t>
      </w:r>
      <w:r>
        <w:rPr>
          <w:rFonts w:ascii="Arial" w:cs="Arial" w:eastAsia="Arial" w:hAnsi="Arial"/>
          <w:sz w:val="14"/>
          <w:szCs w:val="14"/>
          <w:color w:val="auto"/>
        </w:rPr>
        <w:t>T Bank boards of directors. As a result, AIB has become M</w:t>
      </w:r>
      <w:r>
        <w:rPr>
          <w:rFonts w:ascii="Arial" w:cs="Arial" w:eastAsia="Arial" w:hAnsi="Arial"/>
          <w:sz w:val="13"/>
          <w:szCs w:val="13"/>
          <w:color w:val="auto"/>
        </w:rPr>
        <w:t>&amp;</w:t>
      </w:r>
      <w:r>
        <w:rPr>
          <w:rFonts w:ascii="Arial" w:cs="Arial" w:eastAsia="Arial" w:hAnsi="Arial"/>
          <w:sz w:val="14"/>
          <w:szCs w:val="14"/>
          <w:color w:val="auto"/>
        </w:rPr>
        <w:t>T’s bank holding company under the BHCA and the Banking Law and AIB’s relationship with M</w:t>
      </w:r>
      <w:r>
        <w:rPr>
          <w:rFonts w:ascii="Arial" w:cs="Arial" w:eastAsia="Arial" w:hAnsi="Arial"/>
          <w:sz w:val="13"/>
          <w:szCs w:val="13"/>
          <w:color w:val="auto"/>
        </w:rPr>
        <w:t>&amp;</w:t>
      </w:r>
      <w:r>
        <w:rPr>
          <w:rFonts w:ascii="Arial" w:cs="Arial" w:eastAsia="Arial" w:hAnsi="Arial"/>
          <w:sz w:val="14"/>
          <w:szCs w:val="14"/>
          <w:color w:val="auto"/>
        </w:rPr>
        <w:t>T is subject to the statutes and regulations governing bank holding companies described above. Among other things, AIB will have to join M</w:t>
      </w:r>
      <w:r>
        <w:rPr>
          <w:rFonts w:ascii="Arial" w:cs="Arial" w:eastAsia="Arial" w:hAnsi="Arial"/>
          <w:sz w:val="13"/>
          <w:szCs w:val="13"/>
          <w:color w:val="auto"/>
        </w:rPr>
        <w:t>&amp;</w:t>
      </w:r>
      <w:r>
        <w:rPr>
          <w:rFonts w:ascii="Arial" w:cs="Arial" w:eastAsia="Arial" w:hAnsi="Arial"/>
          <w:sz w:val="14"/>
          <w:szCs w:val="14"/>
          <w:color w:val="auto"/>
        </w:rPr>
        <w:t>T in applications by M</w:t>
      </w:r>
      <w:r>
        <w:rPr>
          <w:rFonts w:ascii="Arial" w:cs="Arial" w:eastAsia="Arial" w:hAnsi="Arial"/>
          <w:sz w:val="13"/>
          <w:szCs w:val="13"/>
          <w:color w:val="auto"/>
        </w:rPr>
        <w:t>&amp;</w:t>
      </w:r>
      <w:r>
        <w:rPr>
          <w:rFonts w:ascii="Arial" w:cs="Arial" w:eastAsia="Arial" w:hAnsi="Arial"/>
          <w:sz w:val="14"/>
          <w:szCs w:val="14"/>
          <w:color w:val="auto"/>
        </w:rPr>
        <w:t>T for acquisitions and new activities. The Reorganization Agreement requires AIB to join in such applications at M</w:t>
      </w:r>
      <w:r>
        <w:rPr>
          <w:rFonts w:ascii="Arial" w:cs="Arial" w:eastAsia="Arial" w:hAnsi="Arial"/>
          <w:sz w:val="13"/>
          <w:szCs w:val="13"/>
          <w:color w:val="auto"/>
        </w:rPr>
        <w:t>&amp;</w:t>
      </w:r>
      <w:r>
        <w:rPr>
          <w:rFonts w:ascii="Arial" w:cs="Arial" w:eastAsia="Arial" w:hAnsi="Arial"/>
          <w:sz w:val="14"/>
          <w:szCs w:val="14"/>
          <w:color w:val="auto"/>
        </w:rPr>
        <w:t>T’s request, subject to certain limitations. In addition, because AIB is regulated by the Central Bank of Ireland (the “CBI”), the CBI may assert jurisdiction over M</w:t>
      </w:r>
      <w:r>
        <w:rPr>
          <w:rFonts w:ascii="Arial" w:cs="Arial" w:eastAsia="Arial" w:hAnsi="Arial"/>
          <w:sz w:val="13"/>
          <w:szCs w:val="13"/>
          <w:color w:val="auto"/>
        </w:rPr>
        <w:t>&amp;</w:t>
      </w:r>
      <w:r>
        <w:rPr>
          <w:rFonts w:ascii="Arial" w:cs="Arial" w:eastAsia="Arial" w:hAnsi="Arial"/>
          <w:sz w:val="14"/>
          <w:szCs w:val="14"/>
          <w:color w:val="auto"/>
        </w:rPr>
        <w:t>T as a company controlled by AIB. Additional discussion of the regulatory implications of the Allfirst acquisition for M</w:t>
      </w:r>
      <w:r>
        <w:rPr>
          <w:rFonts w:ascii="Arial" w:cs="Arial" w:eastAsia="Arial" w:hAnsi="Arial"/>
          <w:sz w:val="13"/>
          <w:szCs w:val="13"/>
          <w:color w:val="auto"/>
        </w:rPr>
        <w:t>&amp;</w:t>
      </w:r>
      <w:r>
        <w:rPr>
          <w:rFonts w:ascii="Arial" w:cs="Arial" w:eastAsia="Arial" w:hAnsi="Arial"/>
          <w:sz w:val="14"/>
          <w:szCs w:val="14"/>
          <w:color w:val="auto"/>
        </w:rPr>
        <w:t>T is set forth above under the caption “Certain Post-Closing Bank Regulatory Matters.”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Governmental Policies</w:t>
      </w:r>
    </w:p>
    <w:p>
      <w:pPr>
        <w:spacing w:after="0" w:line="22" w:lineRule="exact"/>
        <w:rPr>
          <w:sz w:val="20"/>
          <w:szCs w:val="20"/>
          <w:color w:val="auto"/>
        </w:rPr>
      </w:pPr>
    </w:p>
    <w:p>
      <w:pPr>
        <w:ind w:left="680" w:right="80"/>
        <w:spacing w:after="0" w:line="273" w:lineRule="auto"/>
        <w:rPr>
          <w:sz w:val="20"/>
          <w:szCs w:val="20"/>
          <w:color w:val="auto"/>
        </w:rPr>
      </w:pPr>
      <w:r>
        <w:rPr>
          <w:rFonts w:ascii="Arial" w:cs="Arial" w:eastAsia="Arial" w:hAnsi="Arial"/>
          <w:sz w:val="13"/>
          <w:szCs w:val="13"/>
          <w:color w:val="auto"/>
        </w:rPr>
        <w:t>The earnings of the Company are significantly affected by the monetary and fiscal policies of governmental authorities, including the Federal Reserve Board. Among the instruments of monetary policy used by the Federal Reserve Board to implement these objectives are open-market operations in U.S. Government securities and federal funds, changes in the discount rate on member bank borrowings and changes in reserve requirements against member bank deposits. These instruments of monetary policy are used in varying combinations to influence the overall level of bank loans, investments and deposits, and the interest rates charged on loans and paid for deposits. The Federal Reserve Board frequently uses these instruments of monetary policy, especially its open-market operations and the discount rate, to influence the level of interest rates and to affect the strength of the economy, the level of inflation or the price of the dollar in foreign exchange markets. The monetary policies of the Federal Reserve Board have had a significant effect on the operating results of banking institutions in the past and are expected to continue to do so in the future. It is not possible to predict the nature of future changes in monetary and fiscal policies, or the effect which they may have on the Company’s business and earnings.</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Competition</w:t>
      </w:r>
    </w:p>
    <w:p>
      <w:pPr>
        <w:spacing w:after="0" w:line="22" w:lineRule="exact"/>
        <w:rPr>
          <w:sz w:val="20"/>
          <w:szCs w:val="20"/>
          <w:color w:val="auto"/>
        </w:rPr>
      </w:pPr>
    </w:p>
    <w:p>
      <w:pPr>
        <w:ind w:left="680"/>
        <w:spacing w:after="0" w:line="274" w:lineRule="auto"/>
        <w:rPr>
          <w:sz w:val="20"/>
          <w:szCs w:val="20"/>
          <w:color w:val="auto"/>
        </w:rPr>
      </w:pPr>
      <w:r>
        <w:rPr>
          <w:rFonts w:ascii="Arial" w:cs="Arial" w:eastAsia="Arial" w:hAnsi="Arial"/>
          <w:sz w:val="13"/>
          <w:szCs w:val="13"/>
          <w:color w:val="auto"/>
        </w:rPr>
        <w:t>The Company competes in offering commercial and personal financial services with other banking institutions and with firms in a number of other industries, such as thrift institutions, credit unions, personal loan companies, sales finance companies, leasing companies, securities firms and insurance companies. Furthermore, diversified financial services companies are able to offer a combination of these services to their customers on a nationwide basis. The Company’s operations are significantly impacted by state and federal regulations applicable to the banking industry. Moreover, the provisions of Gramm-Leach have allowed for increased competition among diversified financial services providers, and the Interstate Banking Act and the Banking Law may be considered to have eased entry into New York State by out-of-state banking institutions. As a result, the number of financial services providers and banking institutions with which the Company competes may grow in the future.</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Other Legislative Initiatives</w:t>
      </w:r>
    </w:p>
    <w:p>
      <w:pPr>
        <w:spacing w:after="0" w:line="22" w:lineRule="exact"/>
        <w:rPr>
          <w:sz w:val="20"/>
          <w:szCs w:val="20"/>
          <w:color w:val="auto"/>
        </w:rPr>
      </w:pPr>
    </w:p>
    <w:p>
      <w:pPr>
        <w:ind w:left="680" w:right="40"/>
        <w:spacing w:after="0" w:line="253" w:lineRule="auto"/>
        <w:rPr>
          <w:sz w:val="20"/>
          <w:szCs w:val="20"/>
          <w:color w:val="auto"/>
        </w:rPr>
      </w:pPr>
      <w:r>
        <w:rPr>
          <w:rFonts w:ascii="Arial" w:cs="Arial" w:eastAsia="Arial" w:hAnsi="Arial"/>
          <w:sz w:val="14"/>
          <w:szCs w:val="14"/>
          <w:color w:val="auto"/>
        </w:rPr>
        <w:t>Proposals may be introduced in the United States Congress and in the New York State Legislature and before various bank regulatory authorities which would alter the powers of, and restrictions on, different types of banking organizations and which would restructure part or all of the existing regulatory framework for banks, bank holding companies and other providers of financial services. Moreover, other bills may be introduced in Congress which would further regulate, deregulate or restructure the financial</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right="480"/>
        <w:spacing w:after="0" w:line="280" w:lineRule="auto"/>
        <w:rPr>
          <w:sz w:val="20"/>
          <w:szCs w:val="20"/>
          <w:color w:val="auto"/>
        </w:rPr>
      </w:pPr>
      <w:r>
        <w:rPr>
          <w:rFonts w:ascii="Arial" w:cs="Arial" w:eastAsia="Arial" w:hAnsi="Arial"/>
          <w:sz w:val="14"/>
          <w:szCs w:val="14"/>
          <w:color w:val="auto"/>
        </w:rPr>
        <w:t>services industry. It is not possible to predict whether these or any other proposals will be enacted into law or, even if enacted, the effect which they may have on the Company’s business and earnings.</w:t>
      </w:r>
    </w:p>
    <w:p>
      <w:pPr>
        <w:spacing w:after="0" w:line="12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Other Information</w:t>
      </w:r>
    </w:p>
    <w:p>
      <w:pPr>
        <w:spacing w:after="0" w:line="22"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Through a link on the Investor Relations section of M</w:t>
      </w:r>
      <w:r>
        <w:rPr>
          <w:rFonts w:ascii="Arial" w:cs="Arial" w:eastAsia="Arial" w:hAnsi="Arial"/>
          <w:sz w:val="12"/>
          <w:szCs w:val="12"/>
          <w:color w:val="auto"/>
        </w:rPr>
        <w:t>&amp;</w:t>
      </w:r>
      <w:r>
        <w:rPr>
          <w:rFonts w:ascii="Arial" w:cs="Arial" w:eastAsia="Arial" w:hAnsi="Arial"/>
          <w:sz w:val="13"/>
          <w:szCs w:val="13"/>
          <w:color w:val="auto"/>
        </w:rPr>
        <w:t>T’s website at www.mandtbank.com, copies of M</w:t>
      </w:r>
      <w:r>
        <w:rPr>
          <w:rFonts w:ascii="Arial" w:cs="Arial" w:eastAsia="Arial" w:hAnsi="Arial"/>
          <w:sz w:val="12"/>
          <w:szCs w:val="12"/>
          <w:color w:val="auto"/>
        </w:rPr>
        <w:t>&amp;</w:t>
      </w:r>
      <w:r>
        <w:rPr>
          <w:rFonts w:ascii="Arial" w:cs="Arial" w:eastAsia="Arial" w:hAnsi="Arial"/>
          <w:sz w:val="13"/>
          <w:szCs w:val="13"/>
          <w:color w:val="auto"/>
        </w:rPr>
        <w:t>T’s Annual Reports on Form 10-K, Quarterly Reports on Form 10-Q and Current Reports on Form 8-K, and amendments to those reports filed or furnished pursuant to Section 13(a) or 15(d) of the Exchange Act, are made available, free of charge, as soon as reasonably practicable after electronically filing such material with, or furnishing it to, the Securities and Exchange Commission. Copies of such reports and other information are also available at no charge to any person who requests them or at www.sec.gov. Such requests may be directed to M</w:t>
      </w:r>
      <w:r>
        <w:rPr>
          <w:rFonts w:ascii="Arial" w:cs="Arial" w:eastAsia="Arial" w:hAnsi="Arial"/>
          <w:sz w:val="12"/>
          <w:szCs w:val="12"/>
          <w:color w:val="auto"/>
        </w:rPr>
        <w:t>&amp;</w:t>
      </w:r>
      <w:r>
        <w:rPr>
          <w:rFonts w:ascii="Arial" w:cs="Arial" w:eastAsia="Arial" w:hAnsi="Arial"/>
          <w:sz w:val="13"/>
          <w:szCs w:val="13"/>
          <w:color w:val="auto"/>
        </w:rPr>
        <w:t>T Bank Corporation, Shareholder Relations Department, One M</w:t>
      </w:r>
      <w:r>
        <w:rPr>
          <w:rFonts w:ascii="Arial" w:cs="Arial" w:eastAsia="Arial" w:hAnsi="Arial"/>
          <w:sz w:val="12"/>
          <w:szCs w:val="12"/>
          <w:color w:val="auto"/>
        </w:rPr>
        <w:t>&amp;</w:t>
      </w:r>
      <w:r>
        <w:rPr>
          <w:rFonts w:ascii="Arial" w:cs="Arial" w:eastAsia="Arial" w:hAnsi="Arial"/>
          <w:sz w:val="13"/>
          <w:szCs w:val="13"/>
          <w:color w:val="auto"/>
        </w:rPr>
        <w:t>T Plaza, 13th Floor, Buffalo, NY 14203-2399 (Telephone: (716) 842-5445).</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Corporate Governance</w:t>
      </w:r>
    </w:p>
    <w:p>
      <w:pPr>
        <w:spacing w:after="0" w:line="22" w:lineRule="exact"/>
        <w:rPr>
          <w:sz w:val="20"/>
          <w:szCs w:val="20"/>
          <w:color w:val="auto"/>
        </w:rPr>
      </w:pPr>
    </w:p>
    <w:p>
      <w:pPr>
        <w:ind w:left="680" w:right="60"/>
        <w:spacing w:after="0" w:line="276" w:lineRule="auto"/>
        <w:rPr>
          <w:sz w:val="20"/>
          <w:szCs w:val="20"/>
          <w:color w:val="auto"/>
        </w:rPr>
      </w:pPr>
      <w:r>
        <w:rPr>
          <w:rFonts w:ascii="Arial" w:cs="Arial" w:eastAsia="Arial" w:hAnsi="Arial"/>
          <w:sz w:val="13"/>
          <w:szCs w:val="13"/>
          <w:color w:val="auto"/>
        </w:rPr>
        <w:t>M</w:t>
      </w:r>
      <w:r>
        <w:rPr>
          <w:rFonts w:ascii="Arial" w:cs="Arial" w:eastAsia="Arial" w:hAnsi="Arial"/>
          <w:sz w:val="12"/>
          <w:szCs w:val="12"/>
          <w:color w:val="auto"/>
        </w:rPr>
        <w:t>&amp;</w:t>
      </w:r>
      <w:r>
        <w:rPr>
          <w:rFonts w:ascii="Arial" w:cs="Arial" w:eastAsia="Arial" w:hAnsi="Arial"/>
          <w:sz w:val="13"/>
          <w:szCs w:val="13"/>
          <w:color w:val="auto"/>
        </w:rPr>
        <w:t>T’s Corporate Governance Standards and the following corporate governance documents are also available on M</w:t>
      </w:r>
      <w:r>
        <w:rPr>
          <w:rFonts w:ascii="Arial" w:cs="Arial" w:eastAsia="Arial" w:hAnsi="Arial"/>
          <w:sz w:val="12"/>
          <w:szCs w:val="12"/>
          <w:color w:val="auto"/>
        </w:rPr>
        <w:t>&amp;</w:t>
      </w:r>
      <w:r>
        <w:rPr>
          <w:rFonts w:ascii="Arial" w:cs="Arial" w:eastAsia="Arial" w:hAnsi="Arial"/>
          <w:sz w:val="13"/>
          <w:szCs w:val="13"/>
          <w:color w:val="auto"/>
        </w:rPr>
        <w:t>T’s website at the Investor Relations link: Disclosure Policy; Executive Committee Charter; Nomination, Compensation and Governance Committee Charter; Audit Committee Charter; Financial Reporting and Disclosure Controls and Procedures Policy; Code of Ethics for CEO and Senior Financial Officers; Code of Business Conduct and Ethics; and Employee Complaint Procedures for Accounting and Auditing Matters. Copies of such governance documents are also available, free of charge, to any person who requests them. Such requests may be directed to M</w:t>
      </w:r>
      <w:r>
        <w:rPr>
          <w:rFonts w:ascii="Arial" w:cs="Arial" w:eastAsia="Arial" w:hAnsi="Arial"/>
          <w:sz w:val="12"/>
          <w:szCs w:val="12"/>
          <w:color w:val="auto"/>
        </w:rPr>
        <w:t>&amp;</w:t>
      </w:r>
      <w:r>
        <w:rPr>
          <w:rFonts w:ascii="Arial" w:cs="Arial" w:eastAsia="Arial" w:hAnsi="Arial"/>
          <w:sz w:val="13"/>
          <w:szCs w:val="13"/>
          <w:color w:val="auto"/>
        </w:rPr>
        <w:t>T Bank Corporation, Shareholder Relations Department, One M</w:t>
      </w:r>
      <w:r>
        <w:rPr>
          <w:rFonts w:ascii="Arial" w:cs="Arial" w:eastAsia="Arial" w:hAnsi="Arial"/>
          <w:sz w:val="12"/>
          <w:szCs w:val="12"/>
          <w:color w:val="auto"/>
        </w:rPr>
        <w:t>&amp;</w:t>
      </w:r>
      <w:r>
        <w:rPr>
          <w:rFonts w:ascii="Arial" w:cs="Arial" w:eastAsia="Arial" w:hAnsi="Arial"/>
          <w:sz w:val="13"/>
          <w:szCs w:val="13"/>
          <w:color w:val="auto"/>
        </w:rPr>
        <w:t>T Plaza, 13th Floor, Buffalo, NY 14203-2399 (Telephone: (716) 842-5445).</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Statistical Disclosure Pursuant to Guide 3</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See cross-reference sheet for disclosures incorporated elsewhere in this Annual Report on Form 10-K. Additional information is included in the following tables.</w:t>
      </w:r>
    </w:p>
    <w:p>
      <w:pPr>
        <w:spacing w:after="0" w:line="15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w:t>
      </w:r>
    </w:p>
    <w:p>
      <w:pPr>
        <w:spacing w:after="0" w:line="252"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SELECTED CONSOLIDATED YEAR-END BALANCES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5"/>
              <w:spacing w:after="0"/>
              <w:rPr>
                <w:sz w:val="20"/>
                <w:szCs w:val="20"/>
                <w:color w:val="auto"/>
              </w:rPr>
            </w:pPr>
            <w:r>
              <w:rPr>
                <w:rFonts w:ascii="Arial" w:cs="Arial" w:eastAsia="Arial" w:hAnsi="Arial"/>
                <w:sz w:val="12"/>
                <w:szCs w:val="12"/>
                <w:b w:val="1"/>
                <w:bCs w:val="1"/>
                <w:color w:val="auto"/>
              </w:rPr>
              <w:t>2006</w:t>
            </w: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2005</w:t>
            </w:r>
          </w:p>
        </w:tc>
        <w:tc>
          <w:tcPr>
            <w:tcW w:w="2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2"/>
                <w:szCs w:val="12"/>
                <w:b w:val="1"/>
                <w:bCs w:val="1"/>
                <w:color w:val="auto"/>
              </w:rPr>
              <w:t>2004</w:t>
            </w:r>
          </w:p>
        </w:tc>
        <w:tc>
          <w:tcPr>
            <w:tcW w:w="1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2"/>
                <w:szCs w:val="12"/>
                <w:b w:val="1"/>
                <w:bCs w:val="1"/>
                <w:color w:val="auto"/>
              </w:rPr>
              <w:t>2003</w:t>
            </w:r>
          </w:p>
        </w:tc>
        <w:tc>
          <w:tcPr>
            <w:tcW w:w="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2"/>
                <w:szCs w:val="12"/>
                <w:b w:val="1"/>
                <w:bCs w:val="1"/>
                <w:color w:val="auto"/>
              </w:rPr>
              <w:t>2002</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89"/>
              </w:rPr>
              <w:t>(In thousands)</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80" w:type="dxa"/>
            <w:vAlign w:val="bottom"/>
          </w:tcPr>
          <w:p>
            <w:pPr>
              <w:spacing w:after="0"/>
              <w:rPr>
                <w:sz w:val="3"/>
                <w:szCs w:val="3"/>
                <w:color w:val="auto"/>
              </w:rPr>
            </w:pPr>
          </w:p>
        </w:tc>
        <w:tc>
          <w:tcPr>
            <w:tcW w:w="30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Interest-bearing deposits at banks</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6,639</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8,408</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10,242</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76"/>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13,194</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7,856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Federal funds sold</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19,458</w:t>
            </w:r>
          </w:p>
        </w:tc>
        <w:tc>
          <w:tcPr>
            <w:tcW w:w="180" w:type="dxa"/>
            <w:vAlign w:val="bottom"/>
          </w:tcPr>
          <w:p>
            <w:pPr>
              <w:spacing w:after="0"/>
              <w:rPr>
                <w:sz w:val="13"/>
                <w:szCs w:val="13"/>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3"/>
                <w:szCs w:val="13"/>
                <w:color w:val="auto"/>
              </w:rPr>
              <w:t>11,220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28,150</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3"/>
                <w:szCs w:val="13"/>
                <w:color w:val="auto"/>
              </w:rPr>
              <w:t>21,220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9,290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Resell agreements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100,000</w:t>
            </w: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1,026</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1,068</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311,069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Trading account</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136,752</w:t>
            </w:r>
          </w:p>
        </w:tc>
        <w:tc>
          <w:tcPr>
            <w:tcW w:w="180" w:type="dxa"/>
            <w:vAlign w:val="bottom"/>
          </w:tcPr>
          <w:p>
            <w:pPr>
              <w:spacing w:after="0"/>
              <w:rPr>
                <w:sz w:val="13"/>
                <w:szCs w:val="13"/>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3"/>
                <w:szCs w:val="13"/>
                <w:color w:val="auto"/>
              </w:rPr>
              <w:t>191,617</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159,946</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3"/>
                <w:szCs w:val="13"/>
                <w:color w:val="auto"/>
                <w:w w:val="97"/>
              </w:rPr>
              <w:t>214,833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51,628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Investment securities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ind w:left="140"/>
              <w:spacing w:after="0"/>
              <w:rPr>
                <w:sz w:val="20"/>
                <w:szCs w:val="20"/>
                <w:color w:val="auto"/>
              </w:rPr>
            </w:pPr>
            <w:r>
              <w:rPr>
                <w:rFonts w:ascii="Arial" w:cs="Arial" w:eastAsia="Arial" w:hAnsi="Arial"/>
                <w:sz w:val="13"/>
                <w:szCs w:val="13"/>
                <w:color w:val="auto"/>
              </w:rPr>
              <w:t>U.S. Treasury and federal agencies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2,381,584</w:t>
            </w:r>
          </w:p>
        </w:tc>
        <w:tc>
          <w:tcPr>
            <w:tcW w:w="180" w:type="dxa"/>
            <w:vAlign w:val="bottom"/>
          </w:tcPr>
          <w:p>
            <w:pPr>
              <w:spacing w:after="0"/>
              <w:rPr>
                <w:sz w:val="13"/>
                <w:szCs w:val="13"/>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3"/>
                <w:szCs w:val="13"/>
                <w:color w:val="auto"/>
              </w:rPr>
              <w:t>3,016,374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3,965,110</w:t>
            </w:r>
          </w:p>
        </w:tc>
        <w:tc>
          <w:tcPr>
            <w:tcW w:w="60" w:type="dxa"/>
            <w:vAlign w:val="bottom"/>
          </w:tcPr>
          <w:p>
            <w:pPr>
              <w:spacing w:after="0"/>
              <w:rPr>
                <w:sz w:val="13"/>
                <w:szCs w:val="13"/>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3"/>
                <w:szCs w:val="13"/>
                <w:color w:val="auto"/>
              </w:rPr>
              <w:t>3,398,547</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1,209,180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Obligations of states and political subdivisions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130,207</w:t>
            </w:r>
          </w:p>
        </w:tc>
        <w:tc>
          <w:tcPr>
            <w:tcW w:w="1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181,938</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204,792</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w w:val="97"/>
              </w:rPr>
              <w:t>249,193</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256,023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ind w:left="140"/>
              <w:spacing w:after="0"/>
              <w:rPr>
                <w:sz w:val="20"/>
                <w:szCs w:val="20"/>
                <w:color w:val="auto"/>
              </w:rPr>
            </w:pPr>
            <w:r>
              <w:rPr>
                <w:rFonts w:ascii="Arial" w:cs="Arial" w:eastAsia="Arial" w:hAnsi="Arial"/>
                <w:sz w:val="13"/>
                <w:szCs w:val="13"/>
                <w:color w:val="auto"/>
              </w:rPr>
              <w:t>Other</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4,739,807</w:t>
            </w:r>
          </w:p>
        </w:tc>
        <w:tc>
          <w:tcPr>
            <w:tcW w:w="180" w:type="dxa"/>
            <w:vAlign w:val="bottom"/>
          </w:tcPr>
          <w:p>
            <w:pPr>
              <w:spacing w:after="0"/>
              <w:rPr>
                <w:sz w:val="13"/>
                <w:szCs w:val="13"/>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3"/>
                <w:szCs w:val="13"/>
                <w:color w:val="auto"/>
              </w:rPr>
              <w:t>5,201,852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4,304,717</w:t>
            </w:r>
          </w:p>
        </w:tc>
        <w:tc>
          <w:tcPr>
            <w:tcW w:w="60" w:type="dxa"/>
            <w:vAlign w:val="bottom"/>
          </w:tcPr>
          <w:p>
            <w:pPr>
              <w:spacing w:after="0"/>
              <w:rPr>
                <w:sz w:val="13"/>
                <w:szCs w:val="13"/>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3"/>
                <w:szCs w:val="13"/>
                <w:color w:val="auto"/>
              </w:rPr>
              <w:t>3,611,410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2,489,947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investment securities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7,251,598</w:t>
            </w:r>
          </w:p>
        </w:tc>
        <w:tc>
          <w:tcPr>
            <w:tcW w:w="1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8,400,164</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8,474,619</w:t>
            </w:r>
          </w:p>
        </w:tc>
        <w:tc>
          <w:tcPr>
            <w:tcW w:w="6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rPr>
              <w:t>7,259,150</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3,955,150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Loans and leases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Commercial, financial, leasing, etc.</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11,896,556</w:t>
            </w:r>
          </w:p>
        </w:tc>
        <w:tc>
          <w:tcPr>
            <w:tcW w:w="1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11,105,827</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10,169,695</w:t>
            </w:r>
          </w:p>
        </w:tc>
        <w:tc>
          <w:tcPr>
            <w:tcW w:w="6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rPr>
              <w:t>9,406,399</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5,399,738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ind w:left="140"/>
              <w:spacing w:after="0"/>
              <w:rPr>
                <w:sz w:val="20"/>
                <w:szCs w:val="20"/>
                <w:color w:val="auto"/>
              </w:rPr>
            </w:pPr>
            <w:r>
              <w:rPr>
                <w:rFonts w:ascii="Arial" w:cs="Arial" w:eastAsia="Arial" w:hAnsi="Arial"/>
                <w:sz w:val="13"/>
                <w:szCs w:val="13"/>
                <w:color w:val="auto"/>
              </w:rPr>
              <w:t>Real estate — construction</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3,453,981</w:t>
            </w:r>
          </w:p>
        </w:tc>
        <w:tc>
          <w:tcPr>
            <w:tcW w:w="180" w:type="dxa"/>
            <w:vAlign w:val="bottom"/>
          </w:tcPr>
          <w:p>
            <w:pPr>
              <w:spacing w:after="0"/>
              <w:rPr>
                <w:sz w:val="13"/>
                <w:szCs w:val="13"/>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3"/>
                <w:szCs w:val="13"/>
                <w:color w:val="auto"/>
              </w:rPr>
              <w:t>2,335,498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1,797,106</w:t>
            </w:r>
          </w:p>
        </w:tc>
        <w:tc>
          <w:tcPr>
            <w:tcW w:w="60" w:type="dxa"/>
            <w:vAlign w:val="bottom"/>
          </w:tcPr>
          <w:p>
            <w:pPr>
              <w:spacing w:after="0"/>
              <w:rPr>
                <w:sz w:val="13"/>
                <w:szCs w:val="13"/>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3"/>
                <w:szCs w:val="13"/>
                <w:color w:val="auto"/>
              </w:rPr>
              <w:t>1,537,880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1,001,553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Real estate — mortgage</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17,940,083</w:t>
            </w:r>
          </w:p>
        </w:tc>
        <w:tc>
          <w:tcPr>
            <w:tcW w:w="1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16,636,557</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15,538,227</w:t>
            </w:r>
          </w:p>
        </w:tc>
        <w:tc>
          <w:tcPr>
            <w:tcW w:w="6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rPr>
              <w:t>13,932,731</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12,010,464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ind w:left="140"/>
              <w:spacing w:after="0"/>
              <w:rPr>
                <w:sz w:val="20"/>
                <w:szCs w:val="20"/>
                <w:color w:val="auto"/>
              </w:rPr>
            </w:pPr>
            <w:r>
              <w:rPr>
                <w:rFonts w:ascii="Arial" w:cs="Arial" w:eastAsia="Arial" w:hAnsi="Arial"/>
                <w:sz w:val="13"/>
                <w:szCs w:val="13"/>
                <w:color w:val="auto"/>
              </w:rPr>
              <w:t>Consumer</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9,916,334</w:t>
            </w:r>
          </w:p>
        </w:tc>
        <w:tc>
          <w:tcPr>
            <w:tcW w:w="180" w:type="dxa"/>
            <w:vAlign w:val="bottom"/>
          </w:tcPr>
          <w:p>
            <w:pPr>
              <w:spacing w:after="0"/>
              <w:rPr>
                <w:sz w:val="13"/>
                <w:szCs w:val="13"/>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3"/>
                <w:szCs w:val="13"/>
                <w:color w:val="auto"/>
              </w:rPr>
              <w:t>10,475,809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11,139,594</w:t>
            </w:r>
          </w:p>
        </w:tc>
        <w:tc>
          <w:tcPr>
            <w:tcW w:w="60" w:type="dxa"/>
            <w:vAlign w:val="bottom"/>
          </w:tcPr>
          <w:p>
            <w:pPr>
              <w:spacing w:after="0"/>
              <w:rPr>
                <w:sz w:val="13"/>
                <w:szCs w:val="13"/>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3"/>
                <w:szCs w:val="13"/>
                <w:color w:val="auto"/>
              </w:rPr>
              <w:t>11,160,588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7,525,187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loans and leases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43,206,954</w:t>
            </w:r>
          </w:p>
        </w:tc>
        <w:tc>
          <w:tcPr>
            <w:tcW w:w="1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40,553,691</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38,644,622</w:t>
            </w:r>
          </w:p>
        </w:tc>
        <w:tc>
          <w:tcPr>
            <w:tcW w:w="6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rPr>
              <w:t>36,037,598</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25,936,942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ind w:left="140"/>
              <w:spacing w:after="0"/>
              <w:rPr>
                <w:sz w:val="20"/>
                <w:szCs w:val="20"/>
                <w:color w:val="auto"/>
              </w:rPr>
            </w:pPr>
            <w:r>
              <w:rPr>
                <w:rFonts w:ascii="Arial" w:cs="Arial" w:eastAsia="Arial" w:hAnsi="Arial"/>
                <w:sz w:val="13"/>
                <w:szCs w:val="13"/>
                <w:color w:val="auto"/>
              </w:rPr>
              <w:t>Unearned discount</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3"/>
                <w:szCs w:val="13"/>
                <w:color w:val="auto"/>
              </w:rPr>
              <w:t>(259,657)</w:t>
            </w:r>
          </w:p>
        </w:tc>
        <w:tc>
          <w:tcPr>
            <w:tcW w:w="180" w:type="dxa"/>
            <w:vAlign w:val="bottom"/>
          </w:tcPr>
          <w:p>
            <w:pPr>
              <w:spacing w:after="0"/>
              <w:rPr>
                <w:sz w:val="13"/>
                <w:szCs w:val="13"/>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3"/>
                <w:szCs w:val="13"/>
                <w:color w:val="auto"/>
              </w:rPr>
              <w:t>(223,046)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180"/>
              <w:spacing w:after="0"/>
              <w:rPr>
                <w:sz w:val="20"/>
                <w:szCs w:val="20"/>
                <w:color w:val="auto"/>
              </w:rPr>
            </w:pPr>
            <w:r>
              <w:rPr>
                <w:rFonts w:ascii="Arial" w:cs="Arial" w:eastAsia="Arial" w:hAnsi="Arial"/>
                <w:sz w:val="13"/>
                <w:szCs w:val="13"/>
                <w:color w:val="auto"/>
              </w:rPr>
              <w:t>(246,145)</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3"/>
                <w:szCs w:val="13"/>
                <w:color w:val="auto"/>
                <w:w w:val="89"/>
              </w:rPr>
              <w:t>(265,163)</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3"/>
                <w:szCs w:val="13"/>
                <w:color w:val="auto"/>
              </w:rPr>
              <w:t>(209,158)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Allowance for credit losses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(649,948)</w:t>
            </w:r>
          </w:p>
        </w:tc>
        <w:tc>
          <w:tcPr>
            <w:tcW w:w="1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(637,663)</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(626,864)</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w w:val="89"/>
              </w:rPr>
              <w:t>(614,058)</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(436,472)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0" w:type="dxa"/>
            <w:vAlign w:val="bottom"/>
            <w:vMerge w:val="restart"/>
          </w:tcPr>
          <w:p>
            <w:pPr>
              <w:ind w:left="280"/>
              <w:spacing w:after="0"/>
              <w:rPr>
                <w:sz w:val="20"/>
                <w:szCs w:val="20"/>
                <w:color w:val="auto"/>
              </w:rPr>
            </w:pPr>
            <w:r>
              <w:rPr>
                <w:rFonts w:ascii="Arial" w:cs="Arial" w:eastAsia="Arial" w:hAnsi="Arial"/>
                <w:sz w:val="13"/>
                <w:szCs w:val="13"/>
                <w:color w:val="auto"/>
              </w:rPr>
              <w:t>Loans and leases, net</w:t>
            </w:r>
          </w:p>
        </w:tc>
        <w:tc>
          <w:tcPr>
            <w:tcW w:w="1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00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42,297,349</w:t>
            </w:r>
          </w:p>
        </w:tc>
        <w:tc>
          <w:tcPr>
            <w:tcW w:w="180" w:type="dxa"/>
            <w:vAlign w:val="bottom"/>
          </w:tcPr>
          <w:p>
            <w:pPr>
              <w:spacing w:after="0"/>
              <w:rPr>
                <w:sz w:val="13"/>
                <w:szCs w:val="13"/>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3"/>
                <w:szCs w:val="13"/>
                <w:color w:val="auto"/>
              </w:rPr>
              <w:t>39,692,982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37,771,613</w:t>
            </w:r>
          </w:p>
        </w:tc>
        <w:tc>
          <w:tcPr>
            <w:tcW w:w="60" w:type="dxa"/>
            <w:vAlign w:val="bottom"/>
          </w:tcPr>
          <w:p>
            <w:pPr>
              <w:spacing w:after="0"/>
              <w:rPr>
                <w:sz w:val="13"/>
                <w:szCs w:val="13"/>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3"/>
                <w:szCs w:val="13"/>
                <w:color w:val="auto"/>
              </w:rPr>
              <w:t>35,158,377</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25,291,312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Goodwill</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2,908,849</w:t>
            </w:r>
          </w:p>
        </w:tc>
        <w:tc>
          <w:tcPr>
            <w:tcW w:w="1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2,904,081</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2,904,081</w:t>
            </w:r>
          </w:p>
        </w:tc>
        <w:tc>
          <w:tcPr>
            <w:tcW w:w="6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rPr>
              <w:t>2,904,081</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1,097,553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Core deposit and other intangible assets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250,233</w:t>
            </w:r>
          </w:p>
        </w:tc>
        <w:tc>
          <w:tcPr>
            <w:tcW w:w="180" w:type="dxa"/>
            <w:vAlign w:val="bottom"/>
          </w:tcPr>
          <w:p>
            <w:pPr>
              <w:spacing w:after="0"/>
              <w:rPr>
                <w:sz w:val="13"/>
                <w:szCs w:val="13"/>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3"/>
                <w:szCs w:val="13"/>
                <w:color w:val="auto"/>
              </w:rPr>
              <w:t>108,260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165,507</w:t>
            </w: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3"/>
          </w:tcPr>
          <w:p>
            <w:pPr>
              <w:jc w:val="right"/>
              <w:ind w:right="100"/>
              <w:spacing w:after="0"/>
              <w:rPr>
                <w:sz w:val="20"/>
                <w:szCs w:val="20"/>
                <w:color w:val="auto"/>
              </w:rPr>
            </w:pPr>
            <w:r>
              <w:rPr>
                <w:rFonts w:ascii="Arial" w:cs="Arial" w:eastAsia="Arial" w:hAnsi="Arial"/>
                <w:sz w:val="13"/>
                <w:szCs w:val="13"/>
                <w:color w:val="auto"/>
                <w:w w:val="97"/>
              </w:rPr>
              <w:t>240,830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118,790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Real estate and other assets owned</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12,141</w:t>
            </w:r>
          </w:p>
        </w:tc>
        <w:tc>
          <w:tcPr>
            <w:tcW w:w="1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9,486</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12,504</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19,629</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17,380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Total assets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57,064,905</w:t>
            </w:r>
          </w:p>
        </w:tc>
        <w:tc>
          <w:tcPr>
            <w:tcW w:w="180" w:type="dxa"/>
            <w:vAlign w:val="bottom"/>
          </w:tcPr>
          <w:p>
            <w:pPr>
              <w:spacing w:after="0"/>
              <w:rPr>
                <w:sz w:val="13"/>
                <w:szCs w:val="13"/>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3"/>
                <w:szCs w:val="13"/>
                <w:color w:val="auto"/>
              </w:rPr>
              <w:t>55,146,406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52,938,721</w:t>
            </w:r>
          </w:p>
        </w:tc>
        <w:tc>
          <w:tcPr>
            <w:tcW w:w="60" w:type="dxa"/>
            <w:vAlign w:val="bottom"/>
          </w:tcPr>
          <w:p>
            <w:pPr>
              <w:spacing w:after="0"/>
              <w:rPr>
                <w:sz w:val="13"/>
                <w:szCs w:val="13"/>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3"/>
                <w:szCs w:val="13"/>
                <w:color w:val="auto"/>
              </w:rPr>
              <w:t>49,826,081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33,201,181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Noninterest-bearing deposits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7,879,977</w:t>
            </w:r>
          </w:p>
        </w:tc>
        <w:tc>
          <w:tcPr>
            <w:tcW w:w="1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8,141,928</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8,417,365</w:t>
            </w:r>
          </w:p>
        </w:tc>
        <w:tc>
          <w:tcPr>
            <w:tcW w:w="6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rPr>
              <w:t>8,411,296</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4,072,085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NOW accounts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940,439</w:t>
            </w:r>
          </w:p>
        </w:tc>
        <w:tc>
          <w:tcPr>
            <w:tcW w:w="180" w:type="dxa"/>
            <w:vAlign w:val="bottom"/>
          </w:tcPr>
          <w:p>
            <w:pPr>
              <w:spacing w:after="0"/>
              <w:rPr>
                <w:sz w:val="13"/>
                <w:szCs w:val="13"/>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3"/>
                <w:szCs w:val="13"/>
                <w:color w:val="auto"/>
              </w:rPr>
              <w:t>901,938</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828,999</w:t>
            </w:r>
          </w:p>
        </w:tc>
        <w:tc>
          <w:tcPr>
            <w:tcW w:w="60" w:type="dxa"/>
            <w:vAlign w:val="bottom"/>
          </w:tcPr>
          <w:p>
            <w:pPr>
              <w:spacing w:after="0"/>
              <w:rPr>
                <w:sz w:val="13"/>
                <w:szCs w:val="13"/>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3"/>
                <w:szCs w:val="13"/>
                <w:color w:val="auto"/>
              </w:rPr>
              <w:t>1,738,427</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1,029,060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Savings deposits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14,169,790</w:t>
            </w:r>
          </w:p>
        </w:tc>
        <w:tc>
          <w:tcPr>
            <w:tcW w:w="1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13,839,150</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14,721,663</w:t>
            </w:r>
          </w:p>
        </w:tc>
        <w:tc>
          <w:tcPr>
            <w:tcW w:w="6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rPr>
              <w:t>14,118,521</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9,156,678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Time deposits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11,490,629</w:t>
            </w:r>
          </w:p>
        </w:tc>
        <w:tc>
          <w:tcPr>
            <w:tcW w:w="180" w:type="dxa"/>
            <w:vAlign w:val="bottom"/>
          </w:tcPr>
          <w:p>
            <w:pPr>
              <w:spacing w:after="0"/>
              <w:rPr>
                <w:sz w:val="13"/>
                <w:szCs w:val="13"/>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3"/>
                <w:szCs w:val="13"/>
                <w:color w:val="auto"/>
              </w:rPr>
              <w:t>11,407,626</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7,228,514</w:t>
            </w:r>
          </w:p>
        </w:tc>
        <w:tc>
          <w:tcPr>
            <w:tcW w:w="60" w:type="dxa"/>
            <w:vAlign w:val="bottom"/>
          </w:tcPr>
          <w:p>
            <w:pPr>
              <w:spacing w:after="0"/>
              <w:rPr>
                <w:sz w:val="13"/>
                <w:szCs w:val="13"/>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3"/>
                <w:szCs w:val="13"/>
                <w:color w:val="auto"/>
              </w:rPr>
              <w:t>6,637,249</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6,246,384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Deposits at foreign office</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5,429,668</w:t>
            </w:r>
          </w:p>
        </w:tc>
        <w:tc>
          <w:tcPr>
            <w:tcW w:w="1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2,809,532</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4,232,932</w:t>
            </w:r>
          </w:p>
        </w:tc>
        <w:tc>
          <w:tcPr>
            <w:tcW w:w="6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rPr>
              <w:t>2,209,451</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1,160,716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0" w:type="dxa"/>
            <w:vAlign w:val="bottom"/>
            <w:vMerge w:val="restart"/>
          </w:tcPr>
          <w:p>
            <w:pPr>
              <w:ind w:left="280"/>
              <w:spacing w:after="0"/>
              <w:rPr>
                <w:sz w:val="20"/>
                <w:szCs w:val="20"/>
                <w:color w:val="auto"/>
              </w:rPr>
            </w:pPr>
            <w:r>
              <w:rPr>
                <w:rFonts w:ascii="Arial" w:cs="Arial" w:eastAsia="Arial" w:hAnsi="Arial"/>
                <w:sz w:val="13"/>
                <w:szCs w:val="13"/>
                <w:color w:val="auto"/>
              </w:rPr>
              <w:t>Total deposits</w:t>
            </w:r>
          </w:p>
        </w:tc>
        <w:tc>
          <w:tcPr>
            <w:tcW w:w="1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000" w:type="dxa"/>
            <w:vAlign w:val="bottom"/>
            <w:vMerge w:val="continue"/>
          </w:tcPr>
          <w:p>
            <w:pPr>
              <w:spacing w:after="0"/>
              <w:rPr>
                <w:sz w:val="13"/>
                <w:szCs w:val="13"/>
                <w:color w:val="auto"/>
              </w:rPr>
            </w:pP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39,910,503</w:t>
            </w:r>
          </w:p>
        </w:tc>
        <w:tc>
          <w:tcPr>
            <w:tcW w:w="180" w:type="dxa"/>
            <w:vAlign w:val="bottom"/>
          </w:tcPr>
          <w:p>
            <w:pPr>
              <w:spacing w:after="0"/>
              <w:rPr>
                <w:sz w:val="13"/>
                <w:szCs w:val="13"/>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3"/>
                <w:szCs w:val="13"/>
                <w:color w:val="auto"/>
              </w:rPr>
              <w:t>37,100,174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35,429,473</w:t>
            </w:r>
          </w:p>
        </w:tc>
        <w:tc>
          <w:tcPr>
            <w:tcW w:w="60" w:type="dxa"/>
            <w:vAlign w:val="bottom"/>
          </w:tcPr>
          <w:p>
            <w:pPr>
              <w:spacing w:after="0"/>
              <w:rPr>
                <w:sz w:val="13"/>
                <w:szCs w:val="13"/>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3"/>
                <w:szCs w:val="13"/>
                <w:color w:val="auto"/>
              </w:rPr>
              <w:t>33,114,944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21,664,923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Short-term borrowings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3,094,214</w:t>
            </w:r>
          </w:p>
        </w:tc>
        <w:tc>
          <w:tcPr>
            <w:tcW w:w="1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5,152,872</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4,703,664</w:t>
            </w:r>
          </w:p>
        </w:tc>
        <w:tc>
          <w:tcPr>
            <w:tcW w:w="6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rPr>
              <w:t>4,442,246</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3,429,414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Long-term borrowings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6,890,741</w:t>
            </w:r>
          </w:p>
        </w:tc>
        <w:tc>
          <w:tcPr>
            <w:tcW w:w="180" w:type="dxa"/>
            <w:vAlign w:val="bottom"/>
          </w:tcPr>
          <w:p>
            <w:pPr>
              <w:spacing w:after="0"/>
              <w:rPr>
                <w:sz w:val="13"/>
                <w:szCs w:val="13"/>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3"/>
                <w:szCs w:val="13"/>
                <w:color w:val="auto"/>
              </w:rPr>
              <w:t>6,196,994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6,348,559</w:t>
            </w:r>
          </w:p>
        </w:tc>
        <w:tc>
          <w:tcPr>
            <w:tcW w:w="60" w:type="dxa"/>
            <w:vAlign w:val="bottom"/>
          </w:tcPr>
          <w:p>
            <w:pPr>
              <w:spacing w:after="0"/>
              <w:rPr>
                <w:sz w:val="13"/>
                <w:szCs w:val="13"/>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3"/>
                <w:szCs w:val="13"/>
                <w:color w:val="auto"/>
              </w:rPr>
              <w:t>5,535,425</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4,497,374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Total liabilities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50,783,810</w:t>
            </w:r>
          </w:p>
        </w:tc>
        <w:tc>
          <w:tcPr>
            <w:tcW w:w="1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49,270,020</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47,209,107</w:t>
            </w:r>
          </w:p>
        </w:tc>
        <w:tc>
          <w:tcPr>
            <w:tcW w:w="60" w:type="dxa"/>
            <w:vAlign w:val="bottom"/>
            <w:shd w:val="clear" w:color="auto" w:fill="CCEEFF"/>
          </w:tcPr>
          <w:p>
            <w:pPr>
              <w:spacing w:after="0"/>
              <w:rPr>
                <w:sz w:val="13"/>
                <w:szCs w:val="13"/>
                <w:color w:val="auto"/>
              </w:rPr>
            </w:pPr>
          </w:p>
        </w:tc>
        <w:tc>
          <w:tcPr>
            <w:tcW w:w="1000" w:type="dxa"/>
            <w:vAlign w:val="bottom"/>
            <w:gridSpan w:val="5"/>
            <w:shd w:val="clear" w:color="auto" w:fill="CCEEFF"/>
          </w:tcPr>
          <w:p>
            <w:pPr>
              <w:jc w:val="right"/>
              <w:ind w:right="100"/>
              <w:spacing w:after="0"/>
              <w:rPr>
                <w:sz w:val="20"/>
                <w:szCs w:val="20"/>
                <w:color w:val="auto"/>
              </w:rPr>
            </w:pPr>
            <w:r>
              <w:rPr>
                <w:rFonts w:ascii="Arial" w:cs="Arial" w:eastAsia="Arial" w:hAnsi="Arial"/>
                <w:sz w:val="13"/>
                <w:szCs w:val="13"/>
                <w:color w:val="auto"/>
              </w:rPr>
              <w:t>44,108,871</w:t>
            </w:r>
          </w:p>
        </w:tc>
        <w:tc>
          <w:tcPr>
            <w:tcW w:w="24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29,992,702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Stockholders’ equity</w:t>
            </w: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3"/>
                <w:szCs w:val="13"/>
                <w:color w:val="auto"/>
              </w:rPr>
              <w:t>6,281,095</w:t>
            </w:r>
          </w:p>
        </w:tc>
        <w:tc>
          <w:tcPr>
            <w:tcW w:w="180" w:type="dxa"/>
            <w:vAlign w:val="bottom"/>
          </w:tcPr>
          <w:p>
            <w:pPr>
              <w:spacing w:after="0"/>
              <w:rPr>
                <w:sz w:val="14"/>
                <w:szCs w:val="14"/>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3"/>
                <w:szCs w:val="13"/>
                <w:color w:val="auto"/>
              </w:rPr>
              <w:t>5,876,386</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4"/>
          </w:tcPr>
          <w:p>
            <w:pPr>
              <w:jc w:val="right"/>
              <w:ind w:right="240"/>
              <w:spacing w:after="0"/>
              <w:rPr>
                <w:sz w:val="20"/>
                <w:szCs w:val="20"/>
                <w:color w:val="auto"/>
              </w:rPr>
            </w:pPr>
            <w:r>
              <w:rPr>
                <w:rFonts w:ascii="Arial" w:cs="Arial" w:eastAsia="Arial" w:hAnsi="Arial"/>
                <w:sz w:val="13"/>
                <w:szCs w:val="13"/>
                <w:color w:val="auto"/>
              </w:rPr>
              <w:t>5,729,614</w:t>
            </w:r>
          </w:p>
        </w:tc>
        <w:tc>
          <w:tcPr>
            <w:tcW w:w="60" w:type="dxa"/>
            <w:vAlign w:val="bottom"/>
          </w:tcPr>
          <w:p>
            <w:pPr>
              <w:spacing w:after="0"/>
              <w:rPr>
                <w:sz w:val="14"/>
                <w:szCs w:val="14"/>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3"/>
                <w:szCs w:val="13"/>
                <w:color w:val="auto"/>
              </w:rPr>
              <w:t>5,717,210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3,208,479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9"/>
        </w:trPr>
        <w:tc>
          <w:tcPr>
            <w:tcW w:w="680" w:type="dxa"/>
            <w:vAlign w:val="bottom"/>
          </w:tcPr>
          <w:p>
            <w:pPr>
              <w:spacing w:after="0"/>
              <w:rPr>
                <w:sz w:val="24"/>
                <w:szCs w:val="24"/>
                <w:color w:val="auto"/>
              </w:rPr>
            </w:pPr>
          </w:p>
        </w:tc>
        <w:tc>
          <w:tcPr>
            <w:tcW w:w="3000" w:type="dxa"/>
            <w:vAlign w:val="bottom"/>
          </w:tcPr>
          <w:p>
            <w:pPr>
              <w:spacing w:after="0"/>
              <w:rPr>
                <w:sz w:val="20"/>
                <w:szCs w:val="20"/>
                <w:color w:val="auto"/>
              </w:rPr>
            </w:pPr>
            <w:r>
              <w:rPr>
                <w:rFonts w:ascii="Arial" w:cs="Arial" w:eastAsia="Arial" w:hAnsi="Arial"/>
                <w:sz w:val="14"/>
                <w:szCs w:val="14"/>
                <w:b w:val="1"/>
                <w:bCs w:val="1"/>
                <w:color w:val="auto"/>
              </w:rPr>
              <w:t>Table 2</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620" w:type="dxa"/>
            <w:vAlign w:val="bottom"/>
            <w:gridSpan w:val="9"/>
          </w:tcPr>
          <w:p>
            <w:pPr>
              <w:jc w:val="right"/>
              <w:ind w:right="20"/>
              <w:spacing w:after="0"/>
              <w:rPr>
                <w:sz w:val="20"/>
                <w:szCs w:val="20"/>
                <w:color w:val="auto"/>
              </w:rPr>
            </w:pPr>
            <w:r>
              <w:rPr>
                <w:rFonts w:ascii="Arial" w:cs="Arial" w:eastAsia="Arial" w:hAnsi="Arial"/>
                <w:sz w:val="14"/>
                <w:szCs w:val="14"/>
                <w:b w:val="1"/>
                <w:bCs w:val="1"/>
                <w:color w:val="auto"/>
              </w:rPr>
              <w:t>STOCKHOLDERS, EMPLOYEES AND OFFICES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80" w:type="dxa"/>
            <w:vAlign w:val="bottom"/>
          </w:tcPr>
          <w:p>
            <w:pPr>
              <w:spacing w:after="0"/>
              <w:rPr>
                <w:sz w:val="15"/>
                <w:szCs w:val="15"/>
                <w:color w:val="auto"/>
              </w:rPr>
            </w:pPr>
          </w:p>
        </w:tc>
        <w:tc>
          <w:tcPr>
            <w:tcW w:w="3000" w:type="dxa"/>
            <w:vAlign w:val="bottom"/>
          </w:tcPr>
          <w:p>
            <w:pPr>
              <w:spacing w:after="0"/>
              <w:rPr>
                <w:sz w:val="20"/>
                <w:szCs w:val="20"/>
                <w:color w:val="auto"/>
              </w:rPr>
            </w:pPr>
            <w:r>
              <w:rPr>
                <w:rFonts w:ascii="Arial" w:cs="Arial" w:eastAsia="Arial" w:hAnsi="Arial"/>
                <w:sz w:val="10"/>
                <w:szCs w:val="10"/>
                <w:b w:val="1"/>
                <w:bCs w:val="1"/>
                <w:u w:val="single" w:color="auto"/>
                <w:color w:val="auto"/>
              </w:rPr>
              <w:t>N</w:t>
            </w:r>
            <w:r>
              <w:rPr>
                <w:rFonts w:ascii="Arial" w:cs="Arial" w:eastAsia="Arial" w:hAnsi="Arial"/>
                <w:sz w:val="10"/>
                <w:szCs w:val="10"/>
                <w:b w:val="1"/>
                <w:bCs w:val="1"/>
                <w:color w:val="auto"/>
              </w:rPr>
              <w:t>umber at Year-End</w:t>
            </w: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0"/>
                <w:szCs w:val="10"/>
                <w:b w:val="1"/>
                <w:bCs w:val="1"/>
                <w:color w:val="auto"/>
              </w:rPr>
              <w:t>2006</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2005</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jc w:val="right"/>
              <w:ind w:right="76"/>
              <w:spacing w:after="0"/>
              <w:rPr>
                <w:sz w:val="20"/>
                <w:szCs w:val="20"/>
                <w:color w:val="auto"/>
              </w:rPr>
            </w:pPr>
            <w:r>
              <w:rPr>
                <w:rFonts w:ascii="Arial" w:cs="Arial" w:eastAsia="Arial" w:hAnsi="Arial"/>
                <w:sz w:val="10"/>
                <w:szCs w:val="10"/>
                <w:b w:val="1"/>
                <w:bCs w:val="1"/>
                <w:color w:val="auto"/>
              </w:rPr>
              <w:t>2004</w:t>
            </w:r>
          </w:p>
        </w:tc>
        <w:tc>
          <w:tcPr>
            <w:tcW w:w="20" w:type="dxa"/>
            <w:vAlign w:val="bottom"/>
          </w:tcPr>
          <w:p>
            <w:pPr>
              <w:spacing w:after="0"/>
              <w:rPr>
                <w:sz w:val="15"/>
                <w:szCs w:val="15"/>
                <w:color w:val="auto"/>
              </w:rPr>
            </w:pPr>
          </w:p>
        </w:tc>
        <w:tc>
          <w:tcPr>
            <w:tcW w:w="820" w:type="dxa"/>
            <w:vAlign w:val="bottom"/>
            <w:gridSpan w:val="4"/>
          </w:tcPr>
          <w:p>
            <w:pPr>
              <w:jc w:val="right"/>
              <w:ind w:right="54"/>
              <w:spacing w:after="0"/>
              <w:rPr>
                <w:sz w:val="20"/>
                <w:szCs w:val="20"/>
                <w:color w:val="auto"/>
              </w:rPr>
            </w:pPr>
            <w:r>
              <w:rPr>
                <w:rFonts w:ascii="Arial" w:cs="Arial" w:eastAsia="Arial" w:hAnsi="Arial"/>
                <w:sz w:val="10"/>
                <w:szCs w:val="10"/>
                <w:b w:val="1"/>
                <w:bCs w:val="1"/>
                <w:color w:val="auto"/>
              </w:rPr>
              <w:t>2003</w:t>
            </w:r>
          </w:p>
        </w:tc>
        <w:tc>
          <w:tcPr>
            <w:tcW w:w="1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2002</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Stockholders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3"/>
                <w:szCs w:val="13"/>
                <w:color w:val="auto"/>
              </w:rPr>
              <w:t>10,084</w:t>
            </w:r>
          </w:p>
        </w:tc>
        <w:tc>
          <w:tcPr>
            <w:tcW w:w="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10,437</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5"/>
              </w:rPr>
              <w:t>10,857</w:t>
            </w:r>
          </w:p>
        </w:tc>
        <w:tc>
          <w:tcPr>
            <w:tcW w:w="960" w:type="dxa"/>
            <w:vAlign w:val="bottom"/>
            <w:gridSpan w:val="5"/>
            <w:shd w:val="clear" w:color="auto" w:fill="CCEEFF"/>
          </w:tcPr>
          <w:p>
            <w:pPr>
              <w:jc w:val="right"/>
              <w:ind w:right="140"/>
              <w:spacing w:after="0"/>
              <w:rPr>
                <w:sz w:val="20"/>
                <w:szCs w:val="20"/>
                <w:color w:val="auto"/>
              </w:rPr>
            </w:pPr>
            <w:r>
              <w:rPr>
                <w:rFonts w:ascii="Arial" w:cs="Arial" w:eastAsia="Arial" w:hAnsi="Arial"/>
                <w:sz w:val="13"/>
                <w:szCs w:val="13"/>
                <w:color w:val="auto"/>
              </w:rPr>
              <w:t>11,258</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11,587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tcPr>
          <w:p>
            <w:pPr>
              <w:spacing w:after="0"/>
              <w:rPr>
                <w:sz w:val="20"/>
                <w:szCs w:val="20"/>
                <w:color w:val="auto"/>
              </w:rPr>
            </w:pPr>
            <w:r>
              <w:rPr>
                <w:rFonts w:ascii="Arial" w:cs="Arial" w:eastAsia="Arial" w:hAnsi="Arial"/>
                <w:sz w:val="13"/>
                <w:szCs w:val="13"/>
                <w:color w:val="auto"/>
              </w:rPr>
              <w:t>Employees</w:t>
            </w:r>
          </w:p>
        </w:tc>
        <w:tc>
          <w:tcPr>
            <w:tcW w:w="1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4"/>
          </w:tcPr>
          <w:p>
            <w:pPr>
              <w:jc w:val="right"/>
              <w:ind w:right="120"/>
              <w:spacing w:after="0"/>
              <w:rPr>
                <w:sz w:val="20"/>
                <w:szCs w:val="20"/>
                <w:color w:val="auto"/>
              </w:rPr>
            </w:pPr>
            <w:r>
              <w:rPr>
                <w:rFonts w:ascii="Arial" w:cs="Arial" w:eastAsia="Arial" w:hAnsi="Arial"/>
                <w:sz w:val="13"/>
                <w:szCs w:val="13"/>
                <w:color w:val="auto"/>
              </w:rPr>
              <w:t>13,352</w:t>
            </w:r>
          </w:p>
        </w:tc>
        <w:tc>
          <w:tcPr>
            <w:tcW w:w="60" w:type="dxa"/>
            <w:vAlign w:val="bottom"/>
          </w:tcPr>
          <w:p>
            <w:pPr>
              <w:spacing w:after="0"/>
              <w:rPr>
                <w:sz w:val="13"/>
                <w:szCs w:val="13"/>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3"/>
                <w:szCs w:val="13"/>
                <w:color w:val="auto"/>
              </w:rPr>
              <w:t>13,525</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w w:val="95"/>
              </w:rPr>
              <w:t>13,371</w:t>
            </w:r>
          </w:p>
        </w:tc>
        <w:tc>
          <w:tcPr>
            <w:tcW w:w="960" w:type="dxa"/>
            <w:vAlign w:val="bottom"/>
            <w:gridSpan w:val="5"/>
          </w:tcPr>
          <w:p>
            <w:pPr>
              <w:jc w:val="right"/>
              <w:ind w:right="140"/>
              <w:spacing w:after="0"/>
              <w:rPr>
                <w:sz w:val="20"/>
                <w:szCs w:val="20"/>
                <w:color w:val="auto"/>
              </w:rPr>
            </w:pPr>
            <w:r>
              <w:rPr>
                <w:rFonts w:ascii="Arial" w:cs="Arial" w:eastAsia="Arial" w:hAnsi="Arial"/>
                <w:sz w:val="13"/>
                <w:szCs w:val="13"/>
                <w:color w:val="auto"/>
              </w:rPr>
              <w:t>14,000</w:t>
            </w:r>
          </w:p>
        </w:tc>
        <w:tc>
          <w:tcPr>
            <w:tcW w:w="800" w:type="dxa"/>
            <w:vAlign w:val="bottom"/>
            <w:gridSpan w:val="3"/>
          </w:tcPr>
          <w:p>
            <w:pPr>
              <w:jc w:val="right"/>
              <w:ind w:right="100"/>
              <w:spacing w:after="0"/>
              <w:rPr>
                <w:sz w:val="20"/>
                <w:szCs w:val="20"/>
                <w:color w:val="auto"/>
              </w:rPr>
            </w:pPr>
            <w:r>
              <w:rPr>
                <w:rFonts w:ascii="Arial" w:cs="Arial" w:eastAsia="Arial" w:hAnsi="Arial"/>
                <w:sz w:val="13"/>
                <w:szCs w:val="13"/>
                <w:color w:val="auto"/>
              </w:rPr>
              <w:t>9,197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3"/>
                <w:szCs w:val="13"/>
                <w:color w:val="auto"/>
              </w:rPr>
              <w:t>Offices</w:t>
            </w:r>
          </w:p>
        </w:tc>
        <w:tc>
          <w:tcPr>
            <w:tcW w:w="1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3"/>
                <w:szCs w:val="13"/>
                <w:color w:val="auto"/>
              </w:rPr>
              <w:t>736</w:t>
            </w:r>
          </w:p>
        </w:tc>
        <w:tc>
          <w:tcPr>
            <w:tcW w:w="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724</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713</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735</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680" w:type="dxa"/>
            <w:vAlign w:val="bottom"/>
          </w:tcPr>
          <w:p>
            <w:pPr>
              <w:spacing w:after="0"/>
              <w:rPr>
                <w:sz w:val="24"/>
                <w:szCs w:val="24"/>
                <w:color w:val="auto"/>
              </w:rPr>
            </w:pPr>
          </w:p>
        </w:tc>
        <w:tc>
          <w:tcPr>
            <w:tcW w:w="3000" w:type="dxa"/>
            <w:vAlign w:val="bottom"/>
          </w:tcPr>
          <w:p>
            <w:pPr>
              <w:spacing w:after="0"/>
              <w:rPr>
                <w:sz w:val="20"/>
                <w:szCs w:val="20"/>
                <w:color w:val="auto"/>
              </w:rPr>
            </w:pPr>
            <w:r>
              <w:rPr>
                <w:rFonts w:ascii="Arial" w:cs="Arial" w:eastAsia="Arial" w:hAnsi="Arial"/>
                <w:sz w:val="12"/>
                <w:szCs w:val="12"/>
                <w:color w:val="auto"/>
              </w:rPr>
              <w:t>20</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3000" w:type="dxa"/>
            <w:vAlign w:val="bottom"/>
            <w:tcBorders>
              <w:bottom w:val="single" w:sz="8" w:color="808080"/>
            </w:tcBorders>
          </w:tcPr>
          <w:p>
            <w:pPr>
              <w:spacing w:after="0"/>
              <w:rPr>
                <w:sz w:val="14"/>
                <w:szCs w:val="14"/>
                <w:color w:val="auto"/>
              </w:rPr>
            </w:pPr>
          </w:p>
        </w:tc>
        <w:tc>
          <w:tcPr>
            <w:tcW w:w="12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3</w:t>
      </w:r>
    </w:p>
    <w:p>
      <w:pPr>
        <w:spacing w:after="0" w:line="252"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CONSOLIDATED EARNINGS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8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5"/>
              <w:spacing w:after="0"/>
              <w:rPr>
                <w:sz w:val="20"/>
                <w:szCs w:val="20"/>
                <w:color w:val="auto"/>
              </w:rPr>
            </w:pPr>
            <w:r>
              <w:rPr>
                <w:rFonts w:ascii="Arial" w:cs="Arial" w:eastAsia="Arial" w:hAnsi="Arial"/>
                <w:sz w:val="12"/>
                <w:szCs w:val="12"/>
                <w:b w:val="1"/>
                <w:bCs w:val="1"/>
                <w:color w:val="auto"/>
              </w:rPr>
              <w:t>2006</w:t>
            </w: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5"/>
              <w:spacing w:after="0"/>
              <w:rPr>
                <w:sz w:val="20"/>
                <w:szCs w:val="20"/>
                <w:color w:val="auto"/>
              </w:rPr>
            </w:pPr>
            <w:r>
              <w:rPr>
                <w:rFonts w:ascii="Arial" w:cs="Arial" w:eastAsia="Arial" w:hAnsi="Arial"/>
                <w:sz w:val="12"/>
                <w:szCs w:val="12"/>
                <w:b w:val="1"/>
                <w:bCs w:val="1"/>
                <w:color w:val="auto"/>
              </w:rPr>
              <w:t>2005</w:t>
            </w:r>
          </w:p>
        </w:tc>
        <w:tc>
          <w:tcPr>
            <w:tcW w:w="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5"/>
              <w:spacing w:after="0"/>
              <w:rPr>
                <w:sz w:val="20"/>
                <w:szCs w:val="20"/>
                <w:color w:val="auto"/>
              </w:rPr>
            </w:pPr>
            <w:r>
              <w:rPr>
                <w:rFonts w:ascii="Arial" w:cs="Arial" w:eastAsia="Arial" w:hAnsi="Arial"/>
                <w:sz w:val="12"/>
                <w:szCs w:val="12"/>
                <w:b w:val="1"/>
                <w:bCs w:val="1"/>
                <w:color w:val="auto"/>
              </w:rPr>
              <w:t>2004</w:t>
            </w: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5"/>
              <w:spacing w:after="0"/>
              <w:rPr>
                <w:sz w:val="20"/>
                <w:szCs w:val="20"/>
                <w:color w:val="auto"/>
              </w:rPr>
            </w:pPr>
            <w:r>
              <w:rPr>
                <w:rFonts w:ascii="Arial" w:cs="Arial" w:eastAsia="Arial" w:hAnsi="Arial"/>
                <w:sz w:val="12"/>
                <w:szCs w:val="12"/>
                <w:b w:val="1"/>
                <w:bCs w:val="1"/>
                <w:color w:val="auto"/>
              </w:rPr>
              <w:t>2003</w:t>
            </w:r>
          </w:p>
        </w:tc>
        <w:tc>
          <w:tcPr>
            <w:tcW w:w="2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5"/>
              <w:spacing w:after="0"/>
              <w:rPr>
                <w:sz w:val="20"/>
                <w:szCs w:val="20"/>
                <w:color w:val="auto"/>
              </w:rPr>
            </w:pPr>
            <w:r>
              <w:rPr>
                <w:rFonts w:ascii="Arial" w:cs="Arial" w:eastAsia="Arial" w:hAnsi="Arial"/>
                <w:sz w:val="12"/>
                <w:szCs w:val="12"/>
                <w:b w:val="1"/>
                <w:bCs w:val="1"/>
                <w:color w:val="auto"/>
              </w:rPr>
              <w:t>2002</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center"/>
              <w:spacing w:after="0"/>
              <w:rPr>
                <w:sz w:val="20"/>
                <w:szCs w:val="20"/>
                <w:color w:val="auto"/>
              </w:rPr>
            </w:pPr>
            <w:r>
              <w:rPr>
                <w:rFonts w:ascii="Arial" w:cs="Arial" w:eastAsia="Arial" w:hAnsi="Arial"/>
                <w:sz w:val="12"/>
                <w:szCs w:val="12"/>
                <w:b w:val="1"/>
                <w:bCs w:val="1"/>
                <w:color w:val="auto"/>
                <w:w w:val="87"/>
              </w:rPr>
              <w:t>(In thousands)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80" w:type="dxa"/>
            <w:vAlign w:val="bottom"/>
          </w:tcPr>
          <w:p>
            <w:pPr>
              <w:spacing w:after="0"/>
              <w:rPr>
                <w:sz w:val="3"/>
                <w:szCs w:val="3"/>
                <w:color w:val="auto"/>
              </w:rPr>
            </w:pPr>
          </w:p>
        </w:tc>
        <w:tc>
          <w:tcPr>
            <w:tcW w:w="4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Interest income</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Loans and leases, including fees</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2,927,411</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2,420,660</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1,974,469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1,897,701</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1,670,412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Deposits at banks</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372</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169</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65</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147</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Federal funds sold</w:t>
            </w:r>
          </w:p>
        </w:tc>
        <w:tc>
          <w:tcPr>
            <w:tcW w:w="18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1,670</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807</w:t>
            </w:r>
          </w:p>
        </w:tc>
        <w:tc>
          <w:tcPr>
            <w:tcW w:w="1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123</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122</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Resell agreements</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3,927</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1,753</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Trading account</w:t>
            </w:r>
          </w:p>
        </w:tc>
        <w:tc>
          <w:tcPr>
            <w:tcW w:w="18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2,446</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1,544</w:t>
            </w:r>
          </w:p>
        </w:tc>
        <w:tc>
          <w:tcPr>
            <w:tcW w:w="1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375</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592</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Investment securities</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ind w:left="140"/>
              <w:spacing w:after="0"/>
              <w:rPr>
                <w:sz w:val="20"/>
                <w:szCs w:val="20"/>
                <w:color w:val="auto"/>
              </w:rPr>
            </w:pPr>
            <w:r>
              <w:rPr>
                <w:rFonts w:ascii="Arial" w:cs="Arial" w:eastAsia="Arial" w:hAnsi="Arial"/>
                <w:sz w:val="13"/>
                <w:szCs w:val="13"/>
                <w:color w:val="auto"/>
              </w:rPr>
              <w:t>Fully taxable</w:t>
            </w:r>
          </w:p>
        </w:tc>
        <w:tc>
          <w:tcPr>
            <w:tcW w:w="18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363,401</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351,423</w:t>
            </w:r>
          </w:p>
        </w:tc>
        <w:tc>
          <w:tcPr>
            <w:tcW w:w="1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309,141</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210,968</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148,221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Exempt from federal taxes</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14,866</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14,090</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14,548</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15,282</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18,733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ind w:left="140"/>
              <w:spacing w:after="0"/>
              <w:rPr>
                <w:sz w:val="20"/>
                <w:szCs w:val="20"/>
                <w:color w:val="auto"/>
              </w:rPr>
            </w:pPr>
            <w:r>
              <w:rPr>
                <w:rFonts w:ascii="Arial" w:cs="Arial" w:eastAsia="Arial" w:hAnsi="Arial"/>
                <w:sz w:val="13"/>
                <w:szCs w:val="13"/>
                <w:color w:val="auto"/>
              </w:rPr>
              <w:t>Total interest income</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3,314,093</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2,788,694</w:t>
            </w:r>
          </w:p>
        </w:tc>
        <w:tc>
          <w:tcPr>
            <w:tcW w:w="1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2,298,732</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2,126,565</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1,842,099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Interest expense</w:t>
            </w:r>
          </w:p>
        </w:tc>
        <w:tc>
          <w:tcPr>
            <w:tcW w:w="1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NOW accounts</w:t>
            </w:r>
          </w:p>
        </w:tc>
        <w:tc>
          <w:tcPr>
            <w:tcW w:w="18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3,461</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2,182</w:t>
            </w:r>
          </w:p>
        </w:tc>
        <w:tc>
          <w:tcPr>
            <w:tcW w:w="1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1,802</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3,613</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3,900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Savings deposits</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201,543</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139,445</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92,064</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102,190</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107,281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Time deposits</w:t>
            </w:r>
          </w:p>
        </w:tc>
        <w:tc>
          <w:tcPr>
            <w:tcW w:w="18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551,514</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294,782</w:t>
            </w:r>
          </w:p>
        </w:tc>
        <w:tc>
          <w:tcPr>
            <w:tcW w:w="1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154,722</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159,700</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237,001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Deposits at foreign office</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178,348</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120,122</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43,034</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14,991</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8,460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Short-term borrowings</w:t>
            </w:r>
          </w:p>
        </w:tc>
        <w:tc>
          <w:tcPr>
            <w:tcW w:w="18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227,850</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157,853</w:t>
            </w:r>
          </w:p>
        </w:tc>
        <w:tc>
          <w:tcPr>
            <w:tcW w:w="1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71,172</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49,064</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52,723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Long-term borrowings</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333,836</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279,967</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201,366</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198,252</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185,149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ind w:left="140"/>
              <w:spacing w:after="0"/>
              <w:rPr>
                <w:sz w:val="20"/>
                <w:szCs w:val="20"/>
                <w:color w:val="auto"/>
              </w:rPr>
            </w:pPr>
            <w:r>
              <w:rPr>
                <w:rFonts w:ascii="Arial" w:cs="Arial" w:eastAsia="Arial" w:hAnsi="Arial"/>
                <w:sz w:val="13"/>
                <w:szCs w:val="13"/>
                <w:color w:val="auto"/>
              </w:rPr>
              <w:t>Total interest expense</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1,496,552</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994,351</w:t>
            </w:r>
          </w:p>
        </w:tc>
        <w:tc>
          <w:tcPr>
            <w:tcW w:w="1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564,160</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527,810</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594,514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interest income</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1,817,541</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1,794,343</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1,734,572</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1,598,755</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1,247,585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Provision for credit losses</w:t>
            </w:r>
          </w:p>
        </w:tc>
        <w:tc>
          <w:tcPr>
            <w:tcW w:w="18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80,000</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88,000</w:t>
            </w:r>
          </w:p>
        </w:tc>
        <w:tc>
          <w:tcPr>
            <w:tcW w:w="1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95,000</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131,000</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122,000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Net interest income after provision for credit losses</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1,737,541</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1,706,343</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1,639,572</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1,467,755</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1,125,585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b w:val="1"/>
                <w:bCs w:val="1"/>
                <w:color w:val="auto"/>
              </w:rPr>
              <w:t>Other income</w:t>
            </w: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Mortgage banking revenues</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143,181</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136,114</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124,353</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149,105</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116,408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Service charges on deposit accounts</w:t>
            </w:r>
          </w:p>
        </w:tc>
        <w:tc>
          <w:tcPr>
            <w:tcW w:w="18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380,950</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369,918</w:t>
            </w:r>
          </w:p>
        </w:tc>
        <w:tc>
          <w:tcPr>
            <w:tcW w:w="1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366,301</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309,749</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167,531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Trust income</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140,781</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134,679</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136,296</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114,620</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60,030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Brokerage services income</w:t>
            </w:r>
          </w:p>
        </w:tc>
        <w:tc>
          <w:tcPr>
            <w:tcW w:w="18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60,295</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55,572</w:t>
            </w:r>
          </w:p>
        </w:tc>
        <w:tc>
          <w:tcPr>
            <w:tcW w:w="1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53,740</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51,184</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43,261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Trading account and foreign exchange gains</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24,761</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22,857</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19,435</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15,989</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2,860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Gain (loss) on bank investment securities</w:t>
            </w:r>
          </w:p>
        </w:tc>
        <w:tc>
          <w:tcPr>
            <w:tcW w:w="18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2,566</w:t>
            </w:r>
          </w:p>
        </w:tc>
        <w:tc>
          <w:tcPr>
            <w:tcW w:w="160" w:type="dxa"/>
            <w:vAlign w:val="bottom"/>
          </w:tcPr>
          <w:p>
            <w:pPr>
              <w:spacing w:after="0"/>
              <w:rPr>
                <w:sz w:val="13"/>
                <w:szCs w:val="1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(28,133)</w:t>
            </w:r>
          </w:p>
        </w:tc>
        <w:tc>
          <w:tcPr>
            <w:tcW w:w="1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2,874</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2,487</w:t>
            </w:r>
          </w:p>
        </w:tc>
        <w:tc>
          <w:tcPr>
            <w:tcW w:w="18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(608)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Other revenues from operations</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293,318</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258,711</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239,970</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187,961</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122,449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ind w:left="140"/>
              <w:spacing w:after="0"/>
              <w:rPr>
                <w:sz w:val="20"/>
                <w:szCs w:val="20"/>
                <w:color w:val="auto"/>
              </w:rPr>
            </w:pPr>
            <w:r>
              <w:rPr>
                <w:rFonts w:ascii="Arial" w:cs="Arial" w:eastAsia="Arial" w:hAnsi="Arial"/>
                <w:sz w:val="13"/>
                <w:szCs w:val="13"/>
                <w:color w:val="auto"/>
              </w:rPr>
              <w:t>Total other income</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1,045,852</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949,718</w:t>
            </w:r>
          </w:p>
        </w:tc>
        <w:tc>
          <w:tcPr>
            <w:tcW w:w="1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942,969</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831,095</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511,931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Other expense</w:t>
            </w:r>
          </w:p>
        </w:tc>
        <w:tc>
          <w:tcPr>
            <w:tcW w:w="1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Salaries and employee benefits</w:t>
            </w:r>
          </w:p>
        </w:tc>
        <w:tc>
          <w:tcPr>
            <w:tcW w:w="18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873,353</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822,239</w:t>
            </w:r>
          </w:p>
        </w:tc>
        <w:tc>
          <w:tcPr>
            <w:tcW w:w="1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806,552</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740,324</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496,990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Equipment and net occupancy</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168,776</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173,689</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179,595</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170,623</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107,822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Printing, postage and supplies</w:t>
            </w:r>
          </w:p>
        </w:tc>
        <w:tc>
          <w:tcPr>
            <w:tcW w:w="18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33,956</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33,743</w:t>
            </w:r>
          </w:p>
        </w:tc>
        <w:tc>
          <w:tcPr>
            <w:tcW w:w="1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34,476</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36,985</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25,378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core deposit and other intangible assets</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63,008</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56,805</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75,410</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78,152</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51,484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3"/>
                <w:szCs w:val="13"/>
                <w:color w:val="auto"/>
              </w:rPr>
              <w:t>Other costs of operations</w:t>
            </w:r>
          </w:p>
        </w:tc>
        <w:tc>
          <w:tcPr>
            <w:tcW w:w="18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412,658</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398,666</w:t>
            </w:r>
          </w:p>
        </w:tc>
        <w:tc>
          <w:tcPr>
            <w:tcW w:w="1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419,985</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422,096</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279,937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other expense</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1,551,751</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1,485,142</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1,516,018</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1,448,180</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961,611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spacing w:after="0"/>
              <w:rPr>
                <w:sz w:val="20"/>
                <w:szCs w:val="20"/>
                <w:color w:val="auto"/>
              </w:rPr>
            </w:pPr>
            <w:r>
              <w:rPr>
                <w:rFonts w:ascii="Arial" w:cs="Arial" w:eastAsia="Arial" w:hAnsi="Arial"/>
                <w:sz w:val="13"/>
                <w:szCs w:val="13"/>
                <w:color w:val="auto"/>
              </w:rPr>
              <w:t>Income before income taxes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1,231,642</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1,170,919</w:t>
            </w:r>
          </w:p>
        </w:tc>
        <w:tc>
          <w:tcPr>
            <w:tcW w:w="18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1,066,523</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850,670</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675,905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color w:val="auto"/>
              </w:rPr>
              <w:t>Income taxes</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392,453</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388,736</w:t>
            </w:r>
          </w:p>
        </w:tc>
        <w:tc>
          <w:tcPr>
            <w:tcW w:w="1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344,002</w:t>
            </w: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276,728</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219,153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700" w:type="dxa"/>
            <w:vAlign w:val="bottom"/>
            <w:vMerge w:val="restart"/>
          </w:tcPr>
          <w:p>
            <w:pPr>
              <w:spacing w:after="0"/>
              <w:rPr>
                <w:sz w:val="20"/>
                <w:szCs w:val="20"/>
                <w:color w:val="auto"/>
              </w:rPr>
            </w:pPr>
            <w:r>
              <w:rPr>
                <w:rFonts w:ascii="Arial" w:cs="Arial" w:eastAsia="Arial" w:hAnsi="Arial"/>
                <w:sz w:val="13"/>
                <w:szCs w:val="13"/>
                <w:b w:val="1"/>
                <w:bCs w:val="1"/>
                <w:color w:val="auto"/>
              </w:rPr>
              <w:t>Net income</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700" w:type="dxa"/>
            <w:vAlign w:val="bottom"/>
            <w:vMerge w:val="continue"/>
          </w:tcPr>
          <w:p>
            <w:pPr>
              <w:spacing w:after="0"/>
              <w:rPr>
                <w:sz w:val="13"/>
                <w:szCs w:val="13"/>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300"/>
              <w:spacing w:after="0"/>
              <w:rPr>
                <w:sz w:val="20"/>
                <w:szCs w:val="20"/>
                <w:color w:val="auto"/>
              </w:rPr>
            </w:pPr>
            <w:r>
              <w:rPr>
                <w:rFonts w:ascii="Arial" w:cs="Arial" w:eastAsia="Arial" w:hAnsi="Arial"/>
                <w:sz w:val="13"/>
                <w:szCs w:val="13"/>
                <w:color w:val="auto"/>
              </w:rPr>
              <w:t>839,189</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782,183</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722,521</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573,942</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456,752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Dividends declared — Common</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249,817</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198,619</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187,669</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135,423</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96,858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6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3"/>
          </w:tcPr>
          <w:p>
            <w:pPr>
              <w:jc w:val="right"/>
              <w:ind w:right="800"/>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47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4</w:t>
      </w:r>
    </w:p>
    <w:p>
      <w:pPr>
        <w:spacing w:after="0" w:line="252" w:lineRule="exact"/>
        <w:rPr>
          <w:sz w:val="20"/>
          <w:szCs w:val="20"/>
          <w:color w:val="auto"/>
        </w:rPr>
      </w:pPr>
    </w:p>
    <w:p>
      <w:pPr>
        <w:ind w:left="4540"/>
        <w:spacing w:after="0"/>
        <w:rPr>
          <w:sz w:val="20"/>
          <w:szCs w:val="20"/>
          <w:color w:val="auto"/>
        </w:rPr>
      </w:pPr>
      <w:r>
        <w:rPr>
          <w:rFonts w:ascii="Arial" w:cs="Arial" w:eastAsia="Arial" w:hAnsi="Arial"/>
          <w:sz w:val="14"/>
          <w:szCs w:val="14"/>
          <w:b w:val="1"/>
          <w:bCs w:val="1"/>
          <w:color w:val="auto"/>
        </w:rPr>
        <w:t>COMMON SHAREHOLDER DATA</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54"/>
        </w:trPr>
        <w:tc>
          <w:tcPr>
            <w:tcW w:w="6640" w:type="dxa"/>
            <w:vAlign w:val="bottom"/>
          </w:tcPr>
          <w:p>
            <w:pPr>
              <w:spacing w:after="0"/>
              <w:rPr>
                <w:sz w:val="13"/>
                <w:szCs w:val="13"/>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2"/>
                <w:szCs w:val="12"/>
                <w:b w:val="1"/>
                <w:bCs w:val="1"/>
                <w:color w:val="auto"/>
              </w:rPr>
              <w:t>2006</w:t>
            </w:r>
          </w:p>
        </w:tc>
        <w:tc>
          <w:tcPr>
            <w:tcW w:w="300" w:type="dxa"/>
            <w:vAlign w:val="bottom"/>
          </w:tcPr>
          <w:p>
            <w:pPr>
              <w:spacing w:after="0"/>
              <w:rPr>
                <w:sz w:val="13"/>
                <w:szCs w:val="13"/>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2"/>
                <w:szCs w:val="12"/>
                <w:b w:val="1"/>
                <w:bCs w:val="1"/>
                <w:color w:val="auto"/>
              </w:rPr>
              <w:t>2005</w:t>
            </w:r>
          </w:p>
        </w:tc>
        <w:tc>
          <w:tcPr>
            <w:tcW w:w="320" w:type="dxa"/>
            <w:vAlign w:val="bottom"/>
          </w:tcPr>
          <w:p>
            <w:pPr>
              <w:spacing w:after="0"/>
              <w:rPr>
                <w:sz w:val="13"/>
                <w:szCs w:val="13"/>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2"/>
                <w:szCs w:val="12"/>
                <w:b w:val="1"/>
                <w:bCs w:val="1"/>
                <w:color w:val="auto"/>
              </w:rPr>
              <w:t>2004</w:t>
            </w:r>
          </w:p>
        </w:tc>
        <w:tc>
          <w:tcPr>
            <w:tcW w:w="300" w:type="dxa"/>
            <w:vAlign w:val="bottom"/>
          </w:tcPr>
          <w:p>
            <w:pPr>
              <w:spacing w:after="0"/>
              <w:rPr>
                <w:sz w:val="13"/>
                <w:szCs w:val="13"/>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2"/>
                <w:szCs w:val="12"/>
                <w:b w:val="1"/>
                <w:bCs w:val="1"/>
                <w:color w:val="auto"/>
              </w:rPr>
              <w:t>2003</w:t>
            </w:r>
          </w:p>
        </w:tc>
        <w:tc>
          <w:tcPr>
            <w:tcW w:w="320" w:type="dxa"/>
            <w:vAlign w:val="bottom"/>
          </w:tcPr>
          <w:p>
            <w:pPr>
              <w:spacing w:after="0"/>
              <w:rPr>
                <w:sz w:val="13"/>
                <w:szCs w:val="13"/>
                <w:color w:val="auto"/>
              </w:rPr>
            </w:pP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2"/>
                <w:szCs w:val="12"/>
                <w:b w:val="1"/>
                <w:bCs w:val="1"/>
                <w:color w:val="auto"/>
              </w:rPr>
              <w:t>2002</w:t>
            </w:r>
          </w:p>
        </w:tc>
        <w:tc>
          <w:tcPr>
            <w:tcW w:w="120" w:type="dxa"/>
            <w:vAlign w:val="bottom"/>
          </w:tcPr>
          <w:p>
            <w:pPr>
              <w:spacing w:after="0"/>
              <w:rPr>
                <w:sz w:val="13"/>
                <w:szCs w:val="13"/>
                <w:color w:val="auto"/>
              </w:rPr>
            </w:pPr>
          </w:p>
        </w:tc>
      </w:tr>
      <w:tr>
        <w:trPr>
          <w:trHeight w:val="32"/>
        </w:trPr>
        <w:tc>
          <w:tcPr>
            <w:tcW w:w="66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6640" w:type="dxa"/>
            <w:vAlign w:val="bottom"/>
            <w:shd w:val="clear" w:color="auto" w:fill="CCEEFF"/>
          </w:tcPr>
          <w:p>
            <w:pPr>
              <w:spacing w:after="0"/>
              <w:rPr>
                <w:sz w:val="20"/>
                <w:szCs w:val="20"/>
                <w:color w:val="auto"/>
              </w:rPr>
            </w:pPr>
            <w:r>
              <w:rPr>
                <w:rFonts w:ascii="Arial" w:cs="Arial" w:eastAsia="Arial" w:hAnsi="Arial"/>
                <w:sz w:val="13"/>
                <w:szCs w:val="13"/>
                <w:color w:val="auto"/>
              </w:rPr>
              <w:t>Per share</w:t>
            </w: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664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6640" w:type="dxa"/>
            <w:vAlign w:val="bottom"/>
            <w:shd w:val="clear" w:color="auto" w:fill="CCEEFF"/>
          </w:tcPr>
          <w:p>
            <w:pPr>
              <w:ind w:left="280"/>
              <w:spacing w:after="0"/>
              <w:rPr>
                <w:sz w:val="20"/>
                <w:szCs w:val="20"/>
                <w:color w:val="auto"/>
              </w:rPr>
            </w:pPr>
            <w:r>
              <w:rPr>
                <w:rFonts w:ascii="Arial" w:cs="Arial" w:eastAsia="Arial" w:hAnsi="Arial"/>
                <w:sz w:val="13"/>
                <w:szCs w:val="13"/>
                <w:color w:val="auto"/>
              </w:rPr>
              <w:t>Basic</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5"/>
              </w:rPr>
              <w:t>$  7.55</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w w:val="95"/>
              </w:rPr>
              <w:t>$  6.88</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5"/>
              </w:rPr>
              <w:t>$  6.14</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w w:val="95"/>
              </w:rPr>
              <w:t>$  5.08</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0"/>
              </w:rPr>
              <w:t>$  4.94</w:t>
            </w:r>
          </w:p>
        </w:tc>
      </w:tr>
      <w:tr>
        <w:trPr>
          <w:trHeight w:val="157"/>
        </w:trPr>
        <w:tc>
          <w:tcPr>
            <w:tcW w:w="6640" w:type="dxa"/>
            <w:vAlign w:val="bottom"/>
          </w:tcPr>
          <w:p>
            <w:pPr>
              <w:ind w:left="280"/>
              <w:spacing w:after="0"/>
              <w:rPr>
                <w:sz w:val="20"/>
                <w:szCs w:val="20"/>
                <w:color w:val="auto"/>
              </w:rPr>
            </w:pPr>
            <w:r>
              <w:rPr>
                <w:rFonts w:ascii="Arial" w:cs="Arial" w:eastAsia="Arial" w:hAnsi="Arial"/>
                <w:sz w:val="13"/>
                <w:szCs w:val="13"/>
                <w:color w:val="auto"/>
              </w:rPr>
              <w:t>Diluted</w:t>
            </w:r>
          </w:p>
        </w:tc>
        <w:tc>
          <w:tcPr>
            <w:tcW w:w="700" w:type="dxa"/>
            <w:vAlign w:val="bottom"/>
            <w:gridSpan w:val="2"/>
          </w:tcPr>
          <w:p>
            <w:pPr>
              <w:jc w:val="right"/>
              <w:ind w:right="300"/>
              <w:spacing w:after="0"/>
              <w:rPr>
                <w:sz w:val="20"/>
                <w:szCs w:val="20"/>
                <w:color w:val="auto"/>
              </w:rPr>
            </w:pPr>
            <w:r>
              <w:rPr>
                <w:rFonts w:ascii="Arial" w:cs="Arial" w:eastAsia="Arial" w:hAnsi="Arial"/>
                <w:sz w:val="13"/>
                <w:szCs w:val="13"/>
                <w:color w:val="auto"/>
              </w:rPr>
              <w:t>7.37</w:t>
            </w:r>
          </w:p>
        </w:tc>
        <w:tc>
          <w:tcPr>
            <w:tcW w:w="720" w:type="dxa"/>
            <w:vAlign w:val="bottom"/>
            <w:gridSpan w:val="2"/>
          </w:tcPr>
          <w:p>
            <w:pPr>
              <w:jc w:val="right"/>
              <w:ind w:right="320"/>
              <w:spacing w:after="0"/>
              <w:rPr>
                <w:sz w:val="20"/>
                <w:szCs w:val="20"/>
                <w:color w:val="auto"/>
              </w:rPr>
            </w:pPr>
            <w:r>
              <w:rPr>
                <w:rFonts w:ascii="Arial" w:cs="Arial" w:eastAsia="Arial" w:hAnsi="Arial"/>
                <w:sz w:val="13"/>
                <w:szCs w:val="13"/>
                <w:color w:val="auto"/>
              </w:rPr>
              <w:t>6.73</w:t>
            </w:r>
          </w:p>
        </w:tc>
        <w:tc>
          <w:tcPr>
            <w:tcW w:w="700" w:type="dxa"/>
            <w:vAlign w:val="bottom"/>
            <w:gridSpan w:val="2"/>
          </w:tcPr>
          <w:p>
            <w:pPr>
              <w:jc w:val="right"/>
              <w:ind w:right="300"/>
              <w:spacing w:after="0"/>
              <w:rPr>
                <w:sz w:val="20"/>
                <w:szCs w:val="20"/>
                <w:color w:val="auto"/>
              </w:rPr>
            </w:pPr>
            <w:r>
              <w:rPr>
                <w:rFonts w:ascii="Arial" w:cs="Arial" w:eastAsia="Arial" w:hAnsi="Arial"/>
                <w:sz w:val="13"/>
                <w:szCs w:val="13"/>
                <w:color w:val="auto"/>
              </w:rPr>
              <w:t>6.00</w:t>
            </w:r>
          </w:p>
        </w:tc>
        <w:tc>
          <w:tcPr>
            <w:tcW w:w="720" w:type="dxa"/>
            <w:vAlign w:val="bottom"/>
            <w:gridSpan w:val="2"/>
          </w:tcPr>
          <w:p>
            <w:pPr>
              <w:jc w:val="right"/>
              <w:ind w:right="320"/>
              <w:spacing w:after="0"/>
              <w:rPr>
                <w:sz w:val="20"/>
                <w:szCs w:val="20"/>
                <w:color w:val="auto"/>
              </w:rPr>
            </w:pPr>
            <w:r>
              <w:rPr>
                <w:rFonts w:ascii="Arial" w:cs="Arial" w:eastAsia="Arial" w:hAnsi="Arial"/>
                <w:sz w:val="13"/>
                <w:szCs w:val="13"/>
                <w:color w:val="auto"/>
              </w:rPr>
              <w:t>4.95</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4.78</w:t>
            </w:r>
          </w:p>
        </w:tc>
      </w:tr>
      <w:tr>
        <w:trPr>
          <w:trHeight w:val="157"/>
        </w:trPr>
        <w:tc>
          <w:tcPr>
            <w:tcW w:w="6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dividends declared</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2.25</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1.75</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1.60</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1.20</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1.05</w:t>
            </w:r>
          </w:p>
        </w:tc>
      </w:tr>
      <w:tr>
        <w:trPr>
          <w:trHeight w:val="157"/>
        </w:trPr>
        <w:tc>
          <w:tcPr>
            <w:tcW w:w="6640" w:type="dxa"/>
            <w:vAlign w:val="bottom"/>
          </w:tcPr>
          <w:p>
            <w:pPr>
              <w:ind w:left="140"/>
              <w:spacing w:after="0"/>
              <w:rPr>
                <w:sz w:val="20"/>
                <w:szCs w:val="20"/>
                <w:color w:val="auto"/>
              </w:rPr>
            </w:pPr>
            <w:r>
              <w:rPr>
                <w:rFonts w:ascii="Arial" w:cs="Arial" w:eastAsia="Arial" w:hAnsi="Arial"/>
                <w:sz w:val="13"/>
                <w:szCs w:val="13"/>
                <w:color w:val="auto"/>
              </w:rPr>
              <w:t>Stockholders’ equity at year-end</w:t>
            </w:r>
          </w:p>
        </w:tc>
        <w:tc>
          <w:tcPr>
            <w:tcW w:w="700" w:type="dxa"/>
            <w:vAlign w:val="bottom"/>
            <w:gridSpan w:val="2"/>
          </w:tcPr>
          <w:p>
            <w:pPr>
              <w:jc w:val="right"/>
              <w:ind w:right="300"/>
              <w:spacing w:after="0"/>
              <w:rPr>
                <w:sz w:val="20"/>
                <w:szCs w:val="20"/>
                <w:color w:val="auto"/>
              </w:rPr>
            </w:pPr>
            <w:r>
              <w:rPr>
                <w:rFonts w:ascii="Arial" w:cs="Arial" w:eastAsia="Arial" w:hAnsi="Arial"/>
                <w:sz w:val="13"/>
                <w:szCs w:val="13"/>
                <w:color w:val="auto"/>
              </w:rPr>
              <w:t>56.94</w:t>
            </w:r>
          </w:p>
        </w:tc>
        <w:tc>
          <w:tcPr>
            <w:tcW w:w="720" w:type="dxa"/>
            <w:vAlign w:val="bottom"/>
            <w:gridSpan w:val="2"/>
          </w:tcPr>
          <w:p>
            <w:pPr>
              <w:jc w:val="right"/>
              <w:ind w:right="320"/>
              <w:spacing w:after="0"/>
              <w:rPr>
                <w:sz w:val="20"/>
                <w:szCs w:val="20"/>
                <w:color w:val="auto"/>
              </w:rPr>
            </w:pPr>
            <w:r>
              <w:rPr>
                <w:rFonts w:ascii="Arial" w:cs="Arial" w:eastAsia="Arial" w:hAnsi="Arial"/>
                <w:sz w:val="13"/>
                <w:szCs w:val="13"/>
                <w:color w:val="auto"/>
              </w:rPr>
              <w:t>52.39</w:t>
            </w:r>
          </w:p>
        </w:tc>
        <w:tc>
          <w:tcPr>
            <w:tcW w:w="700" w:type="dxa"/>
            <w:vAlign w:val="bottom"/>
            <w:gridSpan w:val="2"/>
          </w:tcPr>
          <w:p>
            <w:pPr>
              <w:jc w:val="right"/>
              <w:ind w:right="300"/>
              <w:spacing w:after="0"/>
              <w:rPr>
                <w:sz w:val="20"/>
                <w:szCs w:val="20"/>
                <w:color w:val="auto"/>
              </w:rPr>
            </w:pPr>
            <w:r>
              <w:rPr>
                <w:rFonts w:ascii="Arial" w:cs="Arial" w:eastAsia="Arial" w:hAnsi="Arial"/>
                <w:sz w:val="13"/>
                <w:szCs w:val="13"/>
                <w:color w:val="auto"/>
              </w:rPr>
              <w:t>49.68</w:t>
            </w:r>
          </w:p>
        </w:tc>
        <w:tc>
          <w:tcPr>
            <w:tcW w:w="720" w:type="dxa"/>
            <w:vAlign w:val="bottom"/>
            <w:gridSpan w:val="2"/>
          </w:tcPr>
          <w:p>
            <w:pPr>
              <w:jc w:val="right"/>
              <w:ind w:right="320"/>
              <w:spacing w:after="0"/>
              <w:rPr>
                <w:sz w:val="20"/>
                <w:szCs w:val="20"/>
                <w:color w:val="auto"/>
              </w:rPr>
            </w:pPr>
            <w:r>
              <w:rPr>
                <w:rFonts w:ascii="Arial" w:cs="Arial" w:eastAsia="Arial" w:hAnsi="Arial"/>
                <w:sz w:val="13"/>
                <w:szCs w:val="13"/>
                <w:color w:val="auto"/>
              </w:rPr>
              <w:t>47.55</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34.82</w:t>
            </w:r>
          </w:p>
        </w:tc>
      </w:tr>
      <w:tr>
        <w:trPr>
          <w:trHeight w:val="157"/>
        </w:trPr>
        <w:tc>
          <w:tcPr>
            <w:tcW w:w="6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Tangible stockholders’ equity at year-end</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28.57</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25.91</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23.62</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21.97</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22.04</w:t>
            </w:r>
          </w:p>
        </w:tc>
      </w:tr>
      <w:tr>
        <w:trPr>
          <w:trHeight w:val="165"/>
        </w:trPr>
        <w:tc>
          <w:tcPr>
            <w:tcW w:w="6640" w:type="dxa"/>
            <w:vAlign w:val="bottom"/>
          </w:tcPr>
          <w:p>
            <w:pPr>
              <w:ind w:left="140"/>
              <w:spacing w:after="0"/>
              <w:rPr>
                <w:sz w:val="20"/>
                <w:szCs w:val="20"/>
                <w:color w:val="auto"/>
              </w:rPr>
            </w:pPr>
            <w:r>
              <w:rPr>
                <w:rFonts w:ascii="Arial" w:cs="Arial" w:eastAsia="Arial" w:hAnsi="Arial"/>
                <w:sz w:val="13"/>
                <w:szCs w:val="13"/>
                <w:color w:val="auto"/>
              </w:rPr>
              <w:t>Dividend payout ratio</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29.79%</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25.42%</w:t>
            </w: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26.00%</w:t>
            </w: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23.62%</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21.24%</w:t>
            </w:r>
          </w:p>
        </w:tc>
      </w:tr>
    </w:tbl>
    <w:p>
      <w:pPr>
        <w:spacing w:after="0" w:line="14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5</w:t>
      </w:r>
    </w:p>
    <w:p>
      <w:pPr>
        <w:spacing w:after="0" w:line="173" w:lineRule="exact"/>
        <w:rPr>
          <w:sz w:val="20"/>
          <w:szCs w:val="20"/>
          <w:color w:val="auto"/>
        </w:rPr>
      </w:pPr>
    </w:p>
    <w:p>
      <w:pPr>
        <w:ind w:left="3900"/>
        <w:spacing w:after="0"/>
        <w:rPr>
          <w:sz w:val="20"/>
          <w:szCs w:val="20"/>
          <w:color w:val="auto"/>
        </w:rPr>
      </w:pPr>
      <w:r>
        <w:rPr>
          <w:rFonts w:ascii="Arial" w:cs="Arial" w:eastAsia="Arial" w:hAnsi="Arial"/>
          <w:sz w:val="14"/>
          <w:szCs w:val="14"/>
          <w:b w:val="1"/>
          <w:bCs w:val="1"/>
          <w:color w:val="auto"/>
        </w:rPr>
        <w:t>CHANGES IN INTEREST INCOME AND EXPENSE(a)</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54"/>
        </w:trPr>
        <w:tc>
          <w:tcPr>
            <w:tcW w:w="13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00" w:type="dxa"/>
            <w:vAlign w:val="bottom"/>
            <w:gridSpan w:val="7"/>
          </w:tcPr>
          <w:p>
            <w:pPr>
              <w:ind w:left="500"/>
              <w:spacing w:after="0"/>
              <w:rPr>
                <w:sz w:val="20"/>
                <w:szCs w:val="20"/>
                <w:color w:val="auto"/>
              </w:rPr>
            </w:pPr>
            <w:r>
              <w:rPr>
                <w:rFonts w:ascii="Arial" w:cs="Arial" w:eastAsia="Arial" w:hAnsi="Arial"/>
                <w:sz w:val="12"/>
                <w:szCs w:val="12"/>
                <w:b w:val="1"/>
                <w:bCs w:val="1"/>
                <w:color w:val="auto"/>
              </w:rPr>
              <w:t>2006 Compared with 2005</w:t>
            </w:r>
          </w:p>
        </w:tc>
        <w:tc>
          <w:tcPr>
            <w:tcW w:w="120" w:type="dxa"/>
            <w:vAlign w:val="bottom"/>
          </w:tcPr>
          <w:p>
            <w:pPr>
              <w:spacing w:after="0"/>
              <w:rPr>
                <w:sz w:val="13"/>
                <w:szCs w:val="13"/>
                <w:color w:val="auto"/>
              </w:rPr>
            </w:pPr>
          </w:p>
        </w:tc>
        <w:tc>
          <w:tcPr>
            <w:tcW w:w="1840" w:type="dxa"/>
            <w:vAlign w:val="bottom"/>
            <w:gridSpan w:val="5"/>
          </w:tcPr>
          <w:p>
            <w:pPr>
              <w:ind w:left="460"/>
              <w:spacing w:after="0"/>
              <w:rPr>
                <w:sz w:val="20"/>
                <w:szCs w:val="20"/>
                <w:color w:val="auto"/>
              </w:rPr>
            </w:pPr>
            <w:r>
              <w:rPr>
                <w:rFonts w:ascii="Arial" w:cs="Arial" w:eastAsia="Arial" w:hAnsi="Arial"/>
                <w:sz w:val="12"/>
                <w:szCs w:val="12"/>
                <w:b w:val="1"/>
                <w:bCs w:val="1"/>
                <w:color w:val="auto"/>
                <w:w w:val="92"/>
              </w:rPr>
              <w:t>2005 Compared with 2004</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0"/>
        </w:trPr>
        <w:tc>
          <w:tcPr>
            <w:tcW w:w="13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2"/>
                <w:szCs w:val="12"/>
                <w:b w:val="1"/>
                <w:bCs w:val="1"/>
                <w:color w:val="auto"/>
              </w:rPr>
              <w:t>Total</w:t>
            </w:r>
          </w:p>
        </w:tc>
        <w:tc>
          <w:tcPr>
            <w:tcW w:w="1520" w:type="dxa"/>
            <w:vAlign w:val="bottom"/>
            <w:tcBorders>
              <w:top w:val="single" w:sz="8" w:color="auto"/>
              <w:bottom w:val="single" w:sz="8" w:color="auto"/>
            </w:tcBorders>
            <w:gridSpan w:val="4"/>
          </w:tcPr>
          <w:p>
            <w:pPr>
              <w:jc w:val="right"/>
              <w:ind w:right="1"/>
              <w:spacing w:after="0"/>
              <w:rPr>
                <w:sz w:val="20"/>
                <w:szCs w:val="20"/>
                <w:color w:val="auto"/>
              </w:rPr>
            </w:pPr>
            <w:r>
              <w:rPr>
                <w:rFonts w:ascii="Arial" w:cs="Arial" w:eastAsia="Arial" w:hAnsi="Arial"/>
                <w:sz w:val="12"/>
                <w:szCs w:val="12"/>
                <w:b w:val="1"/>
                <w:bCs w:val="1"/>
                <w:color w:val="auto"/>
                <w:w w:val="91"/>
              </w:rPr>
              <w:t>Resulting from Changes in:</w:t>
            </w: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2"/>
                <w:szCs w:val="12"/>
                <w:b w:val="1"/>
                <w:bCs w:val="1"/>
                <w:color w:val="auto"/>
              </w:rPr>
              <w:t>Total</w:t>
            </w:r>
          </w:p>
        </w:tc>
        <w:tc>
          <w:tcPr>
            <w:tcW w:w="1460" w:type="dxa"/>
            <w:vAlign w:val="bottom"/>
            <w:tcBorders>
              <w:top w:val="single" w:sz="8" w:color="auto"/>
              <w:bottom w:val="single" w:sz="8" w:color="auto"/>
            </w:tcBorders>
            <w:gridSpan w:val="4"/>
          </w:tcPr>
          <w:p>
            <w:pPr>
              <w:ind w:left="40"/>
              <w:spacing w:after="0"/>
              <w:rPr>
                <w:sz w:val="20"/>
                <w:szCs w:val="20"/>
                <w:color w:val="auto"/>
              </w:rPr>
            </w:pPr>
            <w:r>
              <w:rPr>
                <w:rFonts w:ascii="Arial" w:cs="Arial" w:eastAsia="Arial" w:hAnsi="Arial"/>
                <w:sz w:val="12"/>
                <w:szCs w:val="12"/>
                <w:b w:val="1"/>
                <w:bCs w:val="1"/>
                <w:color w:val="auto"/>
                <w:w w:val="89"/>
              </w:rPr>
              <w:t>Resulting from Changes in:</w:t>
            </w:r>
          </w:p>
        </w:tc>
        <w:tc>
          <w:tcPr>
            <w:tcW w:w="100" w:type="dxa"/>
            <w:vAlign w:val="bottom"/>
          </w:tcPr>
          <w:p>
            <w:pPr>
              <w:spacing w:after="0"/>
              <w:rPr>
                <w:sz w:val="12"/>
                <w:szCs w:val="12"/>
                <w:color w:val="auto"/>
              </w:rPr>
            </w:pPr>
          </w:p>
        </w:tc>
      </w:tr>
      <w:tr>
        <w:trPr>
          <w:trHeight w:val="137"/>
        </w:trPr>
        <w:tc>
          <w:tcPr>
            <w:tcW w:w="130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96"/>
              <w:spacing w:after="0" w:line="132" w:lineRule="exact"/>
              <w:rPr>
                <w:sz w:val="20"/>
                <w:szCs w:val="20"/>
                <w:color w:val="auto"/>
              </w:rPr>
            </w:pPr>
            <w:r>
              <w:rPr>
                <w:rFonts w:ascii="Arial" w:cs="Arial" w:eastAsia="Arial" w:hAnsi="Arial"/>
                <w:sz w:val="12"/>
                <w:szCs w:val="12"/>
                <w:b w:val="1"/>
                <w:bCs w:val="1"/>
                <w:color w:val="auto"/>
                <w:w w:val="95"/>
              </w:rPr>
              <w:t>Change</w:t>
            </w:r>
          </w:p>
        </w:tc>
        <w:tc>
          <w:tcPr>
            <w:tcW w:w="300" w:type="dxa"/>
            <w:vAlign w:val="bottom"/>
          </w:tcPr>
          <w:p>
            <w:pPr>
              <w:spacing w:after="0"/>
              <w:rPr>
                <w:sz w:val="11"/>
                <w:szCs w:val="11"/>
                <w:color w:val="auto"/>
              </w:rPr>
            </w:pPr>
          </w:p>
        </w:tc>
        <w:tc>
          <w:tcPr>
            <w:tcW w:w="620" w:type="dxa"/>
            <w:vAlign w:val="bottom"/>
            <w:tcBorders>
              <w:bottom w:val="single" w:sz="8" w:color="auto"/>
            </w:tcBorders>
          </w:tcPr>
          <w:p>
            <w:pPr>
              <w:jc w:val="right"/>
              <w:ind w:right="55"/>
              <w:spacing w:after="0"/>
              <w:rPr>
                <w:sz w:val="20"/>
                <w:szCs w:val="20"/>
                <w:color w:val="auto"/>
              </w:rPr>
            </w:pPr>
            <w:r>
              <w:rPr>
                <w:rFonts w:ascii="Arial" w:cs="Arial" w:eastAsia="Arial" w:hAnsi="Arial"/>
                <w:sz w:val="12"/>
                <w:szCs w:val="12"/>
                <w:b w:val="1"/>
                <w:bCs w:val="1"/>
                <w:color w:val="auto"/>
              </w:rPr>
              <w:t>Volume</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Borders>
              <w:bottom w:val="single" w:sz="8" w:color="auto"/>
            </w:tcBorders>
          </w:tcPr>
          <w:p>
            <w:pPr>
              <w:jc w:val="right"/>
              <w:ind w:right="121"/>
              <w:spacing w:after="0"/>
              <w:rPr>
                <w:sz w:val="20"/>
                <w:szCs w:val="20"/>
                <w:color w:val="auto"/>
              </w:rPr>
            </w:pPr>
            <w:r>
              <w:rPr>
                <w:rFonts w:ascii="Arial" w:cs="Arial" w:eastAsia="Arial" w:hAnsi="Arial"/>
                <w:sz w:val="12"/>
                <w:szCs w:val="12"/>
                <w:b w:val="1"/>
                <w:bCs w:val="1"/>
                <w:color w:val="auto"/>
              </w:rPr>
              <w:t>Rate</w:t>
            </w: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96"/>
              <w:spacing w:after="0" w:line="132" w:lineRule="exact"/>
              <w:rPr>
                <w:sz w:val="20"/>
                <w:szCs w:val="20"/>
                <w:color w:val="auto"/>
              </w:rPr>
            </w:pPr>
            <w:r>
              <w:rPr>
                <w:rFonts w:ascii="Arial" w:cs="Arial" w:eastAsia="Arial" w:hAnsi="Arial"/>
                <w:sz w:val="12"/>
                <w:szCs w:val="12"/>
                <w:b w:val="1"/>
                <w:bCs w:val="1"/>
                <w:color w:val="auto"/>
                <w:w w:val="90"/>
              </w:rPr>
              <w:t>Change</w:t>
            </w:r>
          </w:p>
        </w:tc>
        <w:tc>
          <w:tcPr>
            <w:tcW w:w="300" w:type="dxa"/>
            <w:vAlign w:val="bottom"/>
          </w:tcPr>
          <w:p>
            <w:pPr>
              <w:spacing w:after="0"/>
              <w:rPr>
                <w:sz w:val="11"/>
                <w:szCs w:val="11"/>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Volume</w:t>
            </w: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Rate</w:t>
            </w:r>
          </w:p>
        </w:tc>
        <w:tc>
          <w:tcPr>
            <w:tcW w:w="100" w:type="dxa"/>
            <w:vAlign w:val="bottom"/>
          </w:tcPr>
          <w:p>
            <w:pPr>
              <w:spacing w:after="0"/>
              <w:rPr>
                <w:sz w:val="11"/>
                <w:szCs w:val="11"/>
                <w:color w:val="auto"/>
              </w:rPr>
            </w:pPr>
          </w:p>
        </w:tc>
      </w:tr>
      <w:tr>
        <w:trPr>
          <w:trHeight w:val="141"/>
        </w:trPr>
        <w:tc>
          <w:tcPr>
            <w:tcW w:w="130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6"/>
          </w:tcPr>
          <w:p>
            <w:pPr>
              <w:jc w:val="right"/>
              <w:ind w:right="320"/>
              <w:spacing w:after="0"/>
              <w:rPr>
                <w:sz w:val="20"/>
                <w:szCs w:val="20"/>
                <w:color w:val="auto"/>
              </w:rPr>
            </w:pPr>
            <w:r>
              <w:rPr>
                <w:rFonts w:ascii="Arial" w:cs="Arial" w:eastAsia="Arial" w:hAnsi="Arial"/>
                <w:sz w:val="12"/>
                <w:szCs w:val="12"/>
                <w:b w:val="1"/>
                <w:bCs w:val="1"/>
                <w:color w:val="auto"/>
                <w:w w:val="87"/>
              </w:rPr>
              <w:t>(Increase (decrease) in thousands)</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36"/>
        </w:trPr>
        <w:tc>
          <w:tcPr>
            <w:tcW w:w="130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income</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4600" w:type="dxa"/>
            <w:vAlign w:val="bottom"/>
            <w:gridSpan w:val="2"/>
          </w:tcPr>
          <w:p>
            <w:pPr>
              <w:spacing w:after="0"/>
              <w:rPr>
                <w:sz w:val="20"/>
                <w:szCs w:val="20"/>
                <w:color w:val="auto"/>
              </w:rPr>
            </w:pPr>
            <w:r>
              <w:rPr>
                <w:rFonts w:ascii="Arial" w:cs="Arial" w:eastAsia="Arial" w:hAnsi="Arial"/>
                <w:sz w:val="13"/>
                <w:szCs w:val="13"/>
                <w:color w:val="auto"/>
              </w:rPr>
              <w:t>Loans and leases, including fees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508,777</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121,931</w:t>
            </w:r>
          </w:p>
        </w:tc>
        <w:tc>
          <w:tcPr>
            <w:tcW w:w="1080" w:type="dxa"/>
            <w:vAlign w:val="bottom"/>
            <w:gridSpan w:val="3"/>
          </w:tcPr>
          <w:p>
            <w:pPr>
              <w:jc w:val="right"/>
              <w:ind w:right="280"/>
              <w:spacing w:after="0"/>
              <w:rPr>
                <w:sz w:val="20"/>
                <w:szCs w:val="20"/>
                <w:color w:val="auto"/>
              </w:rPr>
            </w:pPr>
            <w:r>
              <w:rPr>
                <w:rFonts w:ascii="Arial" w:cs="Arial" w:eastAsia="Arial" w:hAnsi="Arial"/>
                <w:sz w:val="13"/>
                <w:szCs w:val="13"/>
                <w:color w:val="auto"/>
              </w:rPr>
              <w:t>386,846</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446,762</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133,491</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313,271</w:t>
            </w: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Deposits at banks</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203</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164</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104</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119</w:t>
            </w:r>
          </w:p>
        </w:tc>
      </w:tr>
      <w:tr>
        <w:trPr>
          <w:trHeight w:val="157"/>
        </w:trPr>
        <w:tc>
          <w:tcPr>
            <w:tcW w:w="4600" w:type="dxa"/>
            <w:vAlign w:val="bottom"/>
            <w:gridSpan w:val="2"/>
          </w:tcPr>
          <w:p>
            <w:pPr>
              <w:spacing w:after="0"/>
              <w:rPr>
                <w:sz w:val="20"/>
                <w:szCs w:val="20"/>
                <w:color w:val="auto"/>
              </w:rPr>
            </w:pPr>
            <w:r>
              <w:rPr>
                <w:rFonts w:ascii="Arial" w:cs="Arial" w:eastAsia="Arial" w:hAnsi="Arial"/>
                <w:sz w:val="13"/>
                <w:szCs w:val="13"/>
                <w:color w:val="auto"/>
              </w:rPr>
              <w:t>Federal funds sold and agreements to resell securities</w:t>
            </w:r>
          </w:p>
        </w:tc>
        <w:tc>
          <w:tcPr>
            <w:tcW w:w="12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4,789</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3,495</w:t>
            </w:r>
          </w:p>
        </w:tc>
        <w:tc>
          <w:tcPr>
            <w:tcW w:w="1080" w:type="dxa"/>
            <w:vAlign w:val="bottom"/>
            <w:gridSpan w:val="3"/>
          </w:tcPr>
          <w:p>
            <w:pPr>
              <w:jc w:val="right"/>
              <w:ind w:right="280"/>
              <w:spacing w:after="0"/>
              <w:rPr>
                <w:sz w:val="20"/>
                <w:szCs w:val="20"/>
                <w:color w:val="auto"/>
              </w:rPr>
            </w:pPr>
            <w:r>
              <w:rPr>
                <w:rFonts w:ascii="Arial" w:cs="Arial" w:eastAsia="Arial" w:hAnsi="Arial"/>
                <w:sz w:val="13"/>
                <w:szCs w:val="13"/>
                <w:color w:val="auto"/>
              </w:rPr>
              <w:t>1,294</w:t>
            </w:r>
          </w:p>
        </w:tc>
        <w:tc>
          <w:tcPr>
            <w:tcW w:w="120" w:type="dxa"/>
            <w:vAlign w:val="bottom"/>
          </w:tcPr>
          <w:p>
            <w:pPr>
              <w:spacing w:after="0"/>
              <w:rPr>
                <w:sz w:val="13"/>
                <w:szCs w:val="1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674</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392</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282</w:t>
            </w: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Trading account</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902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204</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698</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1,126</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301</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825</w:t>
            </w:r>
          </w:p>
        </w:tc>
      </w:tr>
      <w:tr>
        <w:trPr>
          <w:trHeight w:val="157"/>
        </w:trPr>
        <w:tc>
          <w:tcPr>
            <w:tcW w:w="4600" w:type="dxa"/>
            <w:vAlign w:val="bottom"/>
            <w:gridSpan w:val="2"/>
          </w:tcPr>
          <w:p>
            <w:pPr>
              <w:spacing w:after="0"/>
              <w:rPr>
                <w:sz w:val="20"/>
                <w:szCs w:val="20"/>
                <w:color w:val="auto"/>
              </w:rPr>
            </w:pPr>
            <w:r>
              <w:rPr>
                <w:rFonts w:ascii="Arial" w:cs="Arial" w:eastAsia="Arial" w:hAnsi="Arial"/>
                <w:sz w:val="13"/>
                <w:szCs w:val="13"/>
                <w:color w:val="auto"/>
              </w:rPr>
              <w:t>Investment securities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4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U.S. Treasury and federal agencies</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(12,859)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(24,339)</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11,480</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(24,425)</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(26,869)</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2,444</w:t>
            </w:r>
          </w:p>
        </w:tc>
      </w:tr>
      <w:tr>
        <w:trPr>
          <w:trHeight w:val="157"/>
        </w:trPr>
        <w:tc>
          <w:tcPr>
            <w:tcW w:w="4600" w:type="dxa"/>
            <w:vAlign w:val="bottom"/>
            <w:gridSpan w:val="2"/>
          </w:tcPr>
          <w:p>
            <w:pPr>
              <w:ind w:left="140"/>
              <w:spacing w:after="0"/>
              <w:rPr>
                <w:sz w:val="20"/>
                <w:szCs w:val="20"/>
                <w:color w:val="auto"/>
              </w:rPr>
            </w:pPr>
            <w:r>
              <w:rPr>
                <w:rFonts w:ascii="Arial" w:cs="Arial" w:eastAsia="Arial" w:hAnsi="Arial"/>
                <w:sz w:val="13"/>
                <w:szCs w:val="13"/>
                <w:color w:val="auto"/>
              </w:rPr>
              <w:t>Obligations of states and political subdivisions</w:t>
            </w:r>
          </w:p>
        </w:tc>
        <w:tc>
          <w:tcPr>
            <w:tcW w:w="120" w:type="dxa"/>
            <w:vAlign w:val="bottom"/>
          </w:tcPr>
          <w:p>
            <w:pPr>
              <w:spacing w:after="0"/>
              <w:rPr>
                <w:sz w:val="13"/>
                <w:szCs w:val="13"/>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(637)</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(1,479)</w:t>
            </w:r>
          </w:p>
        </w:tc>
        <w:tc>
          <w:tcPr>
            <w:tcW w:w="1080" w:type="dxa"/>
            <w:vAlign w:val="bottom"/>
            <w:gridSpan w:val="3"/>
          </w:tcPr>
          <w:p>
            <w:pPr>
              <w:jc w:val="right"/>
              <w:ind w:right="280"/>
              <w:spacing w:after="0"/>
              <w:rPr>
                <w:sz w:val="20"/>
                <w:szCs w:val="20"/>
                <w:color w:val="auto"/>
              </w:rPr>
            </w:pPr>
            <w:r>
              <w:rPr>
                <w:rFonts w:ascii="Arial" w:cs="Arial" w:eastAsia="Arial" w:hAnsi="Arial"/>
                <w:sz w:val="13"/>
                <w:szCs w:val="13"/>
                <w:color w:val="auto"/>
              </w:rPr>
              <w:t>842</w:t>
            </w:r>
          </w:p>
        </w:tc>
        <w:tc>
          <w:tcPr>
            <w:tcW w:w="120" w:type="dxa"/>
            <w:vAlign w:val="bottom"/>
          </w:tcPr>
          <w:p>
            <w:pPr>
              <w:spacing w:after="0"/>
              <w:rPr>
                <w:sz w:val="13"/>
                <w:szCs w:val="1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(4,157)</w:t>
            </w: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(2,415)</w:t>
            </w:r>
          </w:p>
        </w:tc>
        <w:tc>
          <w:tcPr>
            <w:tcW w:w="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(1,742)</w:t>
            </w:r>
          </w:p>
        </w:tc>
      </w:tr>
      <w:tr>
        <w:trPr>
          <w:trHeight w:val="157"/>
        </w:trPr>
        <w:tc>
          <w:tcPr>
            <w:tcW w:w="4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12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26,580</w:t>
            </w:r>
          </w:p>
        </w:tc>
        <w:tc>
          <w:tcPr>
            <w:tcW w:w="3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8,545</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18,035</w:t>
            </w:r>
          </w:p>
        </w:tc>
        <w:tc>
          <w:tcPr>
            <w:tcW w:w="12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69,859</w:t>
            </w:r>
          </w:p>
        </w:tc>
        <w:tc>
          <w:tcPr>
            <w:tcW w:w="3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56,376</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13,483</w:t>
            </w:r>
          </w:p>
        </w:tc>
      </w:tr>
      <w:tr>
        <w:trPr>
          <w:trHeight w:val="169"/>
        </w:trPr>
        <w:tc>
          <w:tcPr>
            <w:tcW w:w="4600" w:type="dxa"/>
            <w:vAlign w:val="bottom"/>
            <w:gridSpan w:val="2"/>
          </w:tcPr>
          <w:p>
            <w:pPr>
              <w:ind w:left="140"/>
              <w:spacing w:after="0"/>
              <w:rPr>
                <w:sz w:val="20"/>
                <w:szCs w:val="20"/>
                <w:color w:val="auto"/>
              </w:rPr>
            </w:pPr>
            <w:r>
              <w:rPr>
                <w:rFonts w:ascii="Arial" w:cs="Arial" w:eastAsia="Arial" w:hAnsi="Arial"/>
                <w:sz w:val="13"/>
                <w:szCs w:val="13"/>
                <w:color w:val="auto"/>
              </w:rPr>
              <w:t>Total interest income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527,755</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489,943</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5"/>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2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4600" w:type="dxa"/>
            <w:vAlign w:val="bottom"/>
            <w:gridSpan w:val="2"/>
          </w:tcPr>
          <w:p>
            <w:pPr>
              <w:spacing w:after="0"/>
              <w:rPr>
                <w:sz w:val="20"/>
                <w:szCs w:val="20"/>
                <w:color w:val="auto"/>
              </w:rPr>
            </w:pPr>
            <w:r>
              <w:rPr>
                <w:rFonts w:ascii="Arial" w:cs="Arial" w:eastAsia="Arial" w:hAnsi="Arial"/>
                <w:sz w:val="13"/>
                <w:szCs w:val="13"/>
                <w:color w:val="auto"/>
              </w:rPr>
              <w:t>Interest-bearing deposits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4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NOW accounts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1,279</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216</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1,063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380</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(594)</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974</w:t>
            </w:r>
          </w:p>
        </w:tc>
      </w:tr>
      <w:tr>
        <w:trPr>
          <w:trHeight w:val="157"/>
        </w:trPr>
        <w:tc>
          <w:tcPr>
            <w:tcW w:w="4600" w:type="dxa"/>
            <w:vAlign w:val="bottom"/>
            <w:gridSpan w:val="2"/>
          </w:tcPr>
          <w:p>
            <w:pPr>
              <w:ind w:left="140"/>
              <w:spacing w:after="0"/>
              <w:rPr>
                <w:sz w:val="20"/>
                <w:szCs w:val="20"/>
                <w:color w:val="auto"/>
              </w:rPr>
            </w:pPr>
            <w:r>
              <w:rPr>
                <w:rFonts w:ascii="Arial" w:cs="Arial" w:eastAsia="Arial" w:hAnsi="Arial"/>
                <w:sz w:val="13"/>
                <w:szCs w:val="13"/>
                <w:color w:val="auto"/>
              </w:rPr>
              <w:t>Savings deposits</w:t>
            </w:r>
          </w:p>
        </w:tc>
        <w:tc>
          <w:tcPr>
            <w:tcW w:w="12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62,098</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(4,684)</w:t>
            </w:r>
          </w:p>
        </w:tc>
        <w:tc>
          <w:tcPr>
            <w:tcW w:w="1080" w:type="dxa"/>
            <w:vAlign w:val="bottom"/>
            <w:gridSpan w:val="3"/>
          </w:tcPr>
          <w:p>
            <w:pPr>
              <w:jc w:val="right"/>
              <w:ind w:right="280"/>
              <w:spacing w:after="0"/>
              <w:rPr>
                <w:sz w:val="20"/>
                <w:szCs w:val="20"/>
                <w:color w:val="auto"/>
              </w:rPr>
            </w:pPr>
            <w:r>
              <w:rPr>
                <w:rFonts w:ascii="Arial" w:cs="Arial" w:eastAsia="Arial" w:hAnsi="Arial"/>
                <w:sz w:val="13"/>
                <w:szCs w:val="13"/>
                <w:color w:val="auto"/>
              </w:rPr>
              <w:t>66,782</w:t>
            </w:r>
          </w:p>
        </w:tc>
        <w:tc>
          <w:tcPr>
            <w:tcW w:w="120" w:type="dxa"/>
            <w:vAlign w:val="bottom"/>
          </w:tcPr>
          <w:p>
            <w:pPr>
              <w:spacing w:after="0"/>
              <w:rPr>
                <w:sz w:val="13"/>
                <w:szCs w:val="1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47,381</w:t>
            </w: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(2,601)</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49,982</w:t>
            </w:r>
          </w:p>
        </w:tc>
      </w:tr>
      <w:tr>
        <w:trPr>
          <w:trHeight w:val="157"/>
        </w:trPr>
        <w:tc>
          <w:tcPr>
            <w:tcW w:w="4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Time deposits</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256,732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124,211</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132,521</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140,060</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58,514</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81,546</w:t>
            </w:r>
          </w:p>
        </w:tc>
      </w:tr>
      <w:tr>
        <w:trPr>
          <w:trHeight w:val="157"/>
        </w:trPr>
        <w:tc>
          <w:tcPr>
            <w:tcW w:w="4600" w:type="dxa"/>
            <w:vAlign w:val="bottom"/>
            <w:gridSpan w:val="2"/>
          </w:tcPr>
          <w:p>
            <w:pPr>
              <w:ind w:left="140"/>
              <w:spacing w:after="0"/>
              <w:rPr>
                <w:sz w:val="20"/>
                <w:szCs w:val="20"/>
                <w:color w:val="auto"/>
              </w:rPr>
            </w:pPr>
            <w:r>
              <w:rPr>
                <w:rFonts w:ascii="Arial" w:cs="Arial" w:eastAsia="Arial" w:hAnsi="Arial"/>
                <w:sz w:val="13"/>
                <w:szCs w:val="13"/>
                <w:color w:val="auto"/>
              </w:rPr>
              <w:t>Deposits at foreign office</w:t>
            </w:r>
          </w:p>
        </w:tc>
        <w:tc>
          <w:tcPr>
            <w:tcW w:w="120" w:type="dxa"/>
            <w:vAlign w:val="bottom"/>
          </w:tcPr>
          <w:p>
            <w:pPr>
              <w:spacing w:after="0"/>
              <w:rPr>
                <w:sz w:val="13"/>
                <w:szCs w:val="13"/>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3"/>
                <w:szCs w:val="13"/>
                <w:color w:val="auto"/>
              </w:rPr>
              <w:t>58,226</w:t>
            </w: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(6,908)</w:t>
            </w:r>
          </w:p>
        </w:tc>
        <w:tc>
          <w:tcPr>
            <w:tcW w:w="1080" w:type="dxa"/>
            <w:vAlign w:val="bottom"/>
            <w:gridSpan w:val="3"/>
          </w:tcPr>
          <w:p>
            <w:pPr>
              <w:jc w:val="right"/>
              <w:ind w:right="280"/>
              <w:spacing w:after="0"/>
              <w:rPr>
                <w:sz w:val="20"/>
                <w:szCs w:val="20"/>
                <w:color w:val="auto"/>
              </w:rPr>
            </w:pPr>
            <w:r>
              <w:rPr>
                <w:rFonts w:ascii="Arial" w:cs="Arial" w:eastAsia="Arial" w:hAnsi="Arial"/>
                <w:sz w:val="13"/>
                <w:szCs w:val="13"/>
                <w:color w:val="auto"/>
              </w:rPr>
              <w:t>65,134</w:t>
            </w:r>
          </w:p>
        </w:tc>
        <w:tc>
          <w:tcPr>
            <w:tcW w:w="120" w:type="dxa"/>
            <w:vAlign w:val="bottom"/>
          </w:tcPr>
          <w:p>
            <w:pPr>
              <w:spacing w:after="0"/>
              <w:rPr>
                <w:sz w:val="13"/>
                <w:szCs w:val="1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77,088</w:t>
            </w: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11,031</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66,057</w:t>
            </w:r>
          </w:p>
        </w:tc>
      </w:tr>
      <w:tr>
        <w:trPr>
          <w:trHeight w:val="157"/>
        </w:trPr>
        <w:tc>
          <w:tcPr>
            <w:tcW w:w="4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Short-term borrowings</w:t>
            </w:r>
          </w:p>
        </w:tc>
        <w:tc>
          <w:tcPr>
            <w:tcW w:w="1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69,997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(12,406)</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82,403</w:t>
            </w:r>
          </w:p>
        </w:tc>
        <w:tc>
          <w:tcPr>
            <w:tcW w:w="1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86,681</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(3,668)</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90,349</w:t>
            </w:r>
          </w:p>
        </w:tc>
      </w:tr>
      <w:tr>
        <w:trPr>
          <w:trHeight w:val="157"/>
        </w:trPr>
        <w:tc>
          <w:tcPr>
            <w:tcW w:w="4600" w:type="dxa"/>
            <w:vAlign w:val="bottom"/>
            <w:gridSpan w:val="2"/>
          </w:tcPr>
          <w:p>
            <w:pPr>
              <w:spacing w:after="0"/>
              <w:rPr>
                <w:sz w:val="20"/>
                <w:szCs w:val="20"/>
                <w:color w:val="auto"/>
              </w:rPr>
            </w:pPr>
            <w:r>
              <w:rPr>
                <w:rFonts w:ascii="Arial" w:cs="Arial" w:eastAsia="Arial" w:hAnsi="Arial"/>
                <w:sz w:val="13"/>
                <w:szCs w:val="13"/>
                <w:color w:val="auto"/>
              </w:rPr>
              <w:t>Long-term borrowings</w:t>
            </w: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53,869</w:t>
            </w:r>
          </w:p>
        </w:tc>
        <w:tc>
          <w:tcPr>
            <w:tcW w:w="30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(18,229)</w:t>
            </w:r>
          </w:p>
        </w:tc>
        <w:tc>
          <w:tcPr>
            <w:tcW w:w="1080" w:type="dxa"/>
            <w:vAlign w:val="bottom"/>
            <w:gridSpan w:val="3"/>
          </w:tcPr>
          <w:p>
            <w:pPr>
              <w:jc w:val="right"/>
              <w:ind w:right="280"/>
              <w:spacing w:after="0"/>
              <w:rPr>
                <w:sz w:val="20"/>
                <w:szCs w:val="20"/>
                <w:color w:val="auto"/>
              </w:rPr>
            </w:pPr>
            <w:r>
              <w:rPr>
                <w:rFonts w:ascii="Arial" w:cs="Arial" w:eastAsia="Arial" w:hAnsi="Arial"/>
                <w:sz w:val="13"/>
                <w:szCs w:val="13"/>
                <w:color w:val="auto"/>
              </w:rPr>
              <w:t>72,098</w:t>
            </w: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78,601</w:t>
            </w:r>
          </w:p>
        </w:tc>
        <w:tc>
          <w:tcPr>
            <w:tcW w:w="300" w:type="dxa"/>
            <w:vAlign w:val="bottom"/>
          </w:tcPr>
          <w:p>
            <w:pPr>
              <w:spacing w:after="0"/>
              <w:rPr>
                <w:sz w:val="13"/>
                <w:szCs w:val="1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3"/>
                <w:szCs w:val="13"/>
                <w:color w:val="auto"/>
              </w:rPr>
              <w:t>21,319</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57,282</w:t>
            </w:r>
          </w:p>
        </w:tc>
      </w:tr>
      <w:tr>
        <w:trPr>
          <w:trHeight w:val="166"/>
        </w:trPr>
        <w:tc>
          <w:tcPr>
            <w:tcW w:w="46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Total interest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502,201</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430,191</w:t>
            </w: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3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40" w:lineRule="exact"/>
        <w:rPr>
          <w:sz w:val="20"/>
          <w:szCs w:val="20"/>
          <w:color w:val="auto"/>
        </w:rPr>
      </w:pPr>
    </w:p>
    <w:p>
      <w:pPr>
        <w:ind w:left="1180" w:right="340" w:hanging="243"/>
        <w:spacing w:after="0" w:line="276" w:lineRule="auto"/>
        <w:tabs>
          <w:tab w:leader="none" w:pos="1180" w:val="left"/>
        </w:tabs>
        <w:numPr>
          <w:ilvl w:val="0"/>
          <w:numId w:val="9"/>
        </w:numPr>
        <w:rPr>
          <w:rFonts w:ascii="Arial" w:cs="Arial" w:eastAsia="Arial" w:hAnsi="Arial"/>
          <w:sz w:val="13"/>
          <w:szCs w:val="13"/>
          <w:i w:val="1"/>
          <w:iCs w:val="1"/>
          <w:color w:val="auto"/>
        </w:rPr>
      </w:pPr>
      <w:r>
        <w:rPr>
          <w:rFonts w:ascii="Arial" w:cs="Arial" w:eastAsia="Arial" w:hAnsi="Arial"/>
          <w:sz w:val="13"/>
          <w:szCs w:val="13"/>
          <w:i w:val="1"/>
          <w:iCs w:val="1"/>
          <w:color w:val="auto"/>
        </w:rPr>
        <w:t>Interest income data are on a taxable-equivalent basis. The apportionment of changes resulting from the combined effect of both volume and rate was based on the separately determined volume and rate changes.</w:t>
      </w:r>
    </w:p>
    <w:p>
      <w:pPr>
        <w:spacing w:after="0" w:line="130"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i w:val="1"/>
          <w:iCs w:val="1"/>
          <w:color w:val="auto"/>
        </w:rPr>
        <w:t>Risk Factors.</w:t>
      </w:r>
    </w:p>
    <w:p>
      <w:pPr>
        <w:spacing w:after="0" w:line="99" w:lineRule="exact"/>
        <w:rPr>
          <w:sz w:val="20"/>
          <w:szCs w:val="20"/>
          <w:color w:val="auto"/>
        </w:rPr>
      </w:pPr>
    </w:p>
    <w:p>
      <w:pPr>
        <w:ind w:left="680" w:right="400"/>
        <w:spacing w:after="0" w:line="259" w:lineRule="auto"/>
        <w:rPr>
          <w:sz w:val="20"/>
          <w:szCs w:val="20"/>
          <w:color w:val="auto"/>
        </w:rPr>
      </w:pPr>
      <w:r>
        <w:rPr>
          <w:rFonts w:ascii="Arial" w:cs="Arial" w:eastAsia="Arial" w:hAnsi="Arial"/>
          <w:sz w:val="14"/>
          <w:szCs w:val="14"/>
          <w:color w:val="auto"/>
        </w:rPr>
        <w:t>M</w:t>
      </w:r>
      <w:r>
        <w:rPr>
          <w:rFonts w:ascii="Arial" w:cs="Arial" w:eastAsia="Arial" w:hAnsi="Arial"/>
          <w:sz w:val="13"/>
          <w:szCs w:val="13"/>
          <w:color w:val="auto"/>
        </w:rPr>
        <w:t>&amp;</w:t>
      </w:r>
      <w:r>
        <w:rPr>
          <w:rFonts w:ascii="Arial" w:cs="Arial" w:eastAsia="Arial" w:hAnsi="Arial"/>
          <w:sz w:val="14"/>
          <w:szCs w:val="14"/>
          <w:color w:val="auto"/>
        </w:rPr>
        <w:t>T and its subsidiaries could be adversely impacted by various risks and uncertainties which are difficult to predict. As a financial institution, the Company has significant exposure to market risk, including interest-rate risk, liquidity risk and credit risk, among others. Adverse experience with these or other risks could have a material impact on the Company’s financial condition and results of operations, as well as on the value of the Company’s financial instruments in general, and M</w:t>
      </w:r>
      <w:r>
        <w:rPr>
          <w:rFonts w:ascii="Arial" w:cs="Arial" w:eastAsia="Arial" w:hAnsi="Arial"/>
          <w:sz w:val="13"/>
          <w:szCs w:val="13"/>
          <w:color w:val="auto"/>
        </w:rPr>
        <w:t>&amp;</w:t>
      </w:r>
      <w:r>
        <w:rPr>
          <w:rFonts w:ascii="Arial" w:cs="Arial" w:eastAsia="Arial" w:hAnsi="Arial"/>
          <w:sz w:val="14"/>
          <w:szCs w:val="14"/>
          <w:color w:val="auto"/>
        </w:rPr>
        <w:t>T’s common stock, in particular.</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both"/>
        <w:ind w:left="680" w:right="60" w:firstLine="599"/>
        <w:spacing w:after="0" w:line="273" w:lineRule="auto"/>
        <w:rPr>
          <w:sz w:val="20"/>
          <w:szCs w:val="20"/>
          <w:color w:val="auto"/>
        </w:rPr>
      </w:pPr>
      <w:r>
        <w:rPr>
          <w:rFonts w:ascii="Arial" w:cs="Arial" w:eastAsia="Arial" w:hAnsi="Arial"/>
          <w:sz w:val="13"/>
          <w:szCs w:val="13"/>
          <w:color w:val="auto"/>
        </w:rPr>
        <w:t>Interest Rate Risk — The Company is exposed to interest rate risk in its core banking activities of lending and deposit-taking since assets and liabilities reprice at different times and by different amounts as interest rates change. As a result, net interest income, which represents the largest revenue source for the Company, is subject to the effects of changing interest rates. The Company closely monitors the sensitivity of net interest income to changes in interest rates and attempts to limit the variability of net interest income as interest rates change. The Company makes use of both on- and off-balance sheet financial instruments to mitigate exposure to interest rate risk.</w:t>
      </w:r>
    </w:p>
    <w:p>
      <w:pPr>
        <w:ind w:left="680" w:right="220"/>
        <w:spacing w:after="0" w:line="249" w:lineRule="auto"/>
        <w:rPr>
          <w:sz w:val="20"/>
          <w:szCs w:val="20"/>
          <w:color w:val="auto"/>
        </w:rPr>
      </w:pPr>
      <w:r>
        <w:rPr>
          <w:rFonts w:ascii="Arial" w:cs="Arial" w:eastAsia="Arial" w:hAnsi="Arial"/>
          <w:sz w:val="14"/>
          <w:szCs w:val="14"/>
          <w:color w:val="auto"/>
        </w:rPr>
        <w:t>Possible actions to mitigate such risk include, but are not limited to, changes in the pricing of loan and deposit products, modifying the composition of earning assets and interest-bearing liabilities, and adding to, modifying or terminating interest rate swap agreements or other financial instruments used for interest rate risk management purposes.</w:t>
      </w:r>
    </w:p>
    <w:p>
      <w:pPr>
        <w:ind w:left="680" w:right="20" w:firstLine="599"/>
        <w:spacing w:after="0" w:line="268" w:lineRule="auto"/>
        <w:rPr>
          <w:sz w:val="20"/>
          <w:szCs w:val="20"/>
          <w:color w:val="auto"/>
        </w:rPr>
      </w:pPr>
      <w:r>
        <w:rPr>
          <w:rFonts w:ascii="Arial" w:cs="Arial" w:eastAsia="Arial" w:hAnsi="Arial"/>
          <w:sz w:val="13"/>
          <w:szCs w:val="13"/>
          <w:color w:val="auto"/>
        </w:rPr>
        <w:t>Liquidity Risk — Liquidity refers to the Company’s ability to ensure that sufficient cash flow and liquid assets are available to satisfy current and future financial obligations, including demands for loans and deposit withdrawals, funding operating costs, and for other corporate purposes. Liquidity risk arises whenever the maturities of financial instruments included in assets and liabilities differ. The Company obtains funding through deposits and various short-term and long-term wholesale borrowings, including federal funds purchased and securities sold under agreements to repurchase, brokered certificates of deposit, offshore branch deposits and borrowings from the Federal Home Loan Bank of New York and others. Should the Company experience a substantial deterioration in its financial condition or its debt ratings, or should the availability of funding become restricted due to disruption in the financial markets, the Company’s ability to obtain funding from these or other sources could be negatively impacted. The Company attempts to quantify such credit-event risk by modeling scenarios that estimate the liquidity impact resulting from a short-term ratings downgrade over various grading levels. The Company estimates such impact by attempting to measure the effect on available unsecured lines of credit, available capacity from secured borrowing sources and securitizable assets. To mitigate such risk, the Company maintains available lines of credit with the Federal Reserve Bank of New York and the Federal Home Loan Bank of New York that are secured by loans and investment securities. On an ongoing basis, management closely monitors the Company’s liquidity position for compliance with internal policies and believes that available sources of liquidity are adequate to meet funding needs in the normal course of business.</w:t>
      </w:r>
    </w:p>
    <w:p>
      <w:pPr>
        <w:spacing w:after="0" w:line="2" w:lineRule="exact"/>
        <w:rPr>
          <w:sz w:val="20"/>
          <w:szCs w:val="20"/>
          <w:color w:val="auto"/>
        </w:rPr>
      </w:pPr>
    </w:p>
    <w:p>
      <w:pPr>
        <w:ind w:left="680" w:right="20" w:firstLine="599"/>
        <w:spacing w:after="0" w:line="270" w:lineRule="auto"/>
        <w:rPr>
          <w:sz w:val="20"/>
          <w:szCs w:val="20"/>
          <w:color w:val="auto"/>
        </w:rPr>
      </w:pPr>
      <w:r>
        <w:rPr>
          <w:rFonts w:ascii="Arial" w:cs="Arial" w:eastAsia="Arial" w:hAnsi="Arial"/>
          <w:sz w:val="13"/>
          <w:szCs w:val="13"/>
          <w:color w:val="auto"/>
        </w:rPr>
        <w:t>Credit Risk — Factors that influence the Company’s credit loss experience include overall economic conditions affecting businesses and consumers, in general, and, due to the size of the Company’s commercial real estate loan portfolio, real estate valuations, in particular. Other factors that can influence the Company’s credit loss experience, in addition to general economic conditions and borrowers’ specific abilities to repay loans, include: (i) the concentration of commercial real estate loans in the Company’s loan portfolio, particularly the large concentration of loans secured by properties in New York State, in general, and in the New York City metropolitan area, in particular; (ii)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and (iii) the size of the Company’s portfolio of loans to individual consumers, which historically have experienced higher net charge-offs as a percentage of loans outstanding than other loan types. Although the national economy experienced moderate growth in 2006 with inflation being reasonably well contained, concerns exist about the level and volatility of energy prices; a weakening housing market, particularly concerns about over-valued real estate; Federal Reserve positioning of monetary policy; the underlying impact on businesses’ operations and abilities to repay loans resulting from a higher level of interest rates; sluggish job creation, which could cause consumer spending to slow; continued stagnant population growth in the upstate New York and central Pennsylvania regions; continued slowing of domestic automobile sales; and modest loan demand in many market areas served by the Company. All of these factors can affect the Company’s credit loss experience. To help manage credit risk, the Company maintains a detailed credit policy and utilizes various committees that include members of senior management to approve significant extensions of credit. The Company also maintains a credit review department that regularly reviews the Company’s loan and lease portfolios to ensure compliance with established credit policy. The Company maintains an allowance for</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credit losses that in management’s judgment is adequate to absorb losses inherent in the loan and lease portfolio.</w:t>
      </w:r>
    </w:p>
    <w:p>
      <w:pPr>
        <w:spacing w:after="0" w:line="18" w:lineRule="exact"/>
        <w:rPr>
          <w:sz w:val="20"/>
          <w:szCs w:val="20"/>
          <w:color w:val="auto"/>
        </w:rPr>
      </w:pPr>
    </w:p>
    <w:p>
      <w:pPr>
        <w:ind w:left="680" w:right="80" w:firstLine="599"/>
        <w:spacing w:after="0" w:line="249" w:lineRule="auto"/>
        <w:rPr>
          <w:sz w:val="20"/>
          <w:szCs w:val="20"/>
          <w:color w:val="auto"/>
        </w:rPr>
      </w:pPr>
      <w:r>
        <w:rPr>
          <w:rFonts w:ascii="Arial" w:cs="Arial" w:eastAsia="Arial" w:hAnsi="Arial"/>
          <w:sz w:val="14"/>
          <w:szCs w:val="14"/>
          <w:color w:val="auto"/>
        </w:rPr>
        <w:t>Supervision and Regulation — The Company is subject to extensive state and federal laws and regulations governing the banking industry, in particular, and public companies, in general. Many of those laws and regulations are described in Part I, Item 1 “Business.” Changes in those laws and regulations, or the degree of the Company’s compliance with those laws and regulations as judged by any of several regulators that oversee the Company, could have a significant effect on the Company’s operations and its financial results.</w:t>
      </w:r>
    </w:p>
    <w:p>
      <w:pPr>
        <w:ind w:left="680" w:right="40" w:firstLine="599"/>
        <w:spacing w:after="0" w:line="249" w:lineRule="auto"/>
        <w:rPr>
          <w:sz w:val="20"/>
          <w:szCs w:val="20"/>
          <w:color w:val="auto"/>
        </w:rPr>
      </w:pPr>
      <w:r>
        <w:rPr>
          <w:rFonts w:ascii="Arial" w:cs="Arial" w:eastAsia="Arial" w:hAnsi="Arial"/>
          <w:sz w:val="14"/>
          <w:szCs w:val="14"/>
          <w:color w:val="auto"/>
        </w:rPr>
        <w:t>Detailed discussions of the specific risks outlined above and other risks facing the Company are included within this Annual Report on Form 10-K in Part I, Item 1 “Business,” and Part II, Item 7 “Management’s Discussion and Analysis of Financial Condition and Results of Operations.” Furthermore, in Part II, Item 7 under the heading “Forward-Looking Statements” is included a description of certain risks, uncertainties and assumptions identified by management that are difficult to predict and that could materially affect the Company’s financial condition and results of operations, as well as the value of the Company’s financial instruments in general, and M</w:t>
      </w:r>
      <w:r>
        <w:rPr>
          <w:rFonts w:ascii="Arial" w:cs="Arial" w:eastAsia="Arial" w:hAnsi="Arial"/>
          <w:sz w:val="13"/>
          <w:szCs w:val="13"/>
          <w:color w:val="auto"/>
        </w:rPr>
        <w:t>&amp;</w:t>
      </w:r>
      <w:r>
        <w:rPr>
          <w:rFonts w:ascii="Arial" w:cs="Arial" w:eastAsia="Arial" w:hAnsi="Arial"/>
          <w:sz w:val="14"/>
          <w:szCs w:val="14"/>
          <w:color w:val="auto"/>
        </w:rPr>
        <w:t>T common stock, in particular.</w:t>
      </w:r>
    </w:p>
    <w:p>
      <w:pPr>
        <w:jc w:val="both"/>
        <w:ind w:left="680" w:firstLine="599"/>
        <w:spacing w:after="0" w:line="285" w:lineRule="auto"/>
        <w:rPr>
          <w:sz w:val="20"/>
          <w:szCs w:val="20"/>
          <w:color w:val="auto"/>
        </w:rPr>
      </w:pPr>
      <w:r>
        <w:rPr>
          <w:rFonts w:ascii="Arial" w:cs="Arial" w:eastAsia="Arial" w:hAnsi="Arial"/>
          <w:sz w:val="13"/>
          <w:szCs w:val="13"/>
          <w:color w:val="auto"/>
        </w:rPr>
        <w:t>In addition, the market price of M</w:t>
      </w:r>
      <w:r>
        <w:rPr>
          <w:rFonts w:ascii="Arial" w:cs="Arial" w:eastAsia="Arial" w:hAnsi="Arial"/>
          <w:sz w:val="12"/>
          <w:szCs w:val="12"/>
          <w:color w:val="auto"/>
        </w:rPr>
        <w:t>&amp;</w:t>
      </w:r>
      <w:r>
        <w:rPr>
          <w:rFonts w:ascii="Arial" w:cs="Arial" w:eastAsia="Arial" w:hAnsi="Arial"/>
          <w:sz w:val="13"/>
          <w:szCs w:val="13"/>
          <w:color w:val="auto"/>
        </w:rPr>
        <w:t>T common stock may fluctuate significantly in response to a number of other factors, including changes in securities analysts’ estimates of financial performance, volatility of stock market prices and volumes, rumors or erroneous information, changes in market valuations of similar companies and changes in accounting policies or procedures as may be required by the Financial Accounting Standards Board or other regulatory agencies.</w:t>
      </w:r>
    </w:p>
    <w:p>
      <w:pPr>
        <w:spacing w:after="0" w:line="120"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4"/>
          <w:szCs w:val="14"/>
          <w:b w:val="1"/>
          <w:bCs w:val="1"/>
          <w:color w:val="auto"/>
        </w:rPr>
        <w:t>Item 1B.</w:t>
      </w:r>
      <w:r>
        <w:rPr>
          <w:sz w:val="20"/>
          <w:szCs w:val="20"/>
          <w:color w:val="auto"/>
        </w:rPr>
        <w:tab/>
      </w:r>
      <w:r>
        <w:rPr>
          <w:rFonts w:ascii="Arial" w:cs="Arial" w:eastAsia="Arial" w:hAnsi="Arial"/>
          <w:sz w:val="12"/>
          <w:szCs w:val="12"/>
          <w:b w:val="1"/>
          <w:bCs w:val="1"/>
          <w:i w:val="1"/>
          <w:iCs w:val="1"/>
          <w:color w:val="auto"/>
        </w:rPr>
        <w:t>Unresolved Staff Comments.</w:t>
      </w:r>
    </w:p>
    <w:p>
      <w:pPr>
        <w:spacing w:after="0" w:line="9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None</w:t>
      </w:r>
    </w:p>
    <w:p>
      <w:pPr>
        <w:spacing w:after="0" w:line="169"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i w:val="1"/>
          <w:iCs w:val="1"/>
          <w:color w:val="auto"/>
        </w:rPr>
        <w:t>Properties.</w:t>
      </w:r>
    </w:p>
    <w:p>
      <w:pPr>
        <w:spacing w:after="0" w:line="99" w:lineRule="exact"/>
        <w:rPr>
          <w:sz w:val="20"/>
          <w:szCs w:val="20"/>
          <w:color w:val="auto"/>
        </w:rPr>
      </w:pPr>
    </w:p>
    <w:p>
      <w:pPr>
        <w:ind w:left="680" w:right="600"/>
        <w:spacing w:after="0" w:line="253" w:lineRule="auto"/>
        <w:rPr>
          <w:sz w:val="20"/>
          <w:szCs w:val="20"/>
          <w:color w:val="auto"/>
        </w:rPr>
      </w:pPr>
      <w:r>
        <w:rPr>
          <w:rFonts w:ascii="Arial" w:cs="Arial" w:eastAsia="Arial" w:hAnsi="Arial"/>
          <w:sz w:val="14"/>
          <w:szCs w:val="14"/>
          <w:color w:val="auto"/>
        </w:rPr>
        <w:t>Both M</w:t>
      </w:r>
      <w:r>
        <w:rPr>
          <w:rFonts w:ascii="Arial" w:cs="Arial" w:eastAsia="Arial" w:hAnsi="Arial"/>
          <w:sz w:val="13"/>
          <w:szCs w:val="13"/>
          <w:color w:val="auto"/>
        </w:rPr>
        <w:t>&amp;</w:t>
      </w:r>
      <w:r>
        <w:rPr>
          <w:rFonts w:ascii="Arial" w:cs="Arial" w:eastAsia="Arial" w:hAnsi="Arial"/>
          <w:sz w:val="14"/>
          <w:szCs w:val="14"/>
          <w:color w:val="auto"/>
        </w:rPr>
        <w:t>T and M</w:t>
      </w:r>
      <w:r>
        <w:rPr>
          <w:rFonts w:ascii="Arial" w:cs="Arial" w:eastAsia="Arial" w:hAnsi="Arial"/>
          <w:sz w:val="13"/>
          <w:szCs w:val="13"/>
          <w:color w:val="auto"/>
        </w:rPr>
        <w:t>&amp;</w:t>
      </w:r>
      <w:r>
        <w:rPr>
          <w:rFonts w:ascii="Arial" w:cs="Arial" w:eastAsia="Arial" w:hAnsi="Arial"/>
          <w:sz w:val="14"/>
          <w:szCs w:val="14"/>
          <w:color w:val="auto"/>
        </w:rPr>
        <w:t>T Bank maintain their executive offices at One M</w:t>
      </w:r>
      <w:r>
        <w:rPr>
          <w:rFonts w:ascii="Arial" w:cs="Arial" w:eastAsia="Arial" w:hAnsi="Arial"/>
          <w:sz w:val="13"/>
          <w:szCs w:val="13"/>
          <w:color w:val="auto"/>
        </w:rPr>
        <w:t>&amp;</w:t>
      </w:r>
      <w:r>
        <w:rPr>
          <w:rFonts w:ascii="Arial" w:cs="Arial" w:eastAsia="Arial" w:hAnsi="Arial"/>
          <w:sz w:val="14"/>
          <w:szCs w:val="14"/>
          <w:color w:val="auto"/>
        </w:rPr>
        <w:t>T Plaza in Buffalo, New York. This twenty-one story headquarters building, containing approximately 278,000 rentable square feet of space, is owned in fee by M</w:t>
      </w:r>
      <w:r>
        <w:rPr>
          <w:rFonts w:ascii="Arial" w:cs="Arial" w:eastAsia="Arial" w:hAnsi="Arial"/>
          <w:sz w:val="13"/>
          <w:szCs w:val="13"/>
          <w:color w:val="auto"/>
        </w:rPr>
        <w:t>&amp;</w:t>
      </w:r>
      <w:r>
        <w:rPr>
          <w:rFonts w:ascii="Arial" w:cs="Arial" w:eastAsia="Arial" w:hAnsi="Arial"/>
          <w:sz w:val="14"/>
          <w:szCs w:val="14"/>
          <w:color w:val="auto"/>
        </w:rPr>
        <w:t>T Bank and was completed in 1967. M</w:t>
      </w:r>
      <w:r>
        <w:rPr>
          <w:rFonts w:ascii="Arial" w:cs="Arial" w:eastAsia="Arial" w:hAnsi="Arial"/>
          <w:sz w:val="13"/>
          <w:szCs w:val="13"/>
          <w:color w:val="auto"/>
        </w:rPr>
        <w:t>&amp;</w:t>
      </w:r>
      <w:r>
        <w:rPr>
          <w:rFonts w:ascii="Arial" w:cs="Arial" w:eastAsia="Arial" w:hAnsi="Arial"/>
          <w:sz w:val="14"/>
          <w:szCs w:val="14"/>
          <w:color w:val="auto"/>
        </w:rPr>
        <w:t>T, M</w:t>
      </w:r>
      <w:r>
        <w:rPr>
          <w:rFonts w:ascii="Arial" w:cs="Arial" w:eastAsia="Arial" w:hAnsi="Arial"/>
          <w:sz w:val="13"/>
          <w:szCs w:val="13"/>
          <w:color w:val="auto"/>
        </w:rPr>
        <w:t>&amp;</w:t>
      </w:r>
      <w:r>
        <w:rPr>
          <w:rFonts w:ascii="Arial" w:cs="Arial" w:eastAsia="Arial" w:hAnsi="Arial"/>
          <w:sz w:val="14"/>
          <w:szCs w:val="14"/>
          <w:color w:val="auto"/>
        </w:rPr>
        <w:t>T Bank and their subsidiaries occupy approximately 78% of the building and the remainder is leased to non-affiliated tenants. At December 31, 2006, the cost of this property (including improvements subsequent to the initial construction), net of accumulated depreciation, was $5.2 million.</w:t>
      </w:r>
    </w:p>
    <w:p>
      <w:pPr>
        <w:spacing w:after="0" w:line="2" w:lineRule="exact"/>
        <w:rPr>
          <w:sz w:val="20"/>
          <w:szCs w:val="20"/>
          <w:color w:val="auto"/>
        </w:rPr>
      </w:pPr>
    </w:p>
    <w:p>
      <w:pPr>
        <w:ind w:left="680" w:right="60" w:firstLine="599"/>
        <w:spacing w:after="0" w:line="268" w:lineRule="auto"/>
        <w:rPr>
          <w:sz w:val="20"/>
          <w:szCs w:val="20"/>
          <w:color w:val="auto"/>
        </w:rPr>
      </w:pPr>
      <w:r>
        <w:rPr>
          <w:rFonts w:ascii="Arial" w:cs="Arial" w:eastAsia="Arial" w:hAnsi="Arial"/>
          <w:sz w:val="13"/>
          <w:szCs w:val="13"/>
          <w:color w:val="auto"/>
        </w:rPr>
        <w:t>In September 1992, M</w:t>
      </w:r>
      <w:r>
        <w:rPr>
          <w:rFonts w:ascii="Arial" w:cs="Arial" w:eastAsia="Arial" w:hAnsi="Arial"/>
          <w:sz w:val="12"/>
          <w:szCs w:val="12"/>
          <w:color w:val="auto"/>
        </w:rPr>
        <w:t>&amp;</w:t>
      </w:r>
      <w:r>
        <w:rPr>
          <w:rFonts w:ascii="Arial" w:cs="Arial" w:eastAsia="Arial" w:hAnsi="Arial"/>
          <w:sz w:val="13"/>
          <w:szCs w:val="13"/>
          <w:color w:val="auto"/>
        </w:rPr>
        <w:t>T Bank acquired an additional facility in Buffalo, New York with approximately 365,000 rentable square feet of space at a cost of approximately $12 million. Approximately 89% of this facility, known as M</w:t>
      </w:r>
      <w:r>
        <w:rPr>
          <w:rFonts w:ascii="Arial" w:cs="Arial" w:eastAsia="Arial" w:hAnsi="Arial"/>
          <w:sz w:val="12"/>
          <w:szCs w:val="12"/>
          <w:color w:val="auto"/>
        </w:rPr>
        <w:t>&amp;</w:t>
      </w:r>
      <w:r>
        <w:rPr>
          <w:rFonts w:ascii="Arial" w:cs="Arial" w:eastAsia="Arial" w:hAnsi="Arial"/>
          <w:sz w:val="13"/>
          <w:szCs w:val="13"/>
          <w:color w:val="auto"/>
        </w:rPr>
        <w:t>T Center, is occupied by M</w:t>
      </w:r>
      <w:r>
        <w:rPr>
          <w:rFonts w:ascii="Arial" w:cs="Arial" w:eastAsia="Arial" w:hAnsi="Arial"/>
          <w:sz w:val="12"/>
          <w:szCs w:val="12"/>
          <w:color w:val="auto"/>
        </w:rPr>
        <w:t>&amp;</w:t>
      </w:r>
      <w:r>
        <w:rPr>
          <w:rFonts w:ascii="Arial" w:cs="Arial" w:eastAsia="Arial" w:hAnsi="Arial"/>
          <w:sz w:val="13"/>
          <w:szCs w:val="13"/>
          <w:color w:val="auto"/>
        </w:rPr>
        <w:t>T Bank and its subsidiaries, with the remainder leased to non-affiliated tenants. At December 31, 2006, the cost of this building (including improvements subsequent to acquisition), net of accumulated depreciation, was $12.0 million.</w:t>
      </w:r>
    </w:p>
    <w:p>
      <w:pPr>
        <w:jc w:val="both"/>
        <w:ind w:left="680" w:right="180" w:firstLine="599"/>
        <w:spacing w:after="0" w:line="249" w:lineRule="auto"/>
        <w:rPr>
          <w:sz w:val="20"/>
          <w:szCs w:val="20"/>
          <w:color w:val="auto"/>
        </w:rPr>
      </w:pPr>
      <w:r>
        <w:rPr>
          <w:rFonts w:ascii="Arial" w:cs="Arial" w:eastAsia="Arial" w:hAnsi="Arial"/>
          <w:sz w:val="14"/>
          <w:szCs w:val="14"/>
          <w:color w:val="auto"/>
        </w:rPr>
        <w:t>M</w:t>
      </w:r>
      <w:r>
        <w:rPr>
          <w:rFonts w:ascii="Arial" w:cs="Arial" w:eastAsia="Arial" w:hAnsi="Arial"/>
          <w:sz w:val="13"/>
          <w:szCs w:val="13"/>
          <w:color w:val="auto"/>
        </w:rPr>
        <w:t>&amp;</w:t>
      </w:r>
      <w:r>
        <w:rPr>
          <w:rFonts w:ascii="Arial" w:cs="Arial" w:eastAsia="Arial" w:hAnsi="Arial"/>
          <w:sz w:val="14"/>
          <w:szCs w:val="14"/>
          <w:color w:val="auto"/>
        </w:rPr>
        <w:t>T Bank also owns and occupies two separate facilities in the Buffalo area which support certain back-office and operations functions of the Company. The total square footage of these facilities approximates 215,000 square feet and their combined cost (including improvements subsequent to acquisition), net of accumulated depreciation, was $17.6 million at December 31, 2006.</w:t>
      </w:r>
    </w:p>
    <w:p>
      <w:pPr>
        <w:ind w:left="680" w:right="40" w:firstLine="599"/>
        <w:spacing w:after="0" w:line="268" w:lineRule="auto"/>
        <w:rPr>
          <w:sz w:val="20"/>
          <w:szCs w:val="20"/>
          <w:color w:val="auto"/>
        </w:rPr>
      </w:pPr>
      <w:r>
        <w:rPr>
          <w:rFonts w:ascii="Arial" w:cs="Arial" w:eastAsia="Arial" w:hAnsi="Arial"/>
          <w:sz w:val="13"/>
          <w:szCs w:val="13"/>
          <w:color w:val="auto"/>
        </w:rPr>
        <w:t>M</w:t>
      </w:r>
      <w:r>
        <w:rPr>
          <w:rFonts w:ascii="Arial" w:cs="Arial" w:eastAsia="Arial" w:hAnsi="Arial"/>
          <w:sz w:val="12"/>
          <w:szCs w:val="12"/>
          <w:color w:val="auto"/>
        </w:rPr>
        <w:t>&amp;</w:t>
      </w:r>
      <w:r>
        <w:rPr>
          <w:rFonts w:ascii="Arial" w:cs="Arial" w:eastAsia="Arial" w:hAnsi="Arial"/>
          <w:sz w:val="13"/>
          <w:szCs w:val="13"/>
          <w:color w:val="auto"/>
        </w:rPr>
        <w:t>T Bank also owns a facility in Syracuse, New York with approximately 150,000 rentable square feet of space. Approximately 41% of this facility is occupied by M</w:t>
      </w:r>
      <w:r>
        <w:rPr>
          <w:rFonts w:ascii="Arial" w:cs="Arial" w:eastAsia="Arial" w:hAnsi="Arial"/>
          <w:sz w:val="12"/>
          <w:szCs w:val="12"/>
          <w:color w:val="auto"/>
        </w:rPr>
        <w:t>&amp;</w:t>
      </w:r>
      <w:r>
        <w:rPr>
          <w:rFonts w:ascii="Arial" w:cs="Arial" w:eastAsia="Arial" w:hAnsi="Arial"/>
          <w:sz w:val="13"/>
          <w:szCs w:val="13"/>
          <w:color w:val="auto"/>
        </w:rPr>
        <w:t>T Bank. At December 31, 2006, the cost of this building (including improvements subsequent to acquisition), net of accumulated depreciation, was $7.7 million.</w:t>
      </w:r>
    </w:p>
    <w:p>
      <w:pPr>
        <w:ind w:left="680" w:right="180" w:firstLine="599"/>
        <w:spacing w:after="0" w:line="249" w:lineRule="auto"/>
        <w:rPr>
          <w:sz w:val="20"/>
          <w:szCs w:val="20"/>
          <w:color w:val="auto"/>
        </w:rPr>
      </w:pPr>
      <w:r>
        <w:rPr>
          <w:rFonts w:ascii="Arial" w:cs="Arial" w:eastAsia="Arial" w:hAnsi="Arial"/>
          <w:sz w:val="14"/>
          <w:szCs w:val="14"/>
          <w:color w:val="auto"/>
        </w:rPr>
        <w:t>M</w:t>
      </w:r>
      <w:r>
        <w:rPr>
          <w:rFonts w:ascii="Arial" w:cs="Arial" w:eastAsia="Arial" w:hAnsi="Arial"/>
          <w:sz w:val="13"/>
          <w:szCs w:val="13"/>
          <w:color w:val="auto"/>
        </w:rPr>
        <w:t>&amp;</w:t>
      </w:r>
      <w:r>
        <w:rPr>
          <w:rFonts w:ascii="Arial" w:cs="Arial" w:eastAsia="Arial" w:hAnsi="Arial"/>
          <w:sz w:val="14"/>
          <w:szCs w:val="14"/>
          <w:color w:val="auto"/>
        </w:rPr>
        <w:t>T Bank also owns facilities in Harrisburg, Pennsylvania and Millsboro, Delaware with approximately 206,000 and 322,000 rentable square feet of space, respectively. M</w:t>
      </w:r>
      <w:r>
        <w:rPr>
          <w:rFonts w:ascii="Arial" w:cs="Arial" w:eastAsia="Arial" w:hAnsi="Arial"/>
          <w:sz w:val="13"/>
          <w:szCs w:val="13"/>
          <w:color w:val="auto"/>
        </w:rPr>
        <w:t>&amp;</w:t>
      </w:r>
      <w:r>
        <w:rPr>
          <w:rFonts w:ascii="Arial" w:cs="Arial" w:eastAsia="Arial" w:hAnsi="Arial"/>
          <w:sz w:val="14"/>
          <w:szCs w:val="14"/>
          <w:color w:val="auto"/>
        </w:rPr>
        <w:t>T Bank occupies approximately 38% and 84% of these respective facilities. At December 31, 2006, the cost of these buildings (including improvements subsequent to acquisition), net of accumulated depreciation, was $13.0 million and $7.9 million, respectively.</w:t>
      </w:r>
    </w:p>
    <w:p>
      <w:pPr>
        <w:ind w:left="680" w:right="420" w:firstLine="599"/>
        <w:spacing w:after="0" w:line="301" w:lineRule="auto"/>
        <w:rPr>
          <w:sz w:val="20"/>
          <w:szCs w:val="20"/>
          <w:color w:val="auto"/>
        </w:rPr>
      </w:pPr>
      <w:r>
        <w:rPr>
          <w:rFonts w:ascii="Arial" w:cs="Arial" w:eastAsia="Arial" w:hAnsi="Arial"/>
          <w:sz w:val="13"/>
          <w:szCs w:val="13"/>
          <w:color w:val="auto"/>
        </w:rPr>
        <w:t>No other properties owned by M</w:t>
      </w:r>
      <w:r>
        <w:rPr>
          <w:rFonts w:ascii="Arial" w:cs="Arial" w:eastAsia="Arial" w:hAnsi="Arial"/>
          <w:sz w:val="12"/>
          <w:szCs w:val="12"/>
          <w:color w:val="auto"/>
        </w:rPr>
        <w:t>&amp;</w:t>
      </w:r>
      <w:r>
        <w:rPr>
          <w:rFonts w:ascii="Arial" w:cs="Arial" w:eastAsia="Arial" w:hAnsi="Arial"/>
          <w:sz w:val="13"/>
          <w:szCs w:val="13"/>
          <w:color w:val="auto"/>
        </w:rPr>
        <w:t>T Bank have more than 100,000 square feet of space. The cost, net of accumulated depreciation and amortization, of the Company’s premises and equipment is detailed in note 6 of Notes to Financial Statements filed herewith in Part II, Item 8, “Financial Statements and</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Supplementary Data.” Of the 672 domestic banking offices of the Registrant’s subsidiary banks at December 31, 2006, 281 are owned in fee and 391 are leased.</w:t>
      </w:r>
    </w:p>
    <w:p>
      <w:pPr>
        <w:spacing w:after="0" w:line="169"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i w:val="1"/>
          <w:iCs w:val="1"/>
          <w:color w:val="auto"/>
        </w:rPr>
        <w:t>Legal Proceedings.</w:t>
      </w:r>
    </w:p>
    <w:p>
      <w:pPr>
        <w:spacing w:after="0" w:line="99" w:lineRule="exact"/>
        <w:rPr>
          <w:sz w:val="20"/>
          <w:szCs w:val="20"/>
          <w:color w:val="auto"/>
        </w:rPr>
      </w:pPr>
    </w:p>
    <w:p>
      <w:pPr>
        <w:ind w:left="680" w:right="40"/>
        <w:spacing w:after="0" w:line="259" w:lineRule="auto"/>
        <w:rPr>
          <w:sz w:val="20"/>
          <w:szCs w:val="20"/>
          <w:color w:val="auto"/>
        </w:rPr>
      </w:pPr>
      <w:r>
        <w:rPr>
          <w:rFonts w:ascii="Arial" w:cs="Arial" w:eastAsia="Arial" w:hAnsi="Arial"/>
          <w:sz w:val="14"/>
          <w:szCs w:val="14"/>
          <w:color w:val="auto"/>
        </w:rPr>
        <w:t>M</w:t>
      </w:r>
      <w:r>
        <w:rPr>
          <w:rFonts w:ascii="Arial" w:cs="Arial" w:eastAsia="Arial" w:hAnsi="Arial"/>
          <w:sz w:val="13"/>
          <w:szCs w:val="13"/>
          <w:color w:val="auto"/>
        </w:rPr>
        <w:t>&amp;</w:t>
      </w:r>
      <w:r>
        <w:rPr>
          <w:rFonts w:ascii="Arial" w:cs="Arial" w:eastAsia="Arial" w:hAnsi="Arial"/>
          <w:sz w:val="14"/>
          <w:szCs w:val="14"/>
          <w:color w:val="auto"/>
        </w:rPr>
        <w:t>T and its subsidiaries are subject in the normal course of business to various pending and threatened legal proceedings in which claims for monetary damages are asserted. Management, after consultation with legal counsel, does not anticipate that the aggregate ultimate liability, if any, arising out of litigation pending against M</w:t>
      </w:r>
      <w:r>
        <w:rPr>
          <w:rFonts w:ascii="Arial" w:cs="Arial" w:eastAsia="Arial" w:hAnsi="Arial"/>
          <w:sz w:val="13"/>
          <w:szCs w:val="13"/>
          <w:color w:val="auto"/>
        </w:rPr>
        <w:t>&amp;</w:t>
      </w:r>
      <w:r>
        <w:rPr>
          <w:rFonts w:ascii="Arial" w:cs="Arial" w:eastAsia="Arial" w:hAnsi="Arial"/>
          <w:sz w:val="14"/>
          <w:szCs w:val="14"/>
          <w:color w:val="auto"/>
        </w:rPr>
        <w:t>T or its subsidiaries will be material to M</w:t>
      </w:r>
      <w:r>
        <w:rPr>
          <w:rFonts w:ascii="Arial" w:cs="Arial" w:eastAsia="Arial" w:hAnsi="Arial"/>
          <w:sz w:val="13"/>
          <w:szCs w:val="13"/>
          <w:color w:val="auto"/>
        </w:rPr>
        <w:t>&amp;</w:t>
      </w:r>
      <w:r>
        <w:rPr>
          <w:rFonts w:ascii="Arial" w:cs="Arial" w:eastAsia="Arial" w:hAnsi="Arial"/>
          <w:sz w:val="14"/>
          <w:szCs w:val="14"/>
          <w:color w:val="auto"/>
        </w:rPr>
        <w:t>T’s consolidated financial position, but at the present time is not in a position to determine whether such litigation will have a material adverse effect on M</w:t>
      </w:r>
      <w:r>
        <w:rPr>
          <w:rFonts w:ascii="Arial" w:cs="Arial" w:eastAsia="Arial" w:hAnsi="Arial"/>
          <w:sz w:val="13"/>
          <w:szCs w:val="13"/>
          <w:color w:val="auto"/>
        </w:rPr>
        <w:t>&amp;</w:t>
      </w:r>
      <w:r>
        <w:rPr>
          <w:rFonts w:ascii="Arial" w:cs="Arial" w:eastAsia="Arial" w:hAnsi="Arial"/>
          <w:sz w:val="14"/>
          <w:szCs w:val="14"/>
          <w:color w:val="auto"/>
        </w:rPr>
        <w:t>T’s consolidated results of operations in any future reporting period.</w:t>
      </w:r>
    </w:p>
    <w:p>
      <w:pPr>
        <w:spacing w:after="0" w:line="137"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i w:val="1"/>
          <w:iCs w:val="1"/>
          <w:color w:val="auto"/>
        </w:rPr>
        <w:t>Submission of Matters to a Vote of Security Holders.</w:t>
      </w:r>
    </w:p>
    <w:p>
      <w:pPr>
        <w:spacing w:after="0" w:line="9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No matters were submitted to a vote of M</w:t>
      </w:r>
      <w:r>
        <w:rPr>
          <w:rFonts w:ascii="Arial" w:cs="Arial" w:eastAsia="Arial" w:hAnsi="Arial"/>
          <w:sz w:val="13"/>
          <w:szCs w:val="13"/>
          <w:color w:val="auto"/>
        </w:rPr>
        <w:t>&amp;</w:t>
      </w:r>
      <w:r>
        <w:rPr>
          <w:rFonts w:ascii="Arial" w:cs="Arial" w:eastAsia="Arial" w:hAnsi="Arial"/>
          <w:sz w:val="14"/>
          <w:szCs w:val="14"/>
          <w:color w:val="auto"/>
        </w:rPr>
        <w:t>T’s security holders during the fourth quarter of 2006.</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Executive Officers of the Registrant</w:t>
      </w:r>
    </w:p>
    <w:p>
      <w:pPr>
        <w:spacing w:after="0" w:line="22" w:lineRule="exact"/>
        <w:rPr>
          <w:sz w:val="20"/>
          <w:szCs w:val="20"/>
          <w:color w:val="auto"/>
        </w:rPr>
      </w:pPr>
    </w:p>
    <w:p>
      <w:pPr>
        <w:ind w:left="680" w:right="40"/>
        <w:spacing w:after="0" w:line="249" w:lineRule="auto"/>
        <w:rPr>
          <w:sz w:val="20"/>
          <w:szCs w:val="20"/>
          <w:color w:val="auto"/>
        </w:rPr>
      </w:pPr>
      <w:r>
        <w:rPr>
          <w:rFonts w:ascii="Arial" w:cs="Arial" w:eastAsia="Arial" w:hAnsi="Arial"/>
          <w:sz w:val="14"/>
          <w:szCs w:val="14"/>
          <w:color w:val="auto"/>
        </w:rPr>
        <w:t>Information concerning the Registrant’s executive officers is presented below as of February 20, 2007. The year the officer was first appointed to the indicated position with the Registrant or its subsidiaries is shown parenthetically. In the case of each corporation noted below, officers’ terms run until the first meeting of the board of directors after such corporation’s annual meeting, which in the case of the Registrant takes place immediately following the Annual Meeting of Stockholders, and until their successors are elected and qualified.</w:t>
      </w:r>
    </w:p>
    <w:p>
      <w:pPr>
        <w:ind w:left="680" w:right="140" w:firstLine="599"/>
        <w:spacing w:after="0" w:line="268" w:lineRule="auto"/>
        <w:rPr>
          <w:sz w:val="20"/>
          <w:szCs w:val="20"/>
          <w:color w:val="auto"/>
        </w:rPr>
      </w:pPr>
      <w:r>
        <w:rPr>
          <w:rFonts w:ascii="Arial" w:cs="Arial" w:eastAsia="Arial" w:hAnsi="Arial"/>
          <w:sz w:val="13"/>
          <w:szCs w:val="13"/>
          <w:color w:val="auto"/>
        </w:rPr>
        <w:t>Robert G. Wilmers, age 72, is chief executive officer (2007), chairman of the board (2000) and a director (1982) of the Registrant. From April 1998 until July 2000, he served as president and chief executive officer of the Registrant, and from July 2000 until June 2005, he served as chairman, president (1988) and chief executive officer (1983) of the Registrant. He is chief executive officer (2007), chairman of the board (2005) and a director (1982) of M</w:t>
      </w:r>
      <w:r>
        <w:rPr>
          <w:rFonts w:ascii="Arial" w:cs="Arial" w:eastAsia="Arial" w:hAnsi="Arial"/>
          <w:sz w:val="12"/>
          <w:szCs w:val="12"/>
          <w:color w:val="auto"/>
        </w:rPr>
        <w:t>&amp;</w:t>
      </w:r>
      <w:r>
        <w:rPr>
          <w:rFonts w:ascii="Arial" w:cs="Arial" w:eastAsia="Arial" w:hAnsi="Arial"/>
          <w:sz w:val="13"/>
          <w:szCs w:val="13"/>
          <w:color w:val="auto"/>
        </w:rPr>
        <w:t>T Bank, and previously served as chairman of the board of M</w:t>
      </w:r>
      <w:r>
        <w:rPr>
          <w:rFonts w:ascii="Arial" w:cs="Arial" w:eastAsia="Arial" w:hAnsi="Arial"/>
          <w:sz w:val="12"/>
          <w:szCs w:val="12"/>
          <w:color w:val="auto"/>
        </w:rPr>
        <w:t>&amp;</w:t>
      </w:r>
      <w:r>
        <w:rPr>
          <w:rFonts w:ascii="Arial" w:cs="Arial" w:eastAsia="Arial" w:hAnsi="Arial"/>
          <w:sz w:val="13"/>
          <w:szCs w:val="13"/>
          <w:color w:val="auto"/>
        </w:rPr>
        <w:t>T Bank from March 1983 to July 2003 and as president of M</w:t>
      </w:r>
      <w:r>
        <w:rPr>
          <w:rFonts w:ascii="Arial" w:cs="Arial" w:eastAsia="Arial" w:hAnsi="Arial"/>
          <w:sz w:val="12"/>
          <w:szCs w:val="12"/>
          <w:color w:val="auto"/>
        </w:rPr>
        <w:t>&amp;</w:t>
      </w:r>
      <w:r>
        <w:rPr>
          <w:rFonts w:ascii="Arial" w:cs="Arial" w:eastAsia="Arial" w:hAnsi="Arial"/>
          <w:sz w:val="13"/>
          <w:szCs w:val="13"/>
          <w:color w:val="auto"/>
        </w:rPr>
        <w:t>T Bank from March 1984 to June 1996.</w:t>
      </w:r>
    </w:p>
    <w:p>
      <w:pPr>
        <w:spacing w:after="0" w:line="1" w:lineRule="exact"/>
        <w:rPr>
          <w:sz w:val="20"/>
          <w:szCs w:val="20"/>
          <w:color w:val="auto"/>
        </w:rPr>
      </w:pPr>
    </w:p>
    <w:p>
      <w:pPr>
        <w:ind w:left="680" w:firstLine="599"/>
        <w:spacing w:after="0" w:line="249" w:lineRule="auto"/>
        <w:rPr>
          <w:sz w:val="20"/>
          <w:szCs w:val="20"/>
          <w:color w:val="auto"/>
        </w:rPr>
      </w:pPr>
      <w:r>
        <w:rPr>
          <w:rFonts w:ascii="Arial" w:cs="Arial" w:eastAsia="Arial" w:hAnsi="Arial"/>
          <w:sz w:val="14"/>
          <w:szCs w:val="14"/>
          <w:color w:val="auto"/>
        </w:rPr>
        <w:t>Michael P. Pinto, age 51, is a vice chairman (2007) and a director (2003) of the Registrant. Previously, he was an executive vice president of the Registrant (1997). He is a vice chairman and a director (2003) of M</w:t>
      </w:r>
      <w:r>
        <w:rPr>
          <w:rFonts w:ascii="Arial" w:cs="Arial" w:eastAsia="Arial" w:hAnsi="Arial"/>
          <w:sz w:val="13"/>
          <w:szCs w:val="13"/>
          <w:color w:val="auto"/>
        </w:rPr>
        <w:t>&amp;</w:t>
      </w:r>
      <w:r>
        <w:rPr>
          <w:rFonts w:ascii="Arial" w:cs="Arial" w:eastAsia="Arial" w:hAnsi="Arial"/>
          <w:sz w:val="14"/>
          <w:szCs w:val="14"/>
          <w:color w:val="auto"/>
        </w:rPr>
        <w:t>T Bank and is the chairman and chief executive officer of M</w:t>
      </w:r>
      <w:r>
        <w:rPr>
          <w:rFonts w:ascii="Arial" w:cs="Arial" w:eastAsia="Arial" w:hAnsi="Arial"/>
          <w:sz w:val="13"/>
          <w:szCs w:val="13"/>
          <w:color w:val="auto"/>
        </w:rPr>
        <w:t>&amp;</w:t>
      </w:r>
      <w:r>
        <w:rPr>
          <w:rFonts w:ascii="Arial" w:cs="Arial" w:eastAsia="Arial" w:hAnsi="Arial"/>
          <w:sz w:val="14"/>
          <w:szCs w:val="14"/>
          <w:color w:val="auto"/>
        </w:rPr>
        <w:t>T Bank’s Mid-Atlantic Division (2005). Prior to April 2005, Mr. Pinto was the chief financial officer of the Registrant (1997) and M</w:t>
      </w:r>
      <w:r>
        <w:rPr>
          <w:rFonts w:ascii="Arial" w:cs="Arial" w:eastAsia="Arial" w:hAnsi="Arial"/>
          <w:sz w:val="13"/>
          <w:szCs w:val="13"/>
          <w:color w:val="auto"/>
        </w:rPr>
        <w:t>&amp;</w:t>
      </w:r>
      <w:r>
        <w:rPr>
          <w:rFonts w:ascii="Arial" w:cs="Arial" w:eastAsia="Arial" w:hAnsi="Arial"/>
          <w:sz w:val="14"/>
          <w:szCs w:val="14"/>
          <w:color w:val="auto"/>
        </w:rPr>
        <w:t>T Bank (1996), and he oversaw the Company’s Finance Division, Technology and Banking Operations Division, Corporate Services Group, Treasury Division and General Counsel’s Office. Mr. Pinto is a director of M</w:t>
      </w:r>
      <w:r>
        <w:rPr>
          <w:rFonts w:ascii="Arial" w:cs="Arial" w:eastAsia="Arial" w:hAnsi="Arial"/>
          <w:sz w:val="13"/>
          <w:szCs w:val="13"/>
          <w:color w:val="auto"/>
        </w:rPr>
        <w:t>&amp;</w:t>
      </w:r>
      <w:r>
        <w:rPr>
          <w:rFonts w:ascii="Arial" w:cs="Arial" w:eastAsia="Arial" w:hAnsi="Arial"/>
          <w:sz w:val="14"/>
          <w:szCs w:val="14"/>
          <w:color w:val="auto"/>
        </w:rPr>
        <w:t>T Investment (2004) and a trustee of M</w:t>
      </w:r>
      <w:r>
        <w:rPr>
          <w:rFonts w:ascii="Arial" w:cs="Arial" w:eastAsia="Arial" w:hAnsi="Arial"/>
          <w:sz w:val="13"/>
          <w:szCs w:val="13"/>
          <w:color w:val="auto"/>
        </w:rPr>
        <w:t>&amp;</w:t>
      </w:r>
      <w:r>
        <w:rPr>
          <w:rFonts w:ascii="Arial" w:cs="Arial" w:eastAsia="Arial" w:hAnsi="Arial"/>
          <w:sz w:val="14"/>
          <w:szCs w:val="14"/>
          <w:color w:val="auto"/>
        </w:rPr>
        <w:t>T Real Estate (1996). He is an executive vice president (1996) and a director (1998) of M</w:t>
      </w:r>
      <w:r>
        <w:rPr>
          <w:rFonts w:ascii="Arial" w:cs="Arial" w:eastAsia="Arial" w:hAnsi="Arial"/>
          <w:sz w:val="13"/>
          <w:szCs w:val="13"/>
          <w:color w:val="auto"/>
        </w:rPr>
        <w:t>&amp;</w:t>
      </w:r>
      <w:r>
        <w:rPr>
          <w:rFonts w:ascii="Arial" w:cs="Arial" w:eastAsia="Arial" w:hAnsi="Arial"/>
          <w:sz w:val="14"/>
          <w:szCs w:val="14"/>
          <w:color w:val="auto"/>
        </w:rPr>
        <w:t>T Bank, N.A. Mr. Pinto is also responsible for managing the operations of MTB Investment Advisors and the MTB Group of Funds.</w:t>
      </w:r>
    </w:p>
    <w:p>
      <w:pPr>
        <w:ind w:left="680" w:right="80" w:firstLine="599"/>
        <w:spacing w:after="0" w:line="268" w:lineRule="auto"/>
        <w:rPr>
          <w:sz w:val="20"/>
          <w:szCs w:val="20"/>
          <w:color w:val="auto"/>
        </w:rPr>
      </w:pPr>
      <w:r>
        <w:rPr>
          <w:rFonts w:ascii="Arial" w:cs="Arial" w:eastAsia="Arial" w:hAnsi="Arial"/>
          <w:sz w:val="13"/>
          <w:szCs w:val="13"/>
          <w:color w:val="auto"/>
        </w:rPr>
        <w:t>Mark J. Czarnecki, age 51, is president and a director (2007) of the Registrant and president and a director (2007) of M</w:t>
      </w:r>
      <w:r>
        <w:rPr>
          <w:rFonts w:ascii="Arial" w:cs="Arial" w:eastAsia="Arial" w:hAnsi="Arial"/>
          <w:sz w:val="12"/>
          <w:szCs w:val="12"/>
          <w:color w:val="auto"/>
        </w:rPr>
        <w:t>&amp;</w:t>
      </w:r>
      <w:r>
        <w:rPr>
          <w:rFonts w:ascii="Arial" w:cs="Arial" w:eastAsia="Arial" w:hAnsi="Arial"/>
          <w:sz w:val="13"/>
          <w:szCs w:val="13"/>
          <w:color w:val="auto"/>
        </w:rPr>
        <w:t>T Bank. Previously, he was an executive vice president of the Registrant (1999) and M</w:t>
      </w:r>
      <w:r>
        <w:rPr>
          <w:rFonts w:ascii="Arial" w:cs="Arial" w:eastAsia="Arial" w:hAnsi="Arial"/>
          <w:sz w:val="12"/>
          <w:szCs w:val="12"/>
          <w:color w:val="auto"/>
        </w:rPr>
        <w:t>&amp;</w:t>
      </w:r>
      <w:r>
        <w:rPr>
          <w:rFonts w:ascii="Arial" w:cs="Arial" w:eastAsia="Arial" w:hAnsi="Arial"/>
          <w:sz w:val="13"/>
          <w:szCs w:val="13"/>
          <w:color w:val="auto"/>
        </w:rPr>
        <w:t>T Bank (1997). He is in charge of the M</w:t>
      </w:r>
      <w:r>
        <w:rPr>
          <w:rFonts w:ascii="Arial" w:cs="Arial" w:eastAsia="Arial" w:hAnsi="Arial"/>
          <w:sz w:val="12"/>
          <w:szCs w:val="12"/>
          <w:color w:val="auto"/>
        </w:rPr>
        <w:t>&amp;</w:t>
      </w:r>
      <w:r>
        <w:rPr>
          <w:rFonts w:ascii="Arial" w:cs="Arial" w:eastAsia="Arial" w:hAnsi="Arial"/>
          <w:sz w:val="13"/>
          <w:szCs w:val="13"/>
          <w:color w:val="auto"/>
        </w:rPr>
        <w:t>T Investment Group, which is comprised of M</w:t>
      </w:r>
      <w:r>
        <w:rPr>
          <w:rFonts w:ascii="Arial" w:cs="Arial" w:eastAsia="Arial" w:hAnsi="Arial"/>
          <w:sz w:val="12"/>
          <w:szCs w:val="12"/>
          <w:color w:val="auto"/>
        </w:rPr>
        <w:t>&amp;</w:t>
      </w:r>
      <w:r>
        <w:rPr>
          <w:rFonts w:ascii="Arial" w:cs="Arial" w:eastAsia="Arial" w:hAnsi="Arial"/>
          <w:sz w:val="13"/>
          <w:szCs w:val="13"/>
          <w:color w:val="auto"/>
        </w:rPr>
        <w:t>T Securities, M</w:t>
      </w:r>
      <w:r>
        <w:rPr>
          <w:rFonts w:ascii="Arial" w:cs="Arial" w:eastAsia="Arial" w:hAnsi="Arial"/>
          <w:sz w:val="12"/>
          <w:szCs w:val="12"/>
          <w:color w:val="auto"/>
        </w:rPr>
        <w:t>&amp;</w:t>
      </w:r>
      <w:r>
        <w:rPr>
          <w:rFonts w:ascii="Arial" w:cs="Arial" w:eastAsia="Arial" w:hAnsi="Arial"/>
          <w:sz w:val="13"/>
          <w:szCs w:val="13"/>
          <w:color w:val="auto"/>
        </w:rPr>
        <w:t>T Insurance Agency and the Trust and Investment Services Division of M</w:t>
      </w:r>
      <w:r>
        <w:rPr>
          <w:rFonts w:ascii="Arial" w:cs="Arial" w:eastAsia="Arial" w:hAnsi="Arial"/>
          <w:sz w:val="12"/>
          <w:szCs w:val="12"/>
          <w:color w:val="auto"/>
        </w:rPr>
        <w:t>&amp;</w:t>
      </w:r>
      <w:r>
        <w:rPr>
          <w:rFonts w:ascii="Arial" w:cs="Arial" w:eastAsia="Arial" w:hAnsi="Arial"/>
          <w:sz w:val="13"/>
          <w:szCs w:val="13"/>
          <w:color w:val="auto"/>
        </w:rPr>
        <w:t>T Bank. He is also in charge of the Company’s Retail Banking network which includes branches, automated teller machines, web-banking and telephone banking systems. Mr. Czarnecki is a director of M</w:t>
      </w:r>
      <w:r>
        <w:rPr>
          <w:rFonts w:ascii="Arial" w:cs="Arial" w:eastAsia="Arial" w:hAnsi="Arial"/>
          <w:sz w:val="12"/>
          <w:szCs w:val="12"/>
          <w:color w:val="auto"/>
        </w:rPr>
        <w:t>&amp;</w:t>
      </w:r>
      <w:r>
        <w:rPr>
          <w:rFonts w:ascii="Arial" w:cs="Arial" w:eastAsia="Arial" w:hAnsi="Arial"/>
          <w:sz w:val="13"/>
          <w:szCs w:val="13"/>
          <w:color w:val="auto"/>
        </w:rPr>
        <w:t>T Securities (1999) and an executive vice president (1997) and a director (2005) of M</w:t>
      </w:r>
      <w:r>
        <w:rPr>
          <w:rFonts w:ascii="Arial" w:cs="Arial" w:eastAsia="Arial" w:hAnsi="Arial"/>
          <w:sz w:val="12"/>
          <w:szCs w:val="12"/>
          <w:color w:val="auto"/>
        </w:rPr>
        <w:t>&amp;</w:t>
      </w:r>
      <w:r>
        <w:rPr>
          <w:rFonts w:ascii="Arial" w:cs="Arial" w:eastAsia="Arial" w:hAnsi="Arial"/>
          <w:sz w:val="13"/>
          <w:szCs w:val="13"/>
          <w:color w:val="auto"/>
        </w:rPr>
        <w:t>T Bank, N.A. He is chairman of the board and a director of M</w:t>
      </w:r>
      <w:r>
        <w:rPr>
          <w:rFonts w:ascii="Arial" w:cs="Arial" w:eastAsia="Arial" w:hAnsi="Arial"/>
          <w:sz w:val="12"/>
          <w:szCs w:val="12"/>
          <w:color w:val="auto"/>
        </w:rPr>
        <w:t>&amp;</w:t>
      </w:r>
      <w:r>
        <w:rPr>
          <w:rFonts w:ascii="Arial" w:cs="Arial" w:eastAsia="Arial" w:hAnsi="Arial"/>
          <w:sz w:val="13"/>
          <w:szCs w:val="13"/>
          <w:color w:val="auto"/>
        </w:rPr>
        <w:t>T Insurance Agency (2000) and MTB Investment Advisors (2003).</w:t>
      </w:r>
    </w:p>
    <w:p>
      <w:pPr>
        <w:spacing w:after="0" w:line="1" w:lineRule="exact"/>
        <w:rPr>
          <w:sz w:val="20"/>
          <w:szCs w:val="20"/>
          <w:color w:val="auto"/>
        </w:rPr>
      </w:pPr>
    </w:p>
    <w:p>
      <w:pPr>
        <w:ind w:left="680" w:right="400" w:firstLine="599"/>
        <w:spacing w:after="0" w:line="249" w:lineRule="auto"/>
        <w:rPr>
          <w:sz w:val="20"/>
          <w:szCs w:val="20"/>
          <w:color w:val="auto"/>
        </w:rPr>
      </w:pPr>
      <w:r>
        <w:rPr>
          <w:rFonts w:ascii="Arial" w:cs="Arial" w:eastAsia="Arial" w:hAnsi="Arial"/>
          <w:sz w:val="14"/>
          <w:szCs w:val="14"/>
          <w:color w:val="auto"/>
        </w:rPr>
        <w:t>James J. Beardi, age 60, is an executive vice president (2003) of the Registrant and M</w:t>
      </w:r>
      <w:r>
        <w:rPr>
          <w:rFonts w:ascii="Arial" w:cs="Arial" w:eastAsia="Arial" w:hAnsi="Arial"/>
          <w:sz w:val="13"/>
          <w:szCs w:val="13"/>
          <w:color w:val="auto"/>
        </w:rPr>
        <w:t>&amp;</w:t>
      </w:r>
      <w:r>
        <w:rPr>
          <w:rFonts w:ascii="Arial" w:cs="Arial" w:eastAsia="Arial" w:hAnsi="Arial"/>
          <w:sz w:val="14"/>
          <w:szCs w:val="14"/>
          <w:color w:val="auto"/>
        </w:rPr>
        <w:t>T Bank, and is responsible for managing the Company’s Residential Mortgage business and the General Counsel’s Office. He was president and a director of M</w:t>
      </w:r>
      <w:r>
        <w:rPr>
          <w:rFonts w:ascii="Arial" w:cs="Arial" w:eastAsia="Arial" w:hAnsi="Arial"/>
          <w:sz w:val="13"/>
          <w:szCs w:val="13"/>
          <w:color w:val="auto"/>
        </w:rPr>
        <w:t>&amp;</w:t>
      </w:r>
      <w:r>
        <w:rPr>
          <w:rFonts w:ascii="Arial" w:cs="Arial" w:eastAsia="Arial" w:hAnsi="Arial"/>
          <w:sz w:val="14"/>
          <w:szCs w:val="14"/>
          <w:color w:val="auto"/>
        </w:rPr>
        <w:t>T Mortgage (1991) until its merger into M</w:t>
      </w:r>
      <w:r>
        <w:rPr>
          <w:rFonts w:ascii="Arial" w:cs="Arial" w:eastAsia="Arial" w:hAnsi="Arial"/>
          <w:sz w:val="13"/>
          <w:szCs w:val="13"/>
          <w:color w:val="auto"/>
        </w:rPr>
        <w:t>&amp;</w:t>
      </w:r>
      <w:r>
        <w:rPr>
          <w:rFonts w:ascii="Arial" w:cs="Arial" w:eastAsia="Arial" w:hAnsi="Arial"/>
          <w:sz w:val="14"/>
          <w:szCs w:val="14"/>
          <w:color w:val="auto"/>
        </w:rPr>
        <w:t>T Bank on January 1, 2007. Mr. Beardi served as senior vice president of M</w:t>
      </w:r>
      <w:r>
        <w:rPr>
          <w:rFonts w:ascii="Arial" w:cs="Arial" w:eastAsia="Arial" w:hAnsi="Arial"/>
          <w:sz w:val="13"/>
          <w:szCs w:val="13"/>
          <w:color w:val="auto"/>
        </w:rPr>
        <w:t>&amp;</w:t>
      </w:r>
      <w:r>
        <w:rPr>
          <w:rFonts w:ascii="Arial" w:cs="Arial" w:eastAsia="Arial" w:hAnsi="Arial"/>
          <w:sz w:val="14"/>
          <w:szCs w:val="14"/>
          <w:color w:val="auto"/>
        </w:rPr>
        <w:t>T Bank from 1989 to 2003.</w:t>
      </w:r>
    </w:p>
    <w:p>
      <w:pPr>
        <w:ind w:left="680" w:right="580" w:firstLine="599"/>
        <w:spacing w:after="0" w:line="301" w:lineRule="auto"/>
        <w:rPr>
          <w:sz w:val="20"/>
          <w:szCs w:val="20"/>
          <w:color w:val="auto"/>
        </w:rPr>
      </w:pPr>
      <w:r>
        <w:rPr>
          <w:rFonts w:ascii="Arial" w:cs="Arial" w:eastAsia="Arial" w:hAnsi="Arial"/>
          <w:sz w:val="13"/>
          <w:szCs w:val="13"/>
          <w:color w:val="auto"/>
        </w:rPr>
        <w:t>Robert J. Bojdak, age 51, is an executive vice president and chief credit officer (2004) of the Registrant and M</w:t>
      </w:r>
      <w:r>
        <w:rPr>
          <w:rFonts w:ascii="Arial" w:cs="Arial" w:eastAsia="Arial" w:hAnsi="Arial"/>
          <w:sz w:val="12"/>
          <w:szCs w:val="12"/>
          <w:color w:val="auto"/>
        </w:rPr>
        <w:t>&amp;</w:t>
      </w:r>
      <w:r>
        <w:rPr>
          <w:rFonts w:ascii="Arial" w:cs="Arial" w:eastAsia="Arial" w:hAnsi="Arial"/>
          <w:sz w:val="13"/>
          <w:szCs w:val="13"/>
          <w:color w:val="auto"/>
        </w:rPr>
        <w:t>T Bank. From April 2002 to April 2004, Mr. Bojdak served as senior vice president and credit deputy for M</w:t>
      </w:r>
      <w:r>
        <w:rPr>
          <w:rFonts w:ascii="Arial" w:cs="Arial" w:eastAsia="Arial" w:hAnsi="Arial"/>
          <w:sz w:val="12"/>
          <w:szCs w:val="12"/>
          <w:color w:val="auto"/>
        </w:rPr>
        <w:t>&amp;</w:t>
      </w:r>
      <w:r>
        <w:rPr>
          <w:rFonts w:ascii="Arial" w:cs="Arial" w:eastAsia="Arial" w:hAnsi="Arial"/>
          <w:sz w:val="13"/>
          <w:szCs w:val="13"/>
          <w:color w:val="auto"/>
        </w:rPr>
        <w:t>T Bank. Previous to joining M</w:t>
      </w:r>
      <w:r>
        <w:rPr>
          <w:rFonts w:ascii="Arial" w:cs="Arial" w:eastAsia="Arial" w:hAnsi="Arial"/>
          <w:sz w:val="12"/>
          <w:szCs w:val="12"/>
          <w:color w:val="auto"/>
        </w:rPr>
        <w:t>&amp;</w:t>
      </w:r>
      <w:r>
        <w:rPr>
          <w:rFonts w:ascii="Arial" w:cs="Arial" w:eastAsia="Arial" w:hAnsi="Arial"/>
          <w:sz w:val="13"/>
          <w:szCs w:val="13"/>
          <w:color w:val="auto"/>
        </w:rPr>
        <w:t>T Bank in 2002, Mr. Bojdak served in several</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right="460"/>
        <w:spacing w:after="0" w:line="258" w:lineRule="auto"/>
        <w:rPr>
          <w:sz w:val="20"/>
          <w:szCs w:val="20"/>
          <w:color w:val="auto"/>
        </w:rPr>
      </w:pPr>
      <w:r>
        <w:rPr>
          <w:rFonts w:ascii="Arial" w:cs="Arial" w:eastAsia="Arial" w:hAnsi="Arial"/>
          <w:sz w:val="14"/>
          <w:szCs w:val="14"/>
          <w:color w:val="auto"/>
        </w:rPr>
        <w:t>senior management positions at KeyCorp., most recently as executive vice president and regional credit executive. He is an executive vice president and a director of M</w:t>
      </w:r>
      <w:r>
        <w:rPr>
          <w:rFonts w:ascii="Arial" w:cs="Arial" w:eastAsia="Arial" w:hAnsi="Arial"/>
          <w:sz w:val="13"/>
          <w:szCs w:val="13"/>
          <w:color w:val="auto"/>
        </w:rPr>
        <w:t>&amp;</w:t>
      </w:r>
      <w:r>
        <w:rPr>
          <w:rFonts w:ascii="Arial" w:cs="Arial" w:eastAsia="Arial" w:hAnsi="Arial"/>
          <w:sz w:val="14"/>
          <w:szCs w:val="14"/>
          <w:color w:val="auto"/>
        </w:rPr>
        <w:t>T Bank, N.A. (2004) and M</w:t>
      </w:r>
      <w:r>
        <w:rPr>
          <w:rFonts w:ascii="Arial" w:cs="Arial" w:eastAsia="Arial" w:hAnsi="Arial"/>
          <w:sz w:val="13"/>
          <w:szCs w:val="13"/>
          <w:color w:val="auto"/>
        </w:rPr>
        <w:t>&amp;</w:t>
      </w:r>
      <w:r>
        <w:rPr>
          <w:rFonts w:ascii="Arial" w:cs="Arial" w:eastAsia="Arial" w:hAnsi="Arial"/>
          <w:sz w:val="14"/>
          <w:szCs w:val="14"/>
          <w:color w:val="auto"/>
        </w:rPr>
        <w:t>T Credit (2004).</w:t>
      </w:r>
    </w:p>
    <w:p>
      <w:pPr>
        <w:ind w:left="680" w:right="220" w:firstLine="599"/>
        <w:spacing w:after="0" w:line="249" w:lineRule="auto"/>
        <w:rPr>
          <w:sz w:val="20"/>
          <w:szCs w:val="20"/>
          <w:color w:val="auto"/>
        </w:rPr>
      </w:pPr>
      <w:r>
        <w:rPr>
          <w:rFonts w:ascii="Arial" w:cs="Arial" w:eastAsia="Arial" w:hAnsi="Arial"/>
          <w:sz w:val="14"/>
          <w:szCs w:val="14"/>
          <w:color w:val="auto"/>
        </w:rPr>
        <w:t>Stephen J. Braunscheidel, age 50, is an executive vice president (2004) of the Registrant and M</w:t>
      </w:r>
      <w:r>
        <w:rPr>
          <w:rFonts w:ascii="Arial" w:cs="Arial" w:eastAsia="Arial" w:hAnsi="Arial"/>
          <w:sz w:val="13"/>
          <w:szCs w:val="13"/>
          <w:color w:val="auto"/>
        </w:rPr>
        <w:t>&amp;</w:t>
      </w:r>
      <w:r>
        <w:rPr>
          <w:rFonts w:ascii="Arial" w:cs="Arial" w:eastAsia="Arial" w:hAnsi="Arial"/>
          <w:sz w:val="14"/>
          <w:szCs w:val="14"/>
          <w:color w:val="auto"/>
        </w:rPr>
        <w:t>T Bank, and is in charge of the Company’s Human Resources Division. Previously, he was a senior vice president in the M</w:t>
      </w:r>
      <w:r>
        <w:rPr>
          <w:rFonts w:ascii="Arial" w:cs="Arial" w:eastAsia="Arial" w:hAnsi="Arial"/>
          <w:sz w:val="13"/>
          <w:szCs w:val="13"/>
          <w:color w:val="auto"/>
        </w:rPr>
        <w:t>&amp;</w:t>
      </w:r>
      <w:r>
        <w:rPr>
          <w:rFonts w:ascii="Arial" w:cs="Arial" w:eastAsia="Arial" w:hAnsi="Arial"/>
          <w:sz w:val="14"/>
          <w:szCs w:val="14"/>
          <w:color w:val="auto"/>
        </w:rPr>
        <w:t>T Investment Services Group, where he managed the Private Client Services and Employee Benefits departments. Mr. Braunscheidel has held a number of management positions with M</w:t>
      </w:r>
      <w:r>
        <w:rPr>
          <w:rFonts w:ascii="Arial" w:cs="Arial" w:eastAsia="Arial" w:hAnsi="Arial"/>
          <w:sz w:val="13"/>
          <w:szCs w:val="13"/>
          <w:color w:val="auto"/>
        </w:rPr>
        <w:t>&amp;</w:t>
      </w:r>
      <w:r>
        <w:rPr>
          <w:rFonts w:ascii="Arial" w:cs="Arial" w:eastAsia="Arial" w:hAnsi="Arial"/>
          <w:sz w:val="14"/>
          <w:szCs w:val="14"/>
          <w:color w:val="auto"/>
        </w:rPr>
        <w:t>T Bank since 1978.</w:t>
      </w:r>
    </w:p>
    <w:p>
      <w:pPr>
        <w:ind w:left="680" w:right="340" w:firstLine="599"/>
        <w:spacing w:after="0" w:line="249" w:lineRule="auto"/>
        <w:rPr>
          <w:sz w:val="20"/>
          <w:szCs w:val="20"/>
          <w:color w:val="auto"/>
        </w:rPr>
      </w:pPr>
      <w:r>
        <w:rPr>
          <w:rFonts w:ascii="Arial" w:cs="Arial" w:eastAsia="Arial" w:hAnsi="Arial"/>
          <w:sz w:val="14"/>
          <w:szCs w:val="14"/>
          <w:color w:val="auto"/>
        </w:rPr>
        <w:t>Atwood Collins, III, age 60, is an executive vice president of the Registrant (1997) and M</w:t>
      </w:r>
      <w:r>
        <w:rPr>
          <w:rFonts w:ascii="Arial" w:cs="Arial" w:eastAsia="Arial" w:hAnsi="Arial"/>
          <w:sz w:val="13"/>
          <w:szCs w:val="13"/>
          <w:color w:val="auto"/>
        </w:rPr>
        <w:t>&amp;</w:t>
      </w:r>
      <w:r>
        <w:rPr>
          <w:rFonts w:ascii="Arial" w:cs="Arial" w:eastAsia="Arial" w:hAnsi="Arial"/>
          <w:sz w:val="14"/>
          <w:szCs w:val="14"/>
          <w:color w:val="auto"/>
        </w:rPr>
        <w:t>T Bank (1996), and is the president and chief operating officer of M</w:t>
      </w:r>
      <w:r>
        <w:rPr>
          <w:rFonts w:ascii="Arial" w:cs="Arial" w:eastAsia="Arial" w:hAnsi="Arial"/>
          <w:sz w:val="13"/>
          <w:szCs w:val="13"/>
          <w:color w:val="auto"/>
        </w:rPr>
        <w:t>&amp;</w:t>
      </w:r>
      <w:r>
        <w:rPr>
          <w:rFonts w:ascii="Arial" w:cs="Arial" w:eastAsia="Arial" w:hAnsi="Arial"/>
          <w:sz w:val="14"/>
          <w:szCs w:val="14"/>
          <w:color w:val="auto"/>
        </w:rPr>
        <w:t>T Bank’s Mid-Atlantic Division. Mr. Collins is a trustee of M</w:t>
      </w:r>
      <w:r>
        <w:rPr>
          <w:rFonts w:ascii="Arial" w:cs="Arial" w:eastAsia="Arial" w:hAnsi="Arial"/>
          <w:sz w:val="13"/>
          <w:szCs w:val="13"/>
          <w:color w:val="auto"/>
        </w:rPr>
        <w:t>&amp;</w:t>
      </w:r>
      <w:r>
        <w:rPr>
          <w:rFonts w:ascii="Arial" w:cs="Arial" w:eastAsia="Arial" w:hAnsi="Arial"/>
          <w:sz w:val="14"/>
          <w:szCs w:val="14"/>
          <w:color w:val="auto"/>
        </w:rPr>
        <w:t>T Real Estate (1995) and a director of M</w:t>
      </w:r>
      <w:r>
        <w:rPr>
          <w:rFonts w:ascii="Arial" w:cs="Arial" w:eastAsia="Arial" w:hAnsi="Arial"/>
          <w:sz w:val="13"/>
          <w:szCs w:val="13"/>
          <w:color w:val="auto"/>
        </w:rPr>
        <w:t>&amp;</w:t>
      </w:r>
      <w:r>
        <w:rPr>
          <w:rFonts w:ascii="Arial" w:cs="Arial" w:eastAsia="Arial" w:hAnsi="Arial"/>
          <w:sz w:val="14"/>
          <w:szCs w:val="14"/>
          <w:color w:val="auto"/>
        </w:rPr>
        <w:t>T Realty Capital (2003).</w:t>
      </w:r>
    </w:p>
    <w:p>
      <w:pPr>
        <w:ind w:left="680" w:right="100" w:firstLine="599"/>
        <w:spacing w:after="0" w:line="249" w:lineRule="auto"/>
        <w:rPr>
          <w:sz w:val="20"/>
          <w:szCs w:val="20"/>
          <w:color w:val="auto"/>
        </w:rPr>
      </w:pPr>
      <w:r>
        <w:rPr>
          <w:rFonts w:ascii="Arial" w:cs="Arial" w:eastAsia="Arial" w:hAnsi="Arial"/>
          <w:sz w:val="14"/>
          <w:szCs w:val="14"/>
          <w:color w:val="auto"/>
        </w:rPr>
        <w:t>Gregory L. Ford, age 47, is an executive vice president of the Registrant (2006) and M</w:t>
      </w:r>
      <w:r>
        <w:rPr>
          <w:rFonts w:ascii="Arial" w:cs="Arial" w:eastAsia="Arial" w:hAnsi="Arial"/>
          <w:sz w:val="13"/>
          <w:szCs w:val="13"/>
          <w:color w:val="auto"/>
        </w:rPr>
        <w:t>&amp;</w:t>
      </w:r>
      <w:r>
        <w:rPr>
          <w:rFonts w:ascii="Arial" w:cs="Arial" w:eastAsia="Arial" w:hAnsi="Arial"/>
          <w:sz w:val="14"/>
          <w:szCs w:val="14"/>
          <w:color w:val="auto"/>
        </w:rPr>
        <w:t>T Bank (2004), and is responsible for managing the Company’s Consumer Lending department, as well as its Automobile Floor Plan department. He is president and a director of M</w:t>
      </w:r>
      <w:r>
        <w:rPr>
          <w:rFonts w:ascii="Arial" w:cs="Arial" w:eastAsia="Arial" w:hAnsi="Arial"/>
          <w:sz w:val="13"/>
          <w:szCs w:val="13"/>
          <w:color w:val="auto"/>
        </w:rPr>
        <w:t>&amp;</w:t>
      </w:r>
      <w:r>
        <w:rPr>
          <w:rFonts w:ascii="Arial" w:cs="Arial" w:eastAsia="Arial" w:hAnsi="Arial"/>
          <w:sz w:val="14"/>
          <w:szCs w:val="14"/>
          <w:color w:val="auto"/>
        </w:rPr>
        <w:t>T Credit (1999) and is an executive vice president of M</w:t>
      </w:r>
      <w:r>
        <w:rPr>
          <w:rFonts w:ascii="Arial" w:cs="Arial" w:eastAsia="Arial" w:hAnsi="Arial"/>
          <w:sz w:val="13"/>
          <w:szCs w:val="13"/>
          <w:color w:val="auto"/>
        </w:rPr>
        <w:t>&amp;</w:t>
      </w:r>
      <w:r>
        <w:rPr>
          <w:rFonts w:ascii="Arial" w:cs="Arial" w:eastAsia="Arial" w:hAnsi="Arial"/>
          <w:sz w:val="14"/>
          <w:szCs w:val="14"/>
          <w:color w:val="auto"/>
        </w:rPr>
        <w:t>T Bank, N.A. (2004). Mr. Ford served as a senior vice president of M</w:t>
      </w:r>
      <w:r>
        <w:rPr>
          <w:rFonts w:ascii="Arial" w:cs="Arial" w:eastAsia="Arial" w:hAnsi="Arial"/>
          <w:sz w:val="13"/>
          <w:szCs w:val="13"/>
          <w:color w:val="auto"/>
        </w:rPr>
        <w:t>&amp;</w:t>
      </w:r>
      <w:r>
        <w:rPr>
          <w:rFonts w:ascii="Arial" w:cs="Arial" w:eastAsia="Arial" w:hAnsi="Arial"/>
          <w:sz w:val="14"/>
          <w:szCs w:val="14"/>
          <w:color w:val="auto"/>
        </w:rPr>
        <w:t>T Bank from 1998 to 2004.</w:t>
      </w:r>
    </w:p>
    <w:p>
      <w:pPr>
        <w:ind w:left="680" w:right="40" w:firstLine="599"/>
        <w:spacing w:after="0" w:line="249" w:lineRule="auto"/>
        <w:rPr>
          <w:sz w:val="20"/>
          <w:szCs w:val="20"/>
          <w:color w:val="auto"/>
        </w:rPr>
      </w:pPr>
      <w:r>
        <w:rPr>
          <w:rFonts w:ascii="Arial" w:cs="Arial" w:eastAsia="Arial" w:hAnsi="Arial"/>
          <w:sz w:val="14"/>
          <w:szCs w:val="14"/>
          <w:color w:val="auto"/>
        </w:rPr>
        <w:t>Brian E. Hickey, age 54, is an executive vice president of the Registrant (1997) and M</w:t>
      </w:r>
      <w:r>
        <w:rPr>
          <w:rFonts w:ascii="Arial" w:cs="Arial" w:eastAsia="Arial" w:hAnsi="Arial"/>
          <w:sz w:val="13"/>
          <w:szCs w:val="13"/>
          <w:color w:val="auto"/>
        </w:rPr>
        <w:t>&amp;</w:t>
      </w:r>
      <w:r>
        <w:rPr>
          <w:rFonts w:ascii="Arial" w:cs="Arial" w:eastAsia="Arial" w:hAnsi="Arial"/>
          <w:sz w:val="14"/>
          <w:szCs w:val="14"/>
          <w:color w:val="auto"/>
        </w:rPr>
        <w:t>T Bank (1996). He is a member of the Directors Advisory Council (1994) of the Rochester Division of M</w:t>
      </w:r>
      <w:r>
        <w:rPr>
          <w:rFonts w:ascii="Arial" w:cs="Arial" w:eastAsia="Arial" w:hAnsi="Arial"/>
          <w:sz w:val="13"/>
          <w:szCs w:val="13"/>
          <w:color w:val="auto"/>
        </w:rPr>
        <w:t>&amp;</w:t>
      </w:r>
      <w:r>
        <w:rPr>
          <w:rFonts w:ascii="Arial" w:cs="Arial" w:eastAsia="Arial" w:hAnsi="Arial"/>
          <w:sz w:val="14"/>
          <w:szCs w:val="14"/>
          <w:color w:val="auto"/>
        </w:rPr>
        <w:t>T Bank. Mr. Hickey is responsible for managing all of the non-retail segments in the Albany, Hudson Valley, Rochester, Syracuse and Southern Divisions of M</w:t>
      </w:r>
      <w:r>
        <w:rPr>
          <w:rFonts w:ascii="Arial" w:cs="Arial" w:eastAsia="Arial" w:hAnsi="Arial"/>
          <w:sz w:val="13"/>
          <w:szCs w:val="13"/>
          <w:color w:val="auto"/>
        </w:rPr>
        <w:t>&amp;</w:t>
      </w:r>
      <w:r>
        <w:rPr>
          <w:rFonts w:ascii="Arial" w:cs="Arial" w:eastAsia="Arial" w:hAnsi="Arial"/>
          <w:sz w:val="14"/>
          <w:szCs w:val="14"/>
          <w:color w:val="auto"/>
        </w:rPr>
        <w:t>T Bank, and he also has responsibility for managing the Company’s middle market commercial banking, health care and government banking businesses.</w:t>
      </w:r>
    </w:p>
    <w:p>
      <w:pPr>
        <w:ind w:left="680" w:firstLine="599"/>
        <w:spacing w:after="0" w:line="249" w:lineRule="auto"/>
        <w:rPr>
          <w:sz w:val="20"/>
          <w:szCs w:val="20"/>
          <w:color w:val="auto"/>
        </w:rPr>
      </w:pPr>
      <w:r>
        <w:rPr>
          <w:rFonts w:ascii="Arial" w:cs="Arial" w:eastAsia="Arial" w:hAnsi="Arial"/>
          <w:sz w:val="14"/>
          <w:szCs w:val="14"/>
          <w:color w:val="auto"/>
        </w:rPr>
        <w:t>René F. Jones, age 42, is an executive vice president (2006) and chief financial officer (2005) of the Registrant and M</w:t>
      </w:r>
      <w:r>
        <w:rPr>
          <w:rFonts w:ascii="Arial" w:cs="Arial" w:eastAsia="Arial" w:hAnsi="Arial"/>
          <w:sz w:val="13"/>
          <w:szCs w:val="13"/>
          <w:color w:val="auto"/>
        </w:rPr>
        <w:t>&amp;</w:t>
      </w:r>
      <w:r>
        <w:rPr>
          <w:rFonts w:ascii="Arial" w:cs="Arial" w:eastAsia="Arial" w:hAnsi="Arial"/>
          <w:sz w:val="14"/>
          <w:szCs w:val="14"/>
          <w:color w:val="auto"/>
        </w:rPr>
        <w:t>T Bank. Previously, Mr. Jones was a senior vice president in charge of the Financial Performance Measurement department within M</w:t>
      </w:r>
      <w:r>
        <w:rPr>
          <w:rFonts w:ascii="Arial" w:cs="Arial" w:eastAsia="Arial" w:hAnsi="Arial"/>
          <w:sz w:val="13"/>
          <w:szCs w:val="13"/>
          <w:color w:val="auto"/>
        </w:rPr>
        <w:t>&amp;</w:t>
      </w:r>
      <w:r>
        <w:rPr>
          <w:rFonts w:ascii="Arial" w:cs="Arial" w:eastAsia="Arial" w:hAnsi="Arial"/>
          <w:sz w:val="14"/>
          <w:szCs w:val="14"/>
          <w:color w:val="auto"/>
        </w:rPr>
        <w:t>T Bank’s Finance Division. Mr. Jones has held a number of management positions within M</w:t>
      </w:r>
      <w:r>
        <w:rPr>
          <w:rFonts w:ascii="Arial" w:cs="Arial" w:eastAsia="Arial" w:hAnsi="Arial"/>
          <w:sz w:val="13"/>
          <w:szCs w:val="13"/>
          <w:color w:val="auto"/>
        </w:rPr>
        <w:t>&amp;</w:t>
      </w:r>
      <w:r>
        <w:rPr>
          <w:rFonts w:ascii="Arial" w:cs="Arial" w:eastAsia="Arial" w:hAnsi="Arial"/>
          <w:sz w:val="14"/>
          <w:szCs w:val="14"/>
          <w:color w:val="auto"/>
        </w:rPr>
        <w:t>T Bank’s Finance Division since 1992. Mr. Jones is an executive vice president and chief financial officer of M</w:t>
      </w:r>
      <w:r>
        <w:rPr>
          <w:rFonts w:ascii="Arial" w:cs="Arial" w:eastAsia="Arial" w:hAnsi="Arial"/>
          <w:sz w:val="13"/>
          <w:szCs w:val="13"/>
          <w:color w:val="auto"/>
        </w:rPr>
        <w:t>&amp;</w:t>
      </w:r>
      <w:r>
        <w:rPr>
          <w:rFonts w:ascii="Arial" w:cs="Arial" w:eastAsia="Arial" w:hAnsi="Arial"/>
          <w:sz w:val="14"/>
          <w:szCs w:val="14"/>
          <w:color w:val="auto"/>
        </w:rPr>
        <w:t>T Bank, N.A. (2005), and he is a trustee of M</w:t>
      </w:r>
      <w:r>
        <w:rPr>
          <w:rFonts w:ascii="Arial" w:cs="Arial" w:eastAsia="Arial" w:hAnsi="Arial"/>
          <w:sz w:val="13"/>
          <w:szCs w:val="13"/>
          <w:color w:val="auto"/>
        </w:rPr>
        <w:t>&amp;</w:t>
      </w:r>
      <w:r>
        <w:rPr>
          <w:rFonts w:ascii="Arial" w:cs="Arial" w:eastAsia="Arial" w:hAnsi="Arial"/>
          <w:sz w:val="14"/>
          <w:szCs w:val="14"/>
          <w:color w:val="auto"/>
        </w:rPr>
        <w:t>T Real Estate (2005). He is a director of M</w:t>
      </w:r>
      <w:r>
        <w:rPr>
          <w:rFonts w:ascii="Arial" w:cs="Arial" w:eastAsia="Arial" w:hAnsi="Arial"/>
          <w:sz w:val="13"/>
          <w:szCs w:val="13"/>
          <w:color w:val="auto"/>
        </w:rPr>
        <w:t>&amp;</w:t>
      </w:r>
      <w:r>
        <w:rPr>
          <w:rFonts w:ascii="Arial" w:cs="Arial" w:eastAsia="Arial" w:hAnsi="Arial"/>
          <w:sz w:val="14"/>
          <w:szCs w:val="14"/>
          <w:color w:val="auto"/>
        </w:rPr>
        <w:t>T Investment (2005).</w:t>
      </w:r>
    </w:p>
    <w:p>
      <w:pPr>
        <w:ind w:left="680" w:right="280" w:firstLine="599"/>
        <w:spacing w:after="0" w:line="249" w:lineRule="auto"/>
        <w:rPr>
          <w:sz w:val="20"/>
          <w:szCs w:val="20"/>
          <w:color w:val="auto"/>
        </w:rPr>
      </w:pPr>
      <w:r>
        <w:rPr>
          <w:rFonts w:ascii="Arial" w:cs="Arial" w:eastAsia="Arial" w:hAnsi="Arial"/>
          <w:sz w:val="14"/>
          <w:szCs w:val="14"/>
          <w:color w:val="auto"/>
        </w:rPr>
        <w:t>Adam C. Kugler, age 49, is an executive vice president and treasurer (1997) of the Registrant and M</w:t>
      </w:r>
      <w:r>
        <w:rPr>
          <w:rFonts w:ascii="Arial" w:cs="Arial" w:eastAsia="Arial" w:hAnsi="Arial"/>
          <w:sz w:val="13"/>
          <w:szCs w:val="13"/>
          <w:color w:val="auto"/>
        </w:rPr>
        <w:t>&amp;</w:t>
      </w:r>
      <w:r>
        <w:rPr>
          <w:rFonts w:ascii="Arial" w:cs="Arial" w:eastAsia="Arial" w:hAnsi="Arial"/>
          <w:sz w:val="14"/>
          <w:szCs w:val="14"/>
          <w:color w:val="auto"/>
        </w:rPr>
        <w:t>T Bank, and is in charge of the Company’s Treasury Division. Mr. Kugler is chairman of the board and a director of M</w:t>
      </w:r>
      <w:r>
        <w:rPr>
          <w:rFonts w:ascii="Arial" w:cs="Arial" w:eastAsia="Arial" w:hAnsi="Arial"/>
          <w:sz w:val="13"/>
          <w:szCs w:val="13"/>
          <w:color w:val="auto"/>
        </w:rPr>
        <w:t>&amp;</w:t>
      </w:r>
      <w:r>
        <w:rPr>
          <w:rFonts w:ascii="Arial" w:cs="Arial" w:eastAsia="Arial" w:hAnsi="Arial"/>
          <w:sz w:val="14"/>
          <w:szCs w:val="14"/>
          <w:color w:val="auto"/>
        </w:rPr>
        <w:t>T Investment (2004), a director of M</w:t>
      </w:r>
      <w:r>
        <w:rPr>
          <w:rFonts w:ascii="Arial" w:cs="Arial" w:eastAsia="Arial" w:hAnsi="Arial"/>
          <w:sz w:val="13"/>
          <w:szCs w:val="13"/>
          <w:color w:val="auto"/>
        </w:rPr>
        <w:t>&amp;</w:t>
      </w:r>
      <w:r>
        <w:rPr>
          <w:rFonts w:ascii="Arial" w:cs="Arial" w:eastAsia="Arial" w:hAnsi="Arial"/>
          <w:sz w:val="14"/>
          <w:szCs w:val="14"/>
          <w:color w:val="auto"/>
        </w:rPr>
        <w:t>T Securities (1997) and M</w:t>
      </w:r>
      <w:r>
        <w:rPr>
          <w:rFonts w:ascii="Arial" w:cs="Arial" w:eastAsia="Arial" w:hAnsi="Arial"/>
          <w:sz w:val="13"/>
          <w:szCs w:val="13"/>
          <w:color w:val="auto"/>
        </w:rPr>
        <w:t>&amp;</w:t>
      </w:r>
      <w:r>
        <w:rPr>
          <w:rFonts w:ascii="Arial" w:cs="Arial" w:eastAsia="Arial" w:hAnsi="Arial"/>
          <w:sz w:val="14"/>
          <w:szCs w:val="14"/>
          <w:color w:val="auto"/>
        </w:rPr>
        <w:t>T Realty Capital (2003), and is an executive vice president, treasurer and a director of M</w:t>
      </w:r>
      <w:r>
        <w:rPr>
          <w:rFonts w:ascii="Arial" w:cs="Arial" w:eastAsia="Arial" w:hAnsi="Arial"/>
          <w:sz w:val="13"/>
          <w:szCs w:val="13"/>
          <w:color w:val="auto"/>
        </w:rPr>
        <w:t>&amp;</w:t>
      </w:r>
      <w:r>
        <w:rPr>
          <w:rFonts w:ascii="Arial" w:cs="Arial" w:eastAsia="Arial" w:hAnsi="Arial"/>
          <w:sz w:val="14"/>
          <w:szCs w:val="14"/>
          <w:color w:val="auto"/>
        </w:rPr>
        <w:t>T Bank, N.A. (1997).</w:t>
      </w:r>
    </w:p>
    <w:p>
      <w:pPr>
        <w:jc w:val="both"/>
        <w:ind w:left="680" w:right="40" w:firstLine="599"/>
        <w:spacing w:after="0" w:line="249" w:lineRule="auto"/>
        <w:rPr>
          <w:sz w:val="20"/>
          <w:szCs w:val="20"/>
          <w:color w:val="auto"/>
        </w:rPr>
      </w:pPr>
      <w:r>
        <w:rPr>
          <w:rFonts w:ascii="Arial" w:cs="Arial" w:eastAsia="Arial" w:hAnsi="Arial"/>
          <w:sz w:val="14"/>
          <w:szCs w:val="14"/>
          <w:color w:val="auto"/>
        </w:rPr>
        <w:t>Kevin J. Pearson, age 45, is an executive vice president (2002) of the Registrant and M</w:t>
      </w:r>
      <w:r>
        <w:rPr>
          <w:rFonts w:ascii="Arial" w:cs="Arial" w:eastAsia="Arial" w:hAnsi="Arial"/>
          <w:sz w:val="13"/>
          <w:szCs w:val="13"/>
          <w:color w:val="auto"/>
        </w:rPr>
        <w:t>&amp;</w:t>
      </w:r>
      <w:r>
        <w:rPr>
          <w:rFonts w:ascii="Arial" w:cs="Arial" w:eastAsia="Arial" w:hAnsi="Arial"/>
          <w:sz w:val="14"/>
          <w:szCs w:val="14"/>
          <w:color w:val="auto"/>
        </w:rPr>
        <w:t>T Bank. He is responsible for managing all of the non-retail segments in the New York City and Philadelphia Divisions of M</w:t>
      </w:r>
      <w:r>
        <w:rPr>
          <w:rFonts w:ascii="Arial" w:cs="Arial" w:eastAsia="Arial" w:hAnsi="Arial"/>
          <w:sz w:val="13"/>
          <w:szCs w:val="13"/>
          <w:color w:val="auto"/>
        </w:rPr>
        <w:t>&amp;</w:t>
      </w:r>
      <w:r>
        <w:rPr>
          <w:rFonts w:ascii="Arial" w:cs="Arial" w:eastAsia="Arial" w:hAnsi="Arial"/>
          <w:sz w:val="14"/>
          <w:szCs w:val="14"/>
          <w:color w:val="auto"/>
        </w:rPr>
        <w:t>T Bank, as well as the Company’s commercial real estate business. Mr. Pearson is an executive vice president of M</w:t>
      </w:r>
      <w:r>
        <w:rPr>
          <w:rFonts w:ascii="Arial" w:cs="Arial" w:eastAsia="Arial" w:hAnsi="Arial"/>
          <w:sz w:val="13"/>
          <w:szCs w:val="13"/>
          <w:color w:val="auto"/>
        </w:rPr>
        <w:t>&amp;</w:t>
      </w:r>
      <w:r>
        <w:rPr>
          <w:rFonts w:ascii="Arial" w:cs="Arial" w:eastAsia="Arial" w:hAnsi="Arial"/>
          <w:sz w:val="14"/>
          <w:szCs w:val="14"/>
          <w:color w:val="auto"/>
        </w:rPr>
        <w:t>T Real Estate (2003) and a director of M</w:t>
      </w:r>
      <w:r>
        <w:rPr>
          <w:rFonts w:ascii="Arial" w:cs="Arial" w:eastAsia="Arial" w:hAnsi="Arial"/>
          <w:sz w:val="13"/>
          <w:szCs w:val="13"/>
          <w:color w:val="auto"/>
        </w:rPr>
        <w:t>&amp;</w:t>
      </w:r>
      <w:r>
        <w:rPr>
          <w:rFonts w:ascii="Arial" w:cs="Arial" w:eastAsia="Arial" w:hAnsi="Arial"/>
          <w:sz w:val="14"/>
          <w:szCs w:val="14"/>
          <w:color w:val="auto"/>
        </w:rPr>
        <w:t>T Realty Capital (2003). He served as senior vice president of M</w:t>
      </w:r>
      <w:r>
        <w:rPr>
          <w:rFonts w:ascii="Arial" w:cs="Arial" w:eastAsia="Arial" w:hAnsi="Arial"/>
          <w:sz w:val="13"/>
          <w:szCs w:val="13"/>
          <w:color w:val="auto"/>
        </w:rPr>
        <w:t>&amp;</w:t>
      </w:r>
      <w:r>
        <w:rPr>
          <w:rFonts w:ascii="Arial" w:cs="Arial" w:eastAsia="Arial" w:hAnsi="Arial"/>
          <w:sz w:val="14"/>
          <w:szCs w:val="14"/>
          <w:color w:val="auto"/>
        </w:rPr>
        <w:t>T Bank from 2000 to 2002.</w:t>
      </w:r>
    </w:p>
    <w:p>
      <w:pPr>
        <w:ind w:left="680" w:right="160" w:firstLine="599"/>
        <w:spacing w:after="0" w:line="256" w:lineRule="auto"/>
        <w:rPr>
          <w:sz w:val="20"/>
          <w:szCs w:val="20"/>
          <w:color w:val="auto"/>
        </w:rPr>
      </w:pPr>
      <w:r>
        <w:rPr>
          <w:rFonts w:ascii="Arial" w:cs="Arial" w:eastAsia="Arial" w:hAnsi="Arial"/>
          <w:sz w:val="14"/>
          <w:szCs w:val="14"/>
          <w:color w:val="auto"/>
        </w:rPr>
        <w:t>Michele D. Trolli, age 45, is an executive vice president (2005) of the Registrant and M</w:t>
      </w:r>
      <w:r>
        <w:rPr>
          <w:rFonts w:ascii="Arial" w:cs="Arial" w:eastAsia="Arial" w:hAnsi="Arial"/>
          <w:sz w:val="13"/>
          <w:szCs w:val="13"/>
          <w:color w:val="auto"/>
        </w:rPr>
        <w:t>&amp;</w:t>
      </w:r>
      <w:r>
        <w:rPr>
          <w:rFonts w:ascii="Arial" w:cs="Arial" w:eastAsia="Arial" w:hAnsi="Arial"/>
          <w:sz w:val="14"/>
          <w:szCs w:val="14"/>
          <w:color w:val="auto"/>
        </w:rPr>
        <w:t>T Bank. She is chief information officer and is in charge of the Technology and Banking Operations Division and the Corporate Services Group of M</w:t>
      </w:r>
      <w:r>
        <w:rPr>
          <w:rFonts w:ascii="Arial" w:cs="Arial" w:eastAsia="Arial" w:hAnsi="Arial"/>
          <w:sz w:val="13"/>
          <w:szCs w:val="13"/>
          <w:color w:val="auto"/>
        </w:rPr>
        <w:t>&amp;</w:t>
      </w:r>
      <w:r>
        <w:rPr>
          <w:rFonts w:ascii="Arial" w:cs="Arial" w:eastAsia="Arial" w:hAnsi="Arial"/>
          <w:sz w:val="14"/>
          <w:szCs w:val="14"/>
          <w:color w:val="auto"/>
        </w:rPr>
        <w:t>T Bank. Ms. Trolli served as senior director, global systems support, with Franklin Resources, Inc., a worldwide investment management company, from May 2000 through December 2004.</w:t>
      </w:r>
    </w:p>
    <w:p>
      <w:pPr>
        <w:spacing w:after="0" w:line="216" w:lineRule="exact"/>
        <w:rPr>
          <w:sz w:val="20"/>
          <w:szCs w:val="20"/>
          <w:color w:val="auto"/>
        </w:rPr>
      </w:pPr>
    </w:p>
    <w:p>
      <w:pPr>
        <w:ind w:left="5420"/>
        <w:spacing w:after="0"/>
        <w:rPr>
          <w:sz w:val="20"/>
          <w:szCs w:val="20"/>
          <w:color w:val="auto"/>
        </w:rPr>
      </w:pPr>
      <w:r>
        <w:rPr>
          <w:rFonts w:ascii="Arial" w:cs="Arial" w:eastAsia="Arial" w:hAnsi="Arial"/>
          <w:sz w:val="14"/>
          <w:szCs w:val="14"/>
          <w:b w:val="1"/>
          <w:bCs w:val="1"/>
          <w:color w:val="auto"/>
        </w:rPr>
        <w:t>PART II</w:t>
      </w:r>
    </w:p>
    <w:p>
      <w:pPr>
        <w:spacing w:after="0" w:line="173"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2"/>
          <w:szCs w:val="12"/>
          <w:b w:val="1"/>
          <w:bCs w:val="1"/>
          <w:i w:val="1"/>
          <w:iCs w:val="1"/>
          <w:color w:val="auto"/>
        </w:rPr>
        <w:t>Market for Registrant’s Common Equity, Related Stockholder Matters and Issuer Purchases of Equity Securities.</w:t>
      </w:r>
    </w:p>
    <w:p>
      <w:pPr>
        <w:spacing w:after="0" w:line="99" w:lineRule="exact"/>
        <w:rPr>
          <w:sz w:val="20"/>
          <w:szCs w:val="20"/>
          <w:color w:val="auto"/>
        </w:rPr>
      </w:pPr>
    </w:p>
    <w:p>
      <w:pPr>
        <w:ind w:left="680" w:right="80"/>
        <w:spacing w:after="0" w:line="265" w:lineRule="auto"/>
        <w:rPr>
          <w:sz w:val="20"/>
          <w:szCs w:val="20"/>
          <w:color w:val="auto"/>
        </w:rPr>
      </w:pPr>
      <w:r>
        <w:rPr>
          <w:rFonts w:ascii="Arial" w:cs="Arial" w:eastAsia="Arial" w:hAnsi="Arial"/>
          <w:sz w:val="14"/>
          <w:szCs w:val="14"/>
          <w:color w:val="auto"/>
        </w:rPr>
        <w:t>The Registrant’s common stock is traded under the symbol MTB on the New York Stock Exchange. See cross-reference sheet for disclosures incorporated elsewhere in this Annual Report on Form 10-K for market prices of the Registrant’s common stock, approximate number of common stockholders at year-end, frequency and amounts of dividends on common stock and restrictions on the payment of dividends.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During the fourth quarter of 2006, M</w:t>
      </w:r>
      <w:r>
        <w:rPr>
          <w:rFonts w:ascii="Arial" w:cs="Arial" w:eastAsia="Arial" w:hAnsi="Arial"/>
          <w:sz w:val="13"/>
          <w:szCs w:val="13"/>
          <w:color w:val="auto"/>
        </w:rPr>
        <w:t>&amp;</w:t>
      </w:r>
      <w:r>
        <w:rPr>
          <w:rFonts w:ascii="Arial" w:cs="Arial" w:eastAsia="Arial" w:hAnsi="Arial"/>
          <w:sz w:val="14"/>
          <w:szCs w:val="14"/>
          <w:color w:val="auto"/>
        </w:rPr>
        <w:t>T did not issue any shares of its common stock that were not registered under the Securities Act of 1933.</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Equity Compensation Plan Information</w:t>
      </w:r>
    </w:p>
    <w:p>
      <w:pPr>
        <w:spacing w:after="0" w:line="22" w:lineRule="exact"/>
        <w:rPr>
          <w:sz w:val="20"/>
          <w:szCs w:val="20"/>
          <w:color w:val="auto"/>
        </w:rPr>
      </w:pPr>
    </w:p>
    <w:p>
      <w:pPr>
        <w:ind w:left="680" w:right="100"/>
        <w:spacing w:after="0" w:line="268" w:lineRule="auto"/>
        <w:rPr>
          <w:sz w:val="20"/>
          <w:szCs w:val="20"/>
          <w:color w:val="auto"/>
        </w:rPr>
      </w:pPr>
      <w:r>
        <w:rPr>
          <w:rFonts w:ascii="Arial" w:cs="Arial" w:eastAsia="Arial" w:hAnsi="Arial"/>
          <w:sz w:val="13"/>
          <w:szCs w:val="13"/>
          <w:color w:val="auto"/>
        </w:rPr>
        <w:t>The following table provides information as of December 31, 2006 with respect to shares of common stock that may be issued under M</w:t>
      </w:r>
      <w:r>
        <w:rPr>
          <w:rFonts w:ascii="Arial" w:cs="Arial" w:eastAsia="Arial" w:hAnsi="Arial"/>
          <w:sz w:val="12"/>
          <w:szCs w:val="12"/>
          <w:color w:val="auto"/>
        </w:rPr>
        <w:t>&amp;</w:t>
      </w:r>
      <w:r>
        <w:rPr>
          <w:rFonts w:ascii="Arial" w:cs="Arial" w:eastAsia="Arial" w:hAnsi="Arial"/>
          <w:sz w:val="13"/>
          <w:szCs w:val="13"/>
          <w:color w:val="auto"/>
        </w:rPr>
        <w:t>T Bank Corporation’s existing equity compensation plans. M</w:t>
      </w:r>
      <w:r>
        <w:rPr>
          <w:rFonts w:ascii="Arial" w:cs="Arial" w:eastAsia="Arial" w:hAnsi="Arial"/>
          <w:sz w:val="12"/>
          <w:szCs w:val="12"/>
          <w:color w:val="auto"/>
        </w:rPr>
        <w:t>&amp;</w:t>
      </w:r>
      <w:r>
        <w:rPr>
          <w:rFonts w:ascii="Arial" w:cs="Arial" w:eastAsia="Arial" w:hAnsi="Arial"/>
          <w:sz w:val="13"/>
          <w:szCs w:val="13"/>
          <w:color w:val="auto"/>
        </w:rPr>
        <w:t>T Bank Corporation’s existing equity compensation plans are the M</w:t>
      </w:r>
      <w:r>
        <w:rPr>
          <w:rFonts w:ascii="Arial" w:cs="Arial" w:eastAsia="Arial" w:hAnsi="Arial"/>
          <w:sz w:val="12"/>
          <w:szCs w:val="12"/>
          <w:color w:val="auto"/>
        </w:rPr>
        <w:t>&amp;</w:t>
      </w:r>
      <w:r>
        <w:rPr>
          <w:rFonts w:ascii="Arial" w:cs="Arial" w:eastAsia="Arial" w:hAnsi="Arial"/>
          <w:sz w:val="13"/>
          <w:szCs w:val="13"/>
          <w:color w:val="auto"/>
        </w:rPr>
        <w:t>T Bank Corporation 1983 Stock Option Plan (the “1983 Stock Option Plan”); the M</w:t>
      </w:r>
      <w:r>
        <w:rPr>
          <w:rFonts w:ascii="Arial" w:cs="Arial" w:eastAsia="Arial" w:hAnsi="Arial"/>
          <w:sz w:val="12"/>
          <w:szCs w:val="12"/>
          <w:color w:val="auto"/>
        </w:rPr>
        <w:t>&amp;</w:t>
      </w:r>
      <w:r>
        <w:rPr>
          <w:rFonts w:ascii="Arial" w:cs="Arial" w:eastAsia="Arial" w:hAnsi="Arial"/>
          <w:sz w:val="13"/>
          <w:szCs w:val="13"/>
          <w:color w:val="auto"/>
        </w:rPr>
        <w:t>T Bank Corporation 2001 Stock Option Plan (the “2001 Stock Option Plan”); the M</w:t>
      </w:r>
      <w:r>
        <w:rPr>
          <w:rFonts w:ascii="Arial" w:cs="Arial" w:eastAsia="Arial" w:hAnsi="Arial"/>
          <w:sz w:val="12"/>
          <w:szCs w:val="12"/>
          <w:color w:val="auto"/>
        </w:rPr>
        <w:t>&amp;</w:t>
      </w:r>
      <w:r>
        <w:rPr>
          <w:rFonts w:ascii="Arial" w:cs="Arial" w:eastAsia="Arial" w:hAnsi="Arial"/>
          <w:sz w:val="13"/>
          <w:szCs w:val="13"/>
          <w:color w:val="auto"/>
        </w:rPr>
        <w:t>T Bank Corporation 2005 Incentive Compensation Plan (the “2005 Incentive Compensation Plan”), which replaced the 2001 Stock Option Plan; and the M</w:t>
      </w:r>
      <w:r>
        <w:rPr>
          <w:rFonts w:ascii="Arial" w:cs="Arial" w:eastAsia="Arial" w:hAnsi="Arial"/>
          <w:sz w:val="12"/>
          <w:szCs w:val="12"/>
          <w:color w:val="auto"/>
        </w:rPr>
        <w:t>&amp;</w:t>
      </w:r>
      <w:r>
        <w:rPr>
          <w:rFonts w:ascii="Arial" w:cs="Arial" w:eastAsia="Arial" w:hAnsi="Arial"/>
          <w:sz w:val="13"/>
          <w:szCs w:val="13"/>
          <w:color w:val="auto"/>
        </w:rPr>
        <w:t>T Bank Corporation Employee Stock Purchase Plan (the “Employee Stock Purchase Plan”), each of which has been previously approved by stockholders, and the M</w:t>
      </w:r>
      <w:r>
        <w:rPr>
          <w:rFonts w:ascii="Arial" w:cs="Arial" w:eastAsia="Arial" w:hAnsi="Arial"/>
          <w:sz w:val="12"/>
          <w:szCs w:val="12"/>
          <w:color w:val="auto"/>
        </w:rPr>
        <w:t>&amp;</w:t>
      </w:r>
      <w:r>
        <w:rPr>
          <w:rFonts w:ascii="Arial" w:cs="Arial" w:eastAsia="Arial" w:hAnsi="Arial"/>
          <w:sz w:val="13"/>
          <w:szCs w:val="13"/>
          <w:color w:val="auto"/>
        </w:rPr>
        <w:t>T Bank Corporation Directors’ Stock Plan (the “Directors’ Stock Plan”) and the M</w:t>
      </w:r>
      <w:r>
        <w:rPr>
          <w:rFonts w:ascii="Arial" w:cs="Arial" w:eastAsia="Arial" w:hAnsi="Arial"/>
          <w:sz w:val="12"/>
          <w:szCs w:val="12"/>
          <w:color w:val="auto"/>
        </w:rPr>
        <w:t>&amp;</w:t>
      </w:r>
      <w:r>
        <w:rPr>
          <w:rFonts w:ascii="Arial" w:cs="Arial" w:eastAsia="Arial" w:hAnsi="Arial"/>
          <w:sz w:val="13"/>
          <w:szCs w:val="13"/>
          <w:color w:val="auto"/>
        </w:rPr>
        <w:t>T Bank Corporation Deferred Bonus Plan (the “Deferred Bonus Plan”), each of which did not require stockholder approval.</w:t>
      </w:r>
    </w:p>
    <w:p>
      <w:pPr>
        <w:spacing w:after="0" w:line="1" w:lineRule="exact"/>
        <w:rPr>
          <w:sz w:val="20"/>
          <w:szCs w:val="20"/>
          <w:color w:val="auto"/>
        </w:rPr>
      </w:pPr>
    </w:p>
    <w:p>
      <w:pPr>
        <w:jc w:val="both"/>
        <w:ind w:left="680" w:right="120" w:firstLine="599"/>
        <w:spacing w:after="0" w:line="285" w:lineRule="auto"/>
        <w:rPr>
          <w:sz w:val="20"/>
          <w:szCs w:val="20"/>
          <w:color w:val="auto"/>
        </w:rPr>
      </w:pPr>
      <w:r>
        <w:rPr>
          <w:rFonts w:ascii="Arial" w:cs="Arial" w:eastAsia="Arial" w:hAnsi="Arial"/>
          <w:sz w:val="13"/>
          <w:szCs w:val="13"/>
          <w:color w:val="auto"/>
        </w:rPr>
        <w:t>The table does not include information with respect to shares of common stock subject to outstanding options and rights assumed by M</w:t>
      </w:r>
      <w:r>
        <w:rPr>
          <w:rFonts w:ascii="Arial" w:cs="Arial" w:eastAsia="Arial" w:hAnsi="Arial"/>
          <w:sz w:val="12"/>
          <w:szCs w:val="12"/>
          <w:color w:val="auto"/>
        </w:rPr>
        <w:t>&amp;</w:t>
      </w:r>
      <w:r>
        <w:rPr>
          <w:rFonts w:ascii="Arial" w:cs="Arial" w:eastAsia="Arial" w:hAnsi="Arial"/>
          <w:sz w:val="13"/>
          <w:szCs w:val="13"/>
          <w:color w:val="auto"/>
        </w:rPr>
        <w:t>T Bank Corporation in connection with mergers and acquisitions of the companies that originally granted those options and rights. Footnote (1) to the table sets forth the total number of shares of common stock issuable upon the exercise of such assumed options and rights as of December 31, 2006, and their weighted-average exercise price.</w:t>
      </w:r>
    </w:p>
    <w:p>
      <w:pPr>
        <w:spacing w:after="0" w:line="19" w:lineRule="exact"/>
        <w:rPr>
          <w:sz w:val="20"/>
          <w:szCs w:val="20"/>
          <w:color w:val="auto"/>
        </w:rPr>
      </w:pPr>
    </w:p>
    <w:tbl>
      <w:tblPr>
        <w:tblLayout w:type="fixed"/>
        <w:tblInd w:w="680" w:type="dxa"/>
        <w:tblCellMar>
          <w:top w:w="0" w:type="dxa"/>
          <w:left w:w="0" w:type="dxa"/>
          <w:bottom w:w="0" w:type="dxa"/>
          <w:right w:w="0" w:type="dxa"/>
        </w:tblCellMar>
      </w:tblPr>
      <w:tr>
        <w:trPr>
          <w:trHeight w:val="147"/>
        </w:trPr>
        <w:tc>
          <w:tcPr>
            <w:tcW w:w="13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7"/>
              </w:rPr>
              <w:t>Number of Securities</w:t>
            </w: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3"/>
              </w:rPr>
              <w:t>Number of</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Remaining Available</w:t>
            </w: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3"/>
              </w:rPr>
              <w:t>Securities</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7"/>
              </w:rPr>
              <w:t>for Future Issuance</w:t>
            </w: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6"/>
              </w:rPr>
              <w:t>to be Issued Upon</w:t>
            </w:r>
          </w:p>
        </w:tc>
        <w:tc>
          <w:tcPr>
            <w:tcW w:w="120" w:type="dxa"/>
            <w:vAlign w:val="bottom"/>
          </w:tcPr>
          <w:p>
            <w:pPr>
              <w:spacing w:after="0"/>
              <w:rPr>
                <w:sz w:val="12"/>
                <w:szCs w:val="12"/>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7"/>
              </w:rPr>
              <w:t>Weighted-Average</w:t>
            </w:r>
          </w:p>
        </w:tc>
        <w:tc>
          <w:tcPr>
            <w:tcW w:w="18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3"/>
              </w:rPr>
              <w:t>Under Equity</w:t>
            </w: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7"/>
              </w:rPr>
              <w:t>Exercise of</w:t>
            </w:r>
          </w:p>
        </w:tc>
        <w:tc>
          <w:tcPr>
            <w:tcW w:w="120" w:type="dxa"/>
            <w:vAlign w:val="bottom"/>
          </w:tcPr>
          <w:p>
            <w:pPr>
              <w:spacing w:after="0"/>
              <w:rPr>
                <w:sz w:val="12"/>
                <w:szCs w:val="12"/>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6"/>
              </w:rPr>
              <w:t>Exercise Price of</w:t>
            </w:r>
          </w:p>
        </w:tc>
        <w:tc>
          <w:tcPr>
            <w:tcW w:w="18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5"/>
              </w:rPr>
              <w:t>Compensation Plans</w:t>
            </w:r>
          </w:p>
        </w:tc>
        <w:tc>
          <w:tcPr>
            <w:tcW w:w="0" w:type="dxa"/>
            <w:vAlign w:val="bottom"/>
          </w:tcPr>
          <w:p>
            <w:pPr>
              <w:spacing w:after="0"/>
              <w:rPr>
                <w:sz w:val="1"/>
                <w:szCs w:val="1"/>
                <w:color w:val="auto"/>
              </w:rPr>
            </w:pPr>
          </w:p>
        </w:tc>
      </w:tr>
      <w:tr>
        <w:trPr>
          <w:trHeight w:val="151"/>
        </w:trPr>
        <w:tc>
          <w:tcPr>
            <w:tcW w:w="4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Plan Category</w:t>
            </w:r>
          </w:p>
        </w:tc>
        <w:tc>
          <w:tcPr>
            <w:tcW w:w="17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0"/>
              </w:rPr>
              <w:t>Outstanding</w:t>
            </w:r>
          </w:p>
        </w:tc>
        <w:tc>
          <w:tcPr>
            <w:tcW w:w="120" w:type="dxa"/>
            <w:vAlign w:val="bottom"/>
          </w:tcPr>
          <w:p>
            <w:pPr>
              <w:spacing w:after="0"/>
              <w:rPr>
                <w:sz w:val="13"/>
                <w:szCs w:val="13"/>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0"/>
              </w:rPr>
              <w:t>Outstanding</w:t>
            </w:r>
          </w:p>
        </w:tc>
        <w:tc>
          <w:tcPr>
            <w:tcW w:w="18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6"/>
              </w:rPr>
              <w:t>(Excluding Securities</w:t>
            </w:r>
          </w:p>
        </w:tc>
        <w:tc>
          <w:tcPr>
            <w:tcW w:w="0" w:type="dxa"/>
            <w:vAlign w:val="bottom"/>
          </w:tcPr>
          <w:p>
            <w:pPr>
              <w:spacing w:after="0"/>
              <w:rPr>
                <w:sz w:val="1"/>
                <w:szCs w:val="1"/>
                <w:color w:val="auto"/>
              </w:rPr>
            </w:pPr>
          </w:p>
        </w:tc>
      </w:tr>
      <w:tr>
        <w:trPr>
          <w:trHeight w:val="160"/>
        </w:trPr>
        <w:tc>
          <w:tcPr>
            <w:tcW w:w="4820" w:type="dxa"/>
            <w:vAlign w:val="bottom"/>
            <w:gridSpan w:val="2"/>
            <w:vMerge w:val="continue"/>
          </w:tcPr>
          <w:p>
            <w:pPr>
              <w:spacing w:after="0"/>
              <w:rPr>
                <w:sz w:val="13"/>
                <w:szCs w:val="13"/>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8"/>
              </w:rPr>
              <w:t>Options or Rights</w:t>
            </w:r>
          </w:p>
        </w:tc>
        <w:tc>
          <w:tcPr>
            <w:tcW w:w="120" w:type="dxa"/>
            <w:vAlign w:val="bottom"/>
          </w:tcPr>
          <w:p>
            <w:pPr>
              <w:spacing w:after="0"/>
              <w:rPr>
                <w:sz w:val="13"/>
                <w:szCs w:val="13"/>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86"/>
              </w:rPr>
              <w:t>Options or Rights</w:t>
            </w:r>
          </w:p>
        </w:tc>
        <w:tc>
          <w:tcPr>
            <w:tcW w:w="18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Reflected in Column A)</w:t>
            </w:r>
          </w:p>
        </w:tc>
        <w:tc>
          <w:tcPr>
            <w:tcW w:w="0" w:type="dxa"/>
            <w:vAlign w:val="bottom"/>
          </w:tcPr>
          <w:p>
            <w:pPr>
              <w:spacing w:after="0"/>
              <w:rPr>
                <w:sz w:val="1"/>
                <w:szCs w:val="1"/>
                <w:color w:val="auto"/>
              </w:rPr>
            </w:pPr>
          </w:p>
        </w:tc>
      </w:tr>
      <w:tr>
        <w:trPr>
          <w:trHeight w:val="144"/>
        </w:trPr>
        <w:tc>
          <w:tcPr>
            <w:tcW w:w="13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w:t>
            </w: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center"/>
              <w:ind w:right="57"/>
              <w:spacing w:after="0"/>
              <w:rPr>
                <w:sz w:val="20"/>
                <w:szCs w:val="20"/>
                <w:color w:val="auto"/>
              </w:rPr>
            </w:pPr>
            <w:r>
              <w:rPr>
                <w:rFonts w:ascii="Arial" w:cs="Arial" w:eastAsia="Arial" w:hAnsi="Arial"/>
                <w:sz w:val="12"/>
                <w:szCs w:val="12"/>
                <w:b w:val="1"/>
                <w:bCs w:val="1"/>
                <w:color w:val="auto"/>
                <w:w w:val="95"/>
              </w:rPr>
              <w:t>(B)</w:t>
            </w:r>
          </w:p>
        </w:tc>
        <w:tc>
          <w:tcPr>
            <w:tcW w:w="300" w:type="dxa"/>
            <w:vAlign w:val="bottom"/>
          </w:tcPr>
          <w:p>
            <w:pPr>
              <w:spacing w:after="0"/>
              <w:rPr>
                <w:sz w:val="12"/>
                <w:szCs w:val="12"/>
                <w:color w:val="auto"/>
              </w:rPr>
            </w:pPr>
          </w:p>
        </w:tc>
        <w:tc>
          <w:tcPr>
            <w:tcW w:w="17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1300" w:type="dxa"/>
            <w:vAlign w:val="bottom"/>
          </w:tcPr>
          <w:p>
            <w:pPr>
              <w:spacing w:after="0"/>
              <w:rPr>
                <w:sz w:val="3"/>
                <w:szCs w:val="3"/>
                <w:color w:val="auto"/>
              </w:rPr>
            </w:pPr>
          </w:p>
        </w:tc>
        <w:tc>
          <w:tcPr>
            <w:tcW w:w="35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4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compensation plans approved by security holders:</w:t>
            </w:r>
          </w:p>
        </w:tc>
        <w:tc>
          <w:tcPr>
            <w:tcW w:w="1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20" w:type="dxa"/>
            <w:vAlign w:val="bottom"/>
            <w:gridSpan w:val="2"/>
          </w:tcPr>
          <w:p>
            <w:pPr>
              <w:ind w:left="140"/>
              <w:spacing w:after="0"/>
              <w:rPr>
                <w:sz w:val="20"/>
                <w:szCs w:val="20"/>
                <w:color w:val="auto"/>
              </w:rPr>
            </w:pPr>
            <w:r>
              <w:rPr>
                <w:rFonts w:ascii="Arial" w:cs="Arial" w:eastAsia="Arial" w:hAnsi="Arial"/>
                <w:sz w:val="13"/>
                <w:szCs w:val="13"/>
                <w:color w:val="auto"/>
              </w:rPr>
              <w:t>1983 Stock Option Plan</w:t>
            </w:r>
          </w:p>
        </w:tc>
        <w:tc>
          <w:tcPr>
            <w:tcW w:w="1700" w:type="dxa"/>
            <w:vAlign w:val="bottom"/>
            <w:gridSpan w:val="2"/>
          </w:tcPr>
          <w:p>
            <w:pPr>
              <w:jc w:val="right"/>
              <w:ind w:right="300"/>
              <w:spacing w:after="0"/>
              <w:rPr>
                <w:sz w:val="20"/>
                <w:szCs w:val="20"/>
                <w:color w:val="auto"/>
              </w:rPr>
            </w:pPr>
            <w:r>
              <w:rPr>
                <w:rFonts w:ascii="Arial" w:cs="Arial" w:eastAsia="Arial" w:hAnsi="Arial"/>
                <w:sz w:val="13"/>
                <w:szCs w:val="13"/>
                <w:color w:val="auto"/>
              </w:rPr>
              <w:t>2,809,613</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460" w:type="dxa"/>
            <w:vAlign w:val="bottom"/>
            <w:gridSpan w:val="2"/>
          </w:tcPr>
          <w:p>
            <w:pPr>
              <w:jc w:val="right"/>
              <w:ind w:right="300"/>
              <w:spacing w:after="0"/>
              <w:rPr>
                <w:sz w:val="20"/>
                <w:szCs w:val="20"/>
                <w:color w:val="auto"/>
              </w:rPr>
            </w:pPr>
            <w:r>
              <w:rPr>
                <w:rFonts w:ascii="Arial" w:cs="Arial" w:eastAsia="Arial" w:hAnsi="Arial"/>
                <w:sz w:val="13"/>
                <w:szCs w:val="13"/>
                <w:color w:val="auto"/>
              </w:rPr>
              <w:t>52.01</w:t>
            </w:r>
          </w:p>
        </w:tc>
        <w:tc>
          <w:tcPr>
            <w:tcW w:w="1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8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2001 Stock Option Plan</w:t>
            </w: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5,996,070</w:t>
            </w:r>
          </w:p>
        </w:tc>
        <w:tc>
          <w:tcPr>
            <w:tcW w:w="12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88.24</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820" w:type="dxa"/>
            <w:vAlign w:val="bottom"/>
            <w:gridSpan w:val="2"/>
          </w:tcPr>
          <w:p>
            <w:pPr>
              <w:ind w:left="140"/>
              <w:spacing w:after="0"/>
              <w:rPr>
                <w:sz w:val="20"/>
                <w:szCs w:val="20"/>
                <w:color w:val="auto"/>
              </w:rPr>
            </w:pPr>
            <w:r>
              <w:rPr>
                <w:rFonts w:ascii="Arial" w:cs="Arial" w:eastAsia="Arial" w:hAnsi="Arial"/>
                <w:sz w:val="13"/>
                <w:szCs w:val="13"/>
                <w:color w:val="auto"/>
              </w:rPr>
              <w:t>2005 Incentive Compensation Plan</w:t>
            </w:r>
          </w:p>
        </w:tc>
        <w:tc>
          <w:tcPr>
            <w:tcW w:w="1700" w:type="dxa"/>
            <w:vAlign w:val="bottom"/>
            <w:gridSpan w:val="2"/>
          </w:tcPr>
          <w:p>
            <w:pPr>
              <w:jc w:val="right"/>
              <w:ind w:right="300"/>
              <w:spacing w:after="0"/>
              <w:rPr>
                <w:sz w:val="20"/>
                <w:szCs w:val="20"/>
                <w:color w:val="auto"/>
              </w:rPr>
            </w:pPr>
            <w:r>
              <w:rPr>
                <w:rFonts w:ascii="Arial" w:cs="Arial" w:eastAsia="Arial" w:hAnsi="Arial"/>
                <w:sz w:val="13"/>
                <w:szCs w:val="13"/>
                <w:color w:val="auto"/>
              </w:rPr>
              <w:t>1,695,366</w:t>
            </w:r>
          </w:p>
        </w:tc>
        <w:tc>
          <w:tcPr>
            <w:tcW w:w="120" w:type="dxa"/>
            <w:vAlign w:val="bottom"/>
          </w:tcPr>
          <w:p>
            <w:pPr>
              <w:spacing w:after="0"/>
              <w:rPr>
                <w:sz w:val="13"/>
                <w:szCs w:val="13"/>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3"/>
                <w:szCs w:val="13"/>
                <w:color w:val="auto"/>
              </w:rPr>
              <w:t>109.01</w:t>
            </w:r>
          </w:p>
        </w:tc>
        <w:tc>
          <w:tcPr>
            <w:tcW w:w="1880" w:type="dxa"/>
            <w:vAlign w:val="bottom"/>
            <w:gridSpan w:val="2"/>
          </w:tcPr>
          <w:p>
            <w:pPr>
              <w:jc w:val="right"/>
              <w:ind w:right="100"/>
              <w:spacing w:after="0"/>
              <w:rPr>
                <w:sz w:val="20"/>
                <w:szCs w:val="20"/>
                <w:color w:val="auto"/>
              </w:rPr>
            </w:pPr>
            <w:r>
              <w:rPr>
                <w:rFonts w:ascii="Arial" w:cs="Arial" w:eastAsia="Arial" w:hAnsi="Arial"/>
                <w:sz w:val="13"/>
                <w:szCs w:val="13"/>
                <w:color w:val="auto"/>
              </w:rPr>
              <w:t>7,199,903</w:t>
            </w:r>
          </w:p>
        </w:tc>
        <w:tc>
          <w:tcPr>
            <w:tcW w:w="0" w:type="dxa"/>
            <w:vAlign w:val="bottom"/>
          </w:tcPr>
          <w:p>
            <w:pPr>
              <w:spacing w:after="0"/>
              <w:rPr>
                <w:sz w:val="1"/>
                <w:szCs w:val="1"/>
                <w:color w:val="auto"/>
              </w:rPr>
            </w:pPr>
          </w:p>
        </w:tc>
      </w:tr>
      <w:tr>
        <w:trPr>
          <w:trHeight w:val="157"/>
        </w:trPr>
        <w:tc>
          <w:tcPr>
            <w:tcW w:w="48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Employee Stock Purchase Plan</w:t>
            </w: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105,218</w:t>
            </w:r>
          </w:p>
        </w:tc>
        <w:tc>
          <w:tcPr>
            <w:tcW w:w="12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110.26</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501,827</w:t>
            </w:r>
          </w:p>
        </w:tc>
        <w:tc>
          <w:tcPr>
            <w:tcW w:w="0" w:type="dxa"/>
            <w:vAlign w:val="bottom"/>
          </w:tcPr>
          <w:p>
            <w:pPr>
              <w:spacing w:after="0"/>
              <w:rPr>
                <w:sz w:val="1"/>
                <w:szCs w:val="1"/>
                <w:color w:val="auto"/>
              </w:rPr>
            </w:pPr>
          </w:p>
        </w:tc>
      </w:tr>
      <w:tr>
        <w:trPr>
          <w:trHeight w:val="157"/>
        </w:trPr>
        <w:tc>
          <w:tcPr>
            <w:tcW w:w="4820" w:type="dxa"/>
            <w:vAlign w:val="bottom"/>
            <w:gridSpan w:val="2"/>
          </w:tcPr>
          <w:p>
            <w:pPr>
              <w:spacing w:after="0"/>
              <w:rPr>
                <w:sz w:val="20"/>
                <w:szCs w:val="20"/>
                <w:color w:val="auto"/>
              </w:rPr>
            </w:pPr>
            <w:r>
              <w:rPr>
                <w:rFonts w:ascii="Arial" w:cs="Arial" w:eastAsia="Arial" w:hAnsi="Arial"/>
                <w:sz w:val="13"/>
                <w:szCs w:val="13"/>
                <w:color w:val="auto"/>
              </w:rPr>
              <w:t>Equity compensation plans not approved by security holders:</w:t>
            </w:r>
          </w:p>
        </w:tc>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Directors’ Stock Plan</w:t>
            </w: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2,678</w:t>
            </w:r>
          </w:p>
        </w:tc>
        <w:tc>
          <w:tcPr>
            <w:tcW w:w="12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122.16</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15,719</w:t>
            </w:r>
          </w:p>
        </w:tc>
        <w:tc>
          <w:tcPr>
            <w:tcW w:w="0" w:type="dxa"/>
            <w:vAlign w:val="bottom"/>
          </w:tcPr>
          <w:p>
            <w:pPr>
              <w:spacing w:after="0"/>
              <w:rPr>
                <w:sz w:val="1"/>
                <w:szCs w:val="1"/>
                <w:color w:val="auto"/>
              </w:rPr>
            </w:pPr>
          </w:p>
        </w:tc>
      </w:tr>
      <w:tr>
        <w:trPr>
          <w:trHeight w:val="157"/>
        </w:trPr>
        <w:tc>
          <w:tcPr>
            <w:tcW w:w="4820" w:type="dxa"/>
            <w:vAlign w:val="bottom"/>
            <w:gridSpan w:val="2"/>
          </w:tcPr>
          <w:p>
            <w:pPr>
              <w:ind w:left="140"/>
              <w:spacing w:after="0"/>
              <w:rPr>
                <w:sz w:val="20"/>
                <w:szCs w:val="20"/>
                <w:color w:val="auto"/>
              </w:rPr>
            </w:pPr>
            <w:r>
              <w:rPr>
                <w:rFonts w:ascii="Arial" w:cs="Arial" w:eastAsia="Arial" w:hAnsi="Arial"/>
                <w:sz w:val="13"/>
                <w:szCs w:val="13"/>
                <w:color w:val="auto"/>
              </w:rPr>
              <w:t>Deferred Bonus Plan</w:t>
            </w:r>
          </w:p>
        </w:tc>
        <w:tc>
          <w:tcPr>
            <w:tcW w:w="1700" w:type="dxa"/>
            <w:vAlign w:val="bottom"/>
            <w:gridSpan w:val="2"/>
          </w:tcPr>
          <w:p>
            <w:pPr>
              <w:jc w:val="right"/>
              <w:ind w:right="300"/>
              <w:spacing w:after="0"/>
              <w:rPr>
                <w:sz w:val="20"/>
                <w:szCs w:val="20"/>
                <w:color w:val="auto"/>
              </w:rPr>
            </w:pPr>
            <w:r>
              <w:rPr>
                <w:rFonts w:ascii="Arial" w:cs="Arial" w:eastAsia="Arial" w:hAnsi="Arial"/>
                <w:sz w:val="13"/>
                <w:szCs w:val="13"/>
                <w:color w:val="auto"/>
              </w:rPr>
              <w:t>61,757</w:t>
            </w:r>
          </w:p>
        </w:tc>
        <w:tc>
          <w:tcPr>
            <w:tcW w:w="120" w:type="dxa"/>
            <w:vAlign w:val="bottom"/>
          </w:tcPr>
          <w:p>
            <w:pPr>
              <w:spacing w:after="0"/>
              <w:rPr>
                <w:sz w:val="13"/>
                <w:szCs w:val="13"/>
                <w:color w:val="auto"/>
              </w:rPr>
            </w:pPr>
          </w:p>
        </w:tc>
        <w:tc>
          <w:tcPr>
            <w:tcW w:w="1460" w:type="dxa"/>
            <w:vAlign w:val="bottom"/>
            <w:gridSpan w:val="2"/>
          </w:tcPr>
          <w:p>
            <w:pPr>
              <w:jc w:val="right"/>
              <w:ind w:right="300"/>
              <w:spacing w:after="0"/>
              <w:rPr>
                <w:sz w:val="20"/>
                <w:szCs w:val="20"/>
                <w:color w:val="auto"/>
              </w:rPr>
            </w:pPr>
            <w:r>
              <w:rPr>
                <w:rFonts w:ascii="Arial" w:cs="Arial" w:eastAsia="Arial" w:hAnsi="Arial"/>
                <w:sz w:val="13"/>
                <w:szCs w:val="13"/>
                <w:color w:val="auto"/>
              </w:rPr>
              <w:t>58.90</w:t>
            </w:r>
          </w:p>
        </w:tc>
        <w:tc>
          <w:tcPr>
            <w:tcW w:w="18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82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Total</w:t>
            </w:r>
          </w:p>
        </w:tc>
        <w:tc>
          <w:tcPr>
            <w:tcW w:w="17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10,670,702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81.64</w:t>
            </w:r>
          </w:p>
        </w:tc>
        <w:tc>
          <w:tcPr>
            <w:tcW w:w="1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7,717,449</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-1129030</wp:posOffset>
            </wp:positionV>
            <wp:extent cx="31115"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115" cy="6350"/>
                    </a:xfrm>
                    <a:prstGeom prst="rect">
                      <a:avLst/>
                    </a:prstGeom>
                    <a:noFill/>
                  </pic:spPr>
                </pic:pic>
              </a:graphicData>
            </a:graphic>
          </wp:anchor>
        </w:drawing>
      </w:r>
    </w:p>
    <w:p>
      <w:pPr>
        <w:spacing w:after="0" w:line="17" w:lineRule="exact"/>
        <w:rPr>
          <w:sz w:val="20"/>
          <w:szCs w:val="20"/>
          <w:color w:val="auto"/>
        </w:rPr>
      </w:pPr>
    </w:p>
    <w:p>
      <w:pPr>
        <w:ind w:left="1180" w:right="340" w:hanging="243"/>
        <w:spacing w:after="0" w:line="265" w:lineRule="auto"/>
        <w:tabs>
          <w:tab w:leader="none" w:pos="1180" w:val="left"/>
        </w:tabs>
        <w:numPr>
          <w:ilvl w:val="0"/>
          <w:numId w:val="10"/>
        </w:numPr>
        <w:rPr>
          <w:rFonts w:ascii="Arial" w:cs="Arial" w:eastAsia="Arial" w:hAnsi="Arial"/>
          <w:sz w:val="13"/>
          <w:szCs w:val="13"/>
          <w:i w:val="1"/>
          <w:iCs w:val="1"/>
          <w:color w:val="auto"/>
        </w:rPr>
      </w:pPr>
      <w:r>
        <w:rPr>
          <w:rFonts w:ascii="Arial" w:cs="Arial" w:eastAsia="Arial" w:hAnsi="Arial"/>
          <w:sz w:val="13"/>
          <w:szCs w:val="13"/>
          <w:i w:val="1"/>
          <w:iCs w:val="1"/>
          <w:color w:val="auto"/>
        </w:rPr>
        <w:t>As of December 31, 2006, a total of 185,603 shares of M&amp;</w:t>
      </w:r>
      <w:r>
        <w:rPr>
          <w:rFonts w:ascii="Arial" w:cs="Arial" w:eastAsia="Arial" w:hAnsi="Arial"/>
          <w:sz w:val="14"/>
          <w:szCs w:val="14"/>
          <w:i w:val="1"/>
          <w:iCs w:val="1"/>
          <w:color w:val="auto"/>
        </w:rPr>
        <w:t>T common stock were issuable upon exercise of outstanding options or rights assumed by M</w:t>
      </w:r>
      <w:r>
        <w:rPr>
          <w:rFonts w:ascii="Arial" w:cs="Arial" w:eastAsia="Arial" w:hAnsi="Arial"/>
          <w:sz w:val="13"/>
          <w:szCs w:val="13"/>
          <w:i w:val="1"/>
          <w:iCs w:val="1"/>
          <w:color w:val="auto"/>
        </w:rPr>
        <w:t>&amp;</w:t>
      </w:r>
      <w:r>
        <w:rPr>
          <w:rFonts w:ascii="Arial" w:cs="Arial" w:eastAsia="Arial" w:hAnsi="Arial"/>
          <w:sz w:val="14"/>
          <w:szCs w:val="14"/>
          <w:i w:val="1"/>
          <w:iCs w:val="1"/>
          <w:color w:val="auto"/>
        </w:rPr>
        <w:t>T Bank</w:t>
      </w:r>
      <w:r>
        <w:rPr>
          <w:rFonts w:ascii="Arial" w:cs="Arial" w:eastAsia="Arial" w:hAnsi="Arial"/>
          <w:sz w:val="13"/>
          <w:szCs w:val="13"/>
          <w:i w:val="1"/>
          <w:iCs w:val="1"/>
          <w:color w:val="auto"/>
        </w:rPr>
        <w:t xml:space="preserve"> </w:t>
      </w:r>
      <w:r>
        <w:rPr>
          <w:rFonts w:ascii="Arial" w:cs="Arial" w:eastAsia="Arial" w:hAnsi="Arial"/>
          <w:sz w:val="14"/>
          <w:szCs w:val="14"/>
          <w:i w:val="1"/>
          <w:iCs w:val="1"/>
          <w:color w:val="auto"/>
        </w:rPr>
        <w:t>Corporation in connection with merger and acquisition transactions. The weighted-average exercise price of those outstanding options or rights is $65.42 per share.</w:t>
      </w:r>
    </w:p>
    <w:p>
      <w:pPr>
        <w:spacing w:after="0" w:line="56"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Equity compensation plans adopted without the approval of stockholders are described below:</w:t>
      </w:r>
    </w:p>
    <w:p>
      <w:pPr>
        <w:spacing w:after="0" w:line="91" w:lineRule="exact"/>
        <w:rPr>
          <w:sz w:val="20"/>
          <w:szCs w:val="20"/>
          <w:color w:val="auto"/>
        </w:rPr>
      </w:pPr>
    </w:p>
    <w:p>
      <w:pPr>
        <w:ind w:left="680" w:right="100" w:firstLine="599"/>
        <w:spacing w:after="0" w:line="255" w:lineRule="auto"/>
        <w:rPr>
          <w:sz w:val="20"/>
          <w:szCs w:val="20"/>
          <w:color w:val="auto"/>
        </w:rPr>
      </w:pPr>
      <w:r>
        <w:rPr>
          <w:rFonts w:ascii="Arial" w:cs="Arial" w:eastAsia="Arial" w:hAnsi="Arial"/>
          <w:sz w:val="14"/>
          <w:szCs w:val="14"/>
          <w:b w:val="1"/>
          <w:bCs w:val="1"/>
          <w:u w:val="single" w:color="auto"/>
          <w:color w:val="auto"/>
        </w:rPr>
        <w:t>Directors’ Stock Plan.</w:t>
      </w:r>
      <w:r>
        <w:rPr>
          <w:rFonts w:ascii="Arial" w:cs="Arial" w:eastAsia="Arial" w:hAnsi="Arial"/>
          <w:sz w:val="14"/>
          <w:szCs w:val="14"/>
          <w:b w:val="1"/>
          <w:bCs w:val="1"/>
          <w:color w:val="auto"/>
        </w:rPr>
        <w:t xml:space="preserve"> </w:t>
      </w:r>
      <w:r>
        <w:rPr>
          <w:rFonts w:ascii="Arial" w:cs="Arial" w:eastAsia="Arial" w:hAnsi="Arial"/>
          <w:sz w:val="14"/>
          <w:szCs w:val="14"/>
          <w:color w:val="auto"/>
        </w:rPr>
        <w:t>M</w:t>
      </w:r>
      <w:r>
        <w:rPr>
          <w:rFonts w:ascii="Arial" w:cs="Arial" w:eastAsia="Arial" w:hAnsi="Arial"/>
          <w:sz w:val="13"/>
          <w:szCs w:val="13"/>
          <w:color w:val="auto"/>
        </w:rPr>
        <w:t>&amp;</w:t>
      </w:r>
      <w:r>
        <w:rPr>
          <w:rFonts w:ascii="Arial" w:cs="Arial" w:eastAsia="Arial" w:hAnsi="Arial"/>
          <w:sz w:val="14"/>
          <w:szCs w:val="14"/>
          <w:color w:val="auto"/>
        </w:rPr>
        <w:t>T Bank Corporation maintains a plan for non-employee members of the Board of Directors of M</w:t>
      </w:r>
      <w:r>
        <w:rPr>
          <w:rFonts w:ascii="Arial" w:cs="Arial" w:eastAsia="Arial" w:hAnsi="Arial"/>
          <w:sz w:val="13"/>
          <w:szCs w:val="13"/>
          <w:color w:val="auto"/>
        </w:rPr>
        <w:t>&amp;</w:t>
      </w:r>
      <w:r>
        <w:rPr>
          <w:rFonts w:ascii="Arial" w:cs="Arial" w:eastAsia="Arial" w:hAnsi="Arial"/>
          <w:sz w:val="14"/>
          <w:szCs w:val="14"/>
          <w:color w:val="auto"/>
        </w:rPr>
        <w:t>T Bank Corporation and the</w:t>
      </w:r>
      <w:r>
        <w:rPr>
          <w:rFonts w:ascii="Arial" w:cs="Arial" w:eastAsia="Arial" w:hAnsi="Arial"/>
          <w:sz w:val="14"/>
          <w:szCs w:val="14"/>
          <w:b w:val="1"/>
          <w:bCs w:val="1"/>
          <w:color w:val="auto"/>
        </w:rPr>
        <w:t xml:space="preserve"> </w:t>
      </w:r>
      <w:r>
        <w:rPr>
          <w:rFonts w:ascii="Arial" w:cs="Arial" w:eastAsia="Arial" w:hAnsi="Arial"/>
          <w:sz w:val="14"/>
          <w:szCs w:val="14"/>
          <w:color w:val="auto"/>
        </w:rPr>
        <w:t>members of its Directors Advisory Council, and the non-employee members of the Board of Directors of M</w:t>
      </w:r>
      <w:r>
        <w:rPr>
          <w:rFonts w:ascii="Arial" w:cs="Arial" w:eastAsia="Arial" w:hAnsi="Arial"/>
          <w:sz w:val="13"/>
          <w:szCs w:val="13"/>
          <w:color w:val="auto"/>
        </w:rPr>
        <w:t>&amp;</w:t>
      </w:r>
      <w:r>
        <w:rPr>
          <w:rFonts w:ascii="Arial" w:cs="Arial" w:eastAsia="Arial" w:hAnsi="Arial"/>
          <w:sz w:val="14"/>
          <w:szCs w:val="14"/>
          <w:color w:val="auto"/>
        </w:rPr>
        <w:t>T Bank and the members of its regional Directors Advisory Councils, which allows such directors, advisory directors and members of regional Directors Advisory Councils to receive all or a portion of their directorial compensation in shares of M</w:t>
      </w:r>
      <w:r>
        <w:rPr>
          <w:rFonts w:ascii="Arial" w:cs="Arial" w:eastAsia="Arial" w:hAnsi="Arial"/>
          <w:sz w:val="13"/>
          <w:szCs w:val="13"/>
          <w:color w:val="auto"/>
        </w:rPr>
        <w:t>&amp;</w:t>
      </w:r>
      <w:r>
        <w:rPr>
          <w:rFonts w:ascii="Arial" w:cs="Arial" w:eastAsia="Arial" w:hAnsi="Arial"/>
          <w:sz w:val="14"/>
          <w:szCs w:val="14"/>
          <w:color w:val="auto"/>
        </w:rPr>
        <w:t>T common stock.</w:t>
      </w:r>
    </w:p>
    <w:p>
      <w:pPr>
        <w:ind w:left="680" w:right="160" w:firstLine="599"/>
        <w:spacing w:after="0" w:line="263" w:lineRule="auto"/>
        <w:rPr>
          <w:sz w:val="20"/>
          <w:szCs w:val="20"/>
          <w:color w:val="auto"/>
        </w:rPr>
      </w:pPr>
      <w:r>
        <w:rPr>
          <w:rFonts w:ascii="Arial" w:cs="Arial" w:eastAsia="Arial" w:hAnsi="Arial"/>
          <w:sz w:val="14"/>
          <w:szCs w:val="14"/>
          <w:b w:val="1"/>
          <w:bCs w:val="1"/>
          <w:u w:val="single" w:color="auto"/>
          <w:color w:val="auto"/>
        </w:rPr>
        <w:t>Deferred Bonus Plan.</w:t>
      </w:r>
      <w:r>
        <w:rPr>
          <w:rFonts w:ascii="Arial" w:cs="Arial" w:eastAsia="Arial" w:hAnsi="Arial"/>
          <w:sz w:val="14"/>
          <w:szCs w:val="14"/>
          <w:b w:val="1"/>
          <w:bCs w:val="1"/>
          <w:color w:val="auto"/>
        </w:rPr>
        <w:t xml:space="preserve"> </w:t>
      </w:r>
      <w:r>
        <w:rPr>
          <w:rFonts w:ascii="Arial" w:cs="Arial" w:eastAsia="Arial" w:hAnsi="Arial"/>
          <w:sz w:val="14"/>
          <w:szCs w:val="14"/>
          <w:color w:val="auto"/>
        </w:rPr>
        <w:t>M</w:t>
      </w:r>
      <w:r>
        <w:rPr>
          <w:rFonts w:ascii="Arial" w:cs="Arial" w:eastAsia="Arial" w:hAnsi="Arial"/>
          <w:sz w:val="13"/>
          <w:szCs w:val="13"/>
          <w:color w:val="auto"/>
        </w:rPr>
        <w:t>&amp;</w:t>
      </w:r>
      <w:r>
        <w:rPr>
          <w:rFonts w:ascii="Arial" w:cs="Arial" w:eastAsia="Arial" w:hAnsi="Arial"/>
          <w:sz w:val="14"/>
          <w:szCs w:val="14"/>
          <w:color w:val="auto"/>
        </w:rPr>
        <w:t>T Bank Corporation maintains a deferred bonus plan pursuant to which its eligible officers and those of its subsidiaries may elect to</w:t>
      </w:r>
      <w:r>
        <w:rPr>
          <w:rFonts w:ascii="Arial" w:cs="Arial" w:eastAsia="Arial" w:hAnsi="Arial"/>
          <w:sz w:val="14"/>
          <w:szCs w:val="14"/>
          <w:b w:val="1"/>
          <w:bCs w:val="1"/>
          <w:color w:val="auto"/>
        </w:rPr>
        <w:t xml:space="preserve"> </w:t>
      </w:r>
      <w:r>
        <w:rPr>
          <w:rFonts w:ascii="Arial" w:cs="Arial" w:eastAsia="Arial" w:hAnsi="Arial"/>
          <w:sz w:val="14"/>
          <w:szCs w:val="14"/>
          <w:color w:val="auto"/>
        </w:rPr>
        <w:t>defer all or a portion of their current annual incentive compensation awards and allocate such awards to several investment options, including</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right="300"/>
        <w:spacing w:after="0" w:line="280" w:lineRule="auto"/>
        <w:rPr>
          <w:sz w:val="20"/>
          <w:szCs w:val="20"/>
          <w:color w:val="auto"/>
        </w:rPr>
      </w:pPr>
      <w:r>
        <w:rPr>
          <w:rFonts w:ascii="Arial" w:cs="Arial" w:eastAsia="Arial" w:hAnsi="Arial"/>
          <w:sz w:val="14"/>
          <w:szCs w:val="14"/>
          <w:color w:val="auto"/>
        </w:rPr>
        <w:t>M</w:t>
      </w:r>
      <w:r>
        <w:rPr>
          <w:rFonts w:ascii="Arial" w:cs="Arial" w:eastAsia="Arial" w:hAnsi="Arial"/>
          <w:sz w:val="13"/>
          <w:szCs w:val="13"/>
          <w:color w:val="auto"/>
        </w:rPr>
        <w:t>&amp;</w:t>
      </w:r>
      <w:r>
        <w:rPr>
          <w:rFonts w:ascii="Arial" w:cs="Arial" w:eastAsia="Arial" w:hAnsi="Arial"/>
          <w:sz w:val="14"/>
          <w:szCs w:val="14"/>
          <w:color w:val="auto"/>
        </w:rPr>
        <w:t>T common stock. Participants may elect the timing of distributions from the plan. Such distributions are payable in cash, with the exception of balances allocated to M</w:t>
      </w:r>
      <w:r>
        <w:rPr>
          <w:rFonts w:ascii="Arial" w:cs="Arial" w:eastAsia="Arial" w:hAnsi="Arial"/>
          <w:sz w:val="13"/>
          <w:szCs w:val="13"/>
          <w:color w:val="auto"/>
        </w:rPr>
        <w:t>&amp;</w:t>
      </w:r>
      <w:r>
        <w:rPr>
          <w:rFonts w:ascii="Arial" w:cs="Arial" w:eastAsia="Arial" w:hAnsi="Arial"/>
          <w:sz w:val="14"/>
          <w:szCs w:val="14"/>
          <w:color w:val="auto"/>
        </w:rPr>
        <w:t>T common stock, which are distributable in the form of shares of common stock.</w:t>
      </w:r>
    </w:p>
    <w:p>
      <w:pPr>
        <w:spacing w:after="0" w:line="12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Performance Graph</w:t>
      </w:r>
    </w:p>
    <w:p>
      <w:pPr>
        <w:spacing w:after="0" w:line="22" w:lineRule="exact"/>
        <w:rPr>
          <w:sz w:val="20"/>
          <w:szCs w:val="20"/>
          <w:color w:val="auto"/>
        </w:rPr>
      </w:pPr>
    </w:p>
    <w:p>
      <w:pPr>
        <w:ind w:left="680" w:right="100"/>
        <w:spacing w:after="0" w:line="253" w:lineRule="auto"/>
        <w:rPr>
          <w:sz w:val="20"/>
          <w:szCs w:val="20"/>
          <w:color w:val="auto"/>
        </w:rPr>
      </w:pPr>
      <w:r>
        <w:rPr>
          <w:rFonts w:ascii="Arial" w:cs="Arial" w:eastAsia="Arial" w:hAnsi="Arial"/>
          <w:sz w:val="14"/>
          <w:szCs w:val="14"/>
          <w:color w:val="auto"/>
        </w:rPr>
        <w:t>The following graph contains a comparison of the cumulative stockholder return on M</w:t>
      </w:r>
      <w:r>
        <w:rPr>
          <w:rFonts w:ascii="Arial" w:cs="Arial" w:eastAsia="Arial" w:hAnsi="Arial"/>
          <w:sz w:val="13"/>
          <w:szCs w:val="13"/>
          <w:color w:val="auto"/>
        </w:rPr>
        <w:t>&amp;</w:t>
      </w:r>
      <w:r>
        <w:rPr>
          <w:rFonts w:ascii="Arial" w:cs="Arial" w:eastAsia="Arial" w:hAnsi="Arial"/>
          <w:sz w:val="14"/>
          <w:szCs w:val="14"/>
          <w:color w:val="auto"/>
        </w:rPr>
        <w:t>T common stock against the cumulative total returns of the KBW 50 Index, compiled by Keefe, Bruyette &amp; Woods Inc. and the S&amp;P 500 Index, compiled by Standard &amp; Poor’s Corporation, for the five-year period beginning on December 31, 2001 and ending on December 31, 2006. The KBW 50 Index is comprised of the top fifty American banking companies, including all money-center and most major regional banks.</w:t>
      </w:r>
    </w:p>
    <w:p>
      <w:pPr>
        <w:spacing w:after="0" w:line="219" w:lineRule="exact"/>
        <w:rPr>
          <w:sz w:val="20"/>
          <w:szCs w:val="20"/>
          <w:color w:val="auto"/>
        </w:rPr>
      </w:pPr>
    </w:p>
    <w:p>
      <w:pPr>
        <w:ind w:left="4240"/>
        <w:spacing w:after="0"/>
        <w:rPr>
          <w:sz w:val="20"/>
          <w:szCs w:val="20"/>
          <w:color w:val="auto"/>
        </w:rPr>
      </w:pPr>
      <w:r>
        <w:rPr>
          <w:rFonts w:ascii="Arial" w:cs="Arial" w:eastAsia="Arial" w:hAnsi="Arial"/>
          <w:sz w:val="14"/>
          <w:szCs w:val="14"/>
          <w:b w:val="1"/>
          <w:bCs w:val="1"/>
          <w:color w:val="auto"/>
        </w:rPr>
        <w:t>Comparison of Five-Year Cumulative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1859280</wp:posOffset>
            </wp:positionH>
            <wp:positionV relativeFrom="paragraph">
              <wp:posOffset>70485</wp:posOffset>
            </wp:positionV>
            <wp:extent cx="3495040" cy="17729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95040" cy="177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700"/>
        <w:spacing w:after="0"/>
        <w:rPr>
          <w:sz w:val="20"/>
          <w:szCs w:val="20"/>
          <w:color w:val="auto"/>
        </w:rPr>
      </w:pPr>
      <w:r>
        <w:rPr>
          <w:rFonts w:ascii="Arial" w:cs="Arial" w:eastAsia="Arial" w:hAnsi="Arial"/>
          <w:sz w:val="14"/>
          <w:szCs w:val="14"/>
          <w:b w:val="1"/>
          <w:bCs w:val="1"/>
          <w:color w:val="auto"/>
        </w:rPr>
        <w:t>Stockholder Value at Year End*</w:t>
      </w:r>
    </w:p>
    <w:p>
      <w:pPr>
        <w:spacing w:after="0" w:line="62" w:lineRule="exact"/>
        <w:rPr>
          <w:sz w:val="20"/>
          <w:szCs w:val="20"/>
          <w:color w:val="auto"/>
        </w:rPr>
      </w:pPr>
    </w:p>
    <w:tbl>
      <w:tblPr>
        <w:tblLayout w:type="fixed"/>
        <w:tblInd w:w="690" w:type="dxa"/>
        <w:tblCellMar>
          <w:top w:w="0" w:type="dxa"/>
          <w:left w:w="0" w:type="dxa"/>
          <w:bottom w:w="0" w:type="dxa"/>
          <w:right w:w="0" w:type="dxa"/>
        </w:tblCellMar>
      </w:tblPr>
      <w:tr>
        <w:trPr>
          <w:trHeight w:val="157"/>
        </w:trPr>
        <w:tc>
          <w:tcPr>
            <w:tcW w:w="4320" w:type="dxa"/>
            <w:vAlign w:val="bottom"/>
            <w:tcBorders>
              <w:top w:val="single" w:sz="8" w:color="auto"/>
              <w:left w:val="single" w:sz="8" w:color="auto"/>
              <w:bottom w:val="single" w:sz="8" w:color="auto"/>
              <w:right w:val="single" w:sz="8" w:color="auto"/>
            </w:tcBorders>
          </w:tcPr>
          <w:p>
            <w:pPr>
              <w:spacing w:after="0"/>
              <w:rPr>
                <w:sz w:val="13"/>
                <w:szCs w:val="13"/>
                <w:color w:val="auto"/>
              </w:rPr>
            </w:pPr>
          </w:p>
        </w:tc>
        <w:tc>
          <w:tcPr>
            <w:tcW w:w="960" w:type="dxa"/>
            <w:vAlign w:val="bottom"/>
            <w:tcBorders>
              <w:top w:val="single" w:sz="8" w:color="auto"/>
              <w:bottom w:val="single" w:sz="8" w:color="auto"/>
              <w:right w:val="single" w:sz="8" w:color="auto"/>
            </w:tcBorders>
          </w:tcPr>
          <w:p>
            <w:pPr>
              <w:jc w:val="right"/>
              <w:ind w:right="311"/>
              <w:spacing w:after="0"/>
              <w:rPr>
                <w:sz w:val="20"/>
                <w:szCs w:val="20"/>
                <w:color w:val="auto"/>
              </w:rPr>
            </w:pPr>
            <w:r>
              <w:rPr>
                <w:rFonts w:ascii="Arial" w:cs="Arial" w:eastAsia="Arial" w:hAnsi="Arial"/>
                <w:sz w:val="12"/>
                <w:szCs w:val="12"/>
                <w:b w:val="1"/>
                <w:bCs w:val="1"/>
                <w:color w:val="auto"/>
              </w:rPr>
              <w:t>2001</w:t>
            </w:r>
          </w:p>
        </w:tc>
        <w:tc>
          <w:tcPr>
            <w:tcW w:w="960" w:type="dxa"/>
            <w:vAlign w:val="bottom"/>
            <w:tcBorders>
              <w:top w:val="single" w:sz="8" w:color="auto"/>
              <w:bottom w:val="single" w:sz="8" w:color="auto"/>
              <w:right w:val="single" w:sz="8" w:color="auto"/>
            </w:tcBorders>
          </w:tcPr>
          <w:p>
            <w:pPr>
              <w:jc w:val="right"/>
              <w:ind w:right="311"/>
              <w:spacing w:after="0"/>
              <w:rPr>
                <w:sz w:val="20"/>
                <w:szCs w:val="20"/>
                <w:color w:val="auto"/>
              </w:rPr>
            </w:pPr>
            <w:r>
              <w:rPr>
                <w:rFonts w:ascii="Arial" w:cs="Arial" w:eastAsia="Arial" w:hAnsi="Arial"/>
                <w:sz w:val="12"/>
                <w:szCs w:val="12"/>
                <w:b w:val="1"/>
                <w:bCs w:val="1"/>
                <w:color w:val="auto"/>
              </w:rPr>
              <w:t>2002</w:t>
            </w:r>
          </w:p>
        </w:tc>
        <w:tc>
          <w:tcPr>
            <w:tcW w:w="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2"/>
              </w:rPr>
              <w:t>2003</w:t>
            </w:r>
          </w:p>
        </w:tc>
        <w:tc>
          <w:tcPr>
            <w:tcW w:w="960" w:type="dxa"/>
            <w:vAlign w:val="bottom"/>
            <w:tcBorders>
              <w:top w:val="single" w:sz="8" w:color="auto"/>
              <w:bottom w:val="single" w:sz="8" w:color="auto"/>
              <w:right w:val="single" w:sz="8" w:color="auto"/>
            </w:tcBorders>
          </w:tcPr>
          <w:p>
            <w:pPr>
              <w:jc w:val="right"/>
              <w:ind w:right="291"/>
              <w:spacing w:after="0"/>
              <w:rPr>
                <w:sz w:val="20"/>
                <w:szCs w:val="20"/>
                <w:color w:val="auto"/>
              </w:rPr>
            </w:pPr>
            <w:r>
              <w:rPr>
                <w:rFonts w:ascii="Arial" w:cs="Arial" w:eastAsia="Arial" w:hAnsi="Arial"/>
                <w:sz w:val="12"/>
                <w:szCs w:val="12"/>
                <w:b w:val="1"/>
                <w:bCs w:val="1"/>
                <w:color w:val="auto"/>
              </w:rPr>
              <w:t>2004</w:t>
            </w:r>
          </w:p>
        </w:tc>
        <w:tc>
          <w:tcPr>
            <w:tcW w:w="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2005</w:t>
            </w:r>
          </w:p>
        </w:tc>
        <w:tc>
          <w:tcPr>
            <w:tcW w:w="880" w:type="dxa"/>
            <w:vAlign w:val="bottom"/>
            <w:tcBorders>
              <w:top w:val="single" w:sz="8" w:color="auto"/>
              <w:bottom w:val="single" w:sz="8" w:color="auto"/>
              <w:right w:val="single" w:sz="8" w:color="auto"/>
            </w:tcBorders>
          </w:tcPr>
          <w:p>
            <w:pPr>
              <w:jc w:val="right"/>
              <w:ind w:right="231"/>
              <w:spacing w:after="0"/>
              <w:rPr>
                <w:sz w:val="20"/>
                <w:szCs w:val="20"/>
                <w:color w:val="auto"/>
              </w:rPr>
            </w:pPr>
            <w:r>
              <w:rPr>
                <w:rFonts w:ascii="Arial" w:cs="Arial" w:eastAsia="Arial" w:hAnsi="Arial"/>
                <w:sz w:val="12"/>
                <w:szCs w:val="12"/>
                <w:b w:val="1"/>
                <w:bCs w:val="1"/>
                <w:color w:val="auto"/>
              </w:rPr>
              <w:t>2006</w:t>
            </w:r>
          </w:p>
        </w:tc>
      </w:tr>
      <w:tr>
        <w:trPr>
          <w:trHeight w:val="157"/>
        </w:trPr>
        <w:tc>
          <w:tcPr>
            <w:tcW w:w="4320" w:type="dxa"/>
            <w:vAlign w:val="bottom"/>
            <w:tcBorders>
              <w:left w:val="single" w:sz="8" w:color="auto"/>
              <w:bottom w:val="single" w:sz="8" w:color="auto"/>
              <w:right w:val="single" w:sz="8" w:color="auto"/>
            </w:tcBorders>
          </w:tcPr>
          <w:p>
            <w:pPr>
              <w:ind w:left="40"/>
              <w:spacing w:after="0" w:line="157" w:lineRule="exact"/>
              <w:rPr>
                <w:sz w:val="20"/>
                <w:szCs w:val="20"/>
                <w:color w:val="auto"/>
              </w:rPr>
            </w:pPr>
            <w:r>
              <w:rPr>
                <w:rFonts w:ascii="Arial" w:cs="Arial" w:eastAsia="Arial" w:hAnsi="Arial"/>
                <w:sz w:val="14"/>
                <w:szCs w:val="14"/>
                <w:color w:val="auto"/>
              </w:rPr>
              <w:t>M</w:t>
            </w:r>
            <w:r>
              <w:rPr>
                <w:rFonts w:ascii="Arial" w:cs="Arial" w:eastAsia="Arial" w:hAnsi="Arial"/>
                <w:sz w:val="13"/>
                <w:szCs w:val="13"/>
                <w:color w:val="auto"/>
              </w:rPr>
              <w:t>&amp;T Bank Corporation</w:t>
            </w:r>
          </w:p>
        </w:tc>
        <w:tc>
          <w:tcPr>
            <w:tcW w:w="960" w:type="dxa"/>
            <w:vAlign w:val="bottom"/>
            <w:tcBorders>
              <w:bottom w:val="single" w:sz="8" w:color="auto"/>
              <w:right w:val="single" w:sz="8" w:color="auto"/>
            </w:tcBorders>
          </w:tcPr>
          <w:p>
            <w:pPr>
              <w:jc w:val="right"/>
              <w:ind w:right="311"/>
              <w:spacing w:after="0" w:line="157" w:lineRule="exact"/>
              <w:rPr>
                <w:sz w:val="20"/>
                <w:szCs w:val="20"/>
                <w:color w:val="auto"/>
              </w:rPr>
            </w:pPr>
            <w:r>
              <w:rPr>
                <w:rFonts w:ascii="Arial" w:cs="Arial" w:eastAsia="Arial" w:hAnsi="Arial"/>
                <w:sz w:val="14"/>
                <w:szCs w:val="14"/>
                <w:color w:val="auto"/>
              </w:rPr>
              <w:t>$100</w:t>
            </w:r>
          </w:p>
        </w:tc>
        <w:tc>
          <w:tcPr>
            <w:tcW w:w="960" w:type="dxa"/>
            <w:vAlign w:val="bottom"/>
            <w:tcBorders>
              <w:bottom w:val="single" w:sz="8" w:color="auto"/>
              <w:right w:val="single" w:sz="8" w:color="auto"/>
            </w:tcBorders>
          </w:tcPr>
          <w:p>
            <w:pPr>
              <w:jc w:val="right"/>
              <w:ind w:right="311"/>
              <w:spacing w:after="0" w:line="157" w:lineRule="exact"/>
              <w:rPr>
                <w:sz w:val="20"/>
                <w:szCs w:val="20"/>
                <w:color w:val="auto"/>
              </w:rPr>
            </w:pPr>
            <w:r>
              <w:rPr>
                <w:rFonts w:ascii="Arial" w:cs="Arial" w:eastAsia="Arial" w:hAnsi="Arial"/>
                <w:sz w:val="14"/>
                <w:szCs w:val="14"/>
                <w:color w:val="auto"/>
              </w:rPr>
              <w:t>110</w:t>
            </w:r>
          </w:p>
        </w:tc>
        <w:tc>
          <w:tcPr>
            <w:tcW w:w="960" w:type="dxa"/>
            <w:vAlign w:val="bottom"/>
            <w:tcBorders>
              <w:bottom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4"/>
              </w:rPr>
              <w:t>139</w:t>
            </w:r>
          </w:p>
        </w:tc>
        <w:tc>
          <w:tcPr>
            <w:tcW w:w="960" w:type="dxa"/>
            <w:vAlign w:val="bottom"/>
            <w:tcBorders>
              <w:bottom w:val="single" w:sz="8" w:color="auto"/>
              <w:right w:val="single" w:sz="8" w:color="auto"/>
            </w:tcBorders>
          </w:tcPr>
          <w:p>
            <w:pPr>
              <w:jc w:val="right"/>
              <w:ind w:right="311"/>
              <w:spacing w:after="0" w:line="157" w:lineRule="exact"/>
              <w:rPr>
                <w:sz w:val="20"/>
                <w:szCs w:val="20"/>
                <w:color w:val="auto"/>
              </w:rPr>
            </w:pPr>
            <w:r>
              <w:rPr>
                <w:rFonts w:ascii="Arial" w:cs="Arial" w:eastAsia="Arial" w:hAnsi="Arial"/>
                <w:sz w:val="14"/>
                <w:szCs w:val="14"/>
                <w:color w:val="auto"/>
              </w:rPr>
              <w:t>155</w:t>
            </w:r>
          </w:p>
        </w:tc>
        <w:tc>
          <w:tcPr>
            <w:tcW w:w="960" w:type="dxa"/>
            <w:vAlign w:val="bottom"/>
            <w:tcBorders>
              <w:bottom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85"/>
              </w:rPr>
              <w:t>159</w:t>
            </w:r>
          </w:p>
        </w:tc>
        <w:tc>
          <w:tcPr>
            <w:tcW w:w="880" w:type="dxa"/>
            <w:vAlign w:val="bottom"/>
            <w:tcBorders>
              <w:bottom w:val="single" w:sz="8" w:color="auto"/>
              <w:right w:val="single" w:sz="8" w:color="auto"/>
            </w:tcBorders>
          </w:tcPr>
          <w:p>
            <w:pPr>
              <w:jc w:val="right"/>
              <w:ind w:right="231"/>
              <w:spacing w:after="0" w:line="157" w:lineRule="exact"/>
              <w:rPr>
                <w:sz w:val="20"/>
                <w:szCs w:val="20"/>
                <w:color w:val="auto"/>
              </w:rPr>
            </w:pPr>
            <w:r>
              <w:rPr>
                <w:rFonts w:ascii="Arial" w:cs="Arial" w:eastAsia="Arial" w:hAnsi="Arial"/>
                <w:sz w:val="14"/>
                <w:szCs w:val="14"/>
                <w:color w:val="auto"/>
              </w:rPr>
              <w:t>181</w:t>
            </w:r>
          </w:p>
        </w:tc>
      </w:tr>
      <w:tr>
        <w:trPr>
          <w:trHeight w:val="157"/>
        </w:trPr>
        <w:tc>
          <w:tcPr>
            <w:tcW w:w="4320" w:type="dxa"/>
            <w:vAlign w:val="bottom"/>
            <w:tcBorders>
              <w:left w:val="single" w:sz="8" w:color="auto"/>
              <w:bottom w:val="single" w:sz="8" w:color="auto"/>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KBW 50 Index</w:t>
            </w:r>
          </w:p>
        </w:tc>
        <w:tc>
          <w:tcPr>
            <w:tcW w:w="960" w:type="dxa"/>
            <w:vAlign w:val="bottom"/>
            <w:tcBorders>
              <w:bottom w:val="single" w:sz="8" w:color="auto"/>
              <w:right w:val="single" w:sz="8" w:color="auto"/>
            </w:tcBorders>
          </w:tcPr>
          <w:p>
            <w:pPr>
              <w:jc w:val="right"/>
              <w:ind w:right="311"/>
              <w:spacing w:after="0" w:line="157" w:lineRule="exact"/>
              <w:rPr>
                <w:sz w:val="20"/>
                <w:szCs w:val="20"/>
                <w:color w:val="auto"/>
              </w:rPr>
            </w:pPr>
            <w:r>
              <w:rPr>
                <w:rFonts w:ascii="Arial" w:cs="Arial" w:eastAsia="Arial" w:hAnsi="Arial"/>
                <w:sz w:val="14"/>
                <w:szCs w:val="14"/>
                <w:color w:val="auto"/>
              </w:rPr>
              <w:t>$100</w:t>
            </w:r>
          </w:p>
        </w:tc>
        <w:tc>
          <w:tcPr>
            <w:tcW w:w="960" w:type="dxa"/>
            <w:vAlign w:val="bottom"/>
            <w:tcBorders>
              <w:bottom w:val="single" w:sz="8" w:color="auto"/>
              <w:right w:val="single" w:sz="8" w:color="auto"/>
            </w:tcBorders>
          </w:tcPr>
          <w:p>
            <w:pPr>
              <w:jc w:val="right"/>
              <w:ind w:right="311"/>
              <w:spacing w:after="0" w:line="157" w:lineRule="exact"/>
              <w:rPr>
                <w:sz w:val="20"/>
                <w:szCs w:val="20"/>
                <w:color w:val="auto"/>
              </w:rPr>
            </w:pPr>
            <w:r>
              <w:rPr>
                <w:rFonts w:ascii="Arial" w:cs="Arial" w:eastAsia="Arial" w:hAnsi="Arial"/>
                <w:sz w:val="14"/>
                <w:szCs w:val="14"/>
                <w:color w:val="auto"/>
              </w:rPr>
              <w:t>93</w:t>
            </w:r>
          </w:p>
        </w:tc>
        <w:tc>
          <w:tcPr>
            <w:tcW w:w="960" w:type="dxa"/>
            <w:vAlign w:val="bottom"/>
            <w:tcBorders>
              <w:bottom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4"/>
              </w:rPr>
              <w:t>125</w:t>
            </w:r>
          </w:p>
        </w:tc>
        <w:tc>
          <w:tcPr>
            <w:tcW w:w="960" w:type="dxa"/>
            <w:vAlign w:val="bottom"/>
            <w:tcBorders>
              <w:bottom w:val="single" w:sz="8" w:color="auto"/>
              <w:right w:val="single" w:sz="8" w:color="auto"/>
            </w:tcBorders>
          </w:tcPr>
          <w:p>
            <w:pPr>
              <w:jc w:val="right"/>
              <w:ind w:right="311"/>
              <w:spacing w:after="0" w:line="157" w:lineRule="exact"/>
              <w:rPr>
                <w:sz w:val="20"/>
                <w:szCs w:val="20"/>
                <w:color w:val="auto"/>
              </w:rPr>
            </w:pPr>
            <w:r>
              <w:rPr>
                <w:rFonts w:ascii="Arial" w:cs="Arial" w:eastAsia="Arial" w:hAnsi="Arial"/>
                <w:sz w:val="14"/>
                <w:szCs w:val="14"/>
                <w:color w:val="auto"/>
              </w:rPr>
              <w:t>137</w:t>
            </w:r>
          </w:p>
        </w:tc>
        <w:tc>
          <w:tcPr>
            <w:tcW w:w="960" w:type="dxa"/>
            <w:vAlign w:val="bottom"/>
            <w:tcBorders>
              <w:bottom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85"/>
              </w:rPr>
              <w:t>139</w:t>
            </w:r>
          </w:p>
        </w:tc>
        <w:tc>
          <w:tcPr>
            <w:tcW w:w="880" w:type="dxa"/>
            <w:vAlign w:val="bottom"/>
            <w:tcBorders>
              <w:bottom w:val="single" w:sz="8" w:color="auto"/>
              <w:right w:val="single" w:sz="8" w:color="auto"/>
            </w:tcBorders>
          </w:tcPr>
          <w:p>
            <w:pPr>
              <w:jc w:val="right"/>
              <w:ind w:right="231"/>
              <w:spacing w:after="0" w:line="157" w:lineRule="exact"/>
              <w:rPr>
                <w:sz w:val="20"/>
                <w:szCs w:val="20"/>
                <w:color w:val="auto"/>
              </w:rPr>
            </w:pPr>
            <w:r>
              <w:rPr>
                <w:rFonts w:ascii="Arial" w:cs="Arial" w:eastAsia="Arial" w:hAnsi="Arial"/>
                <w:sz w:val="14"/>
                <w:szCs w:val="14"/>
                <w:color w:val="auto"/>
              </w:rPr>
              <w:t>166</w:t>
            </w:r>
          </w:p>
        </w:tc>
      </w:tr>
      <w:tr>
        <w:trPr>
          <w:trHeight w:val="157"/>
        </w:trPr>
        <w:tc>
          <w:tcPr>
            <w:tcW w:w="4320" w:type="dxa"/>
            <w:vAlign w:val="bottom"/>
            <w:tcBorders>
              <w:left w:val="single" w:sz="8" w:color="auto"/>
              <w:bottom w:val="single" w:sz="8" w:color="auto"/>
              <w:right w:val="single" w:sz="8" w:color="auto"/>
            </w:tcBorders>
          </w:tcPr>
          <w:p>
            <w:pPr>
              <w:ind w:left="100"/>
              <w:spacing w:after="0" w:line="157" w:lineRule="exact"/>
              <w:rPr>
                <w:sz w:val="20"/>
                <w:szCs w:val="20"/>
                <w:color w:val="auto"/>
              </w:rPr>
            </w:pPr>
            <w:r>
              <w:rPr>
                <w:rFonts w:ascii="Arial" w:cs="Arial" w:eastAsia="Arial" w:hAnsi="Arial"/>
                <w:sz w:val="14"/>
                <w:szCs w:val="14"/>
                <w:color w:val="auto"/>
              </w:rPr>
              <w:t>S&amp;P 500 Index</w:t>
            </w:r>
          </w:p>
        </w:tc>
        <w:tc>
          <w:tcPr>
            <w:tcW w:w="960" w:type="dxa"/>
            <w:vAlign w:val="bottom"/>
            <w:tcBorders>
              <w:bottom w:val="single" w:sz="8" w:color="auto"/>
              <w:right w:val="single" w:sz="8" w:color="auto"/>
            </w:tcBorders>
          </w:tcPr>
          <w:p>
            <w:pPr>
              <w:jc w:val="right"/>
              <w:ind w:right="311"/>
              <w:spacing w:after="0" w:line="157" w:lineRule="exact"/>
              <w:rPr>
                <w:sz w:val="20"/>
                <w:szCs w:val="20"/>
                <w:color w:val="auto"/>
              </w:rPr>
            </w:pPr>
            <w:r>
              <w:rPr>
                <w:rFonts w:ascii="Arial" w:cs="Arial" w:eastAsia="Arial" w:hAnsi="Arial"/>
                <w:sz w:val="14"/>
                <w:szCs w:val="14"/>
                <w:color w:val="auto"/>
              </w:rPr>
              <w:t>$100</w:t>
            </w:r>
          </w:p>
        </w:tc>
        <w:tc>
          <w:tcPr>
            <w:tcW w:w="960" w:type="dxa"/>
            <w:vAlign w:val="bottom"/>
            <w:tcBorders>
              <w:bottom w:val="single" w:sz="8" w:color="auto"/>
              <w:right w:val="single" w:sz="8" w:color="auto"/>
            </w:tcBorders>
          </w:tcPr>
          <w:p>
            <w:pPr>
              <w:jc w:val="right"/>
              <w:ind w:right="311"/>
              <w:spacing w:after="0" w:line="157" w:lineRule="exact"/>
              <w:rPr>
                <w:sz w:val="20"/>
                <w:szCs w:val="20"/>
                <w:color w:val="auto"/>
              </w:rPr>
            </w:pPr>
            <w:r>
              <w:rPr>
                <w:rFonts w:ascii="Arial" w:cs="Arial" w:eastAsia="Arial" w:hAnsi="Arial"/>
                <w:sz w:val="14"/>
                <w:szCs w:val="14"/>
                <w:color w:val="auto"/>
              </w:rPr>
              <w:t>78</w:t>
            </w:r>
          </w:p>
        </w:tc>
        <w:tc>
          <w:tcPr>
            <w:tcW w:w="960" w:type="dxa"/>
            <w:vAlign w:val="bottom"/>
            <w:tcBorders>
              <w:bottom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4"/>
              </w:rPr>
              <w:t>100</w:t>
            </w:r>
          </w:p>
        </w:tc>
        <w:tc>
          <w:tcPr>
            <w:tcW w:w="960" w:type="dxa"/>
            <w:vAlign w:val="bottom"/>
            <w:tcBorders>
              <w:bottom w:val="single" w:sz="8" w:color="auto"/>
              <w:right w:val="single" w:sz="8" w:color="auto"/>
            </w:tcBorders>
          </w:tcPr>
          <w:p>
            <w:pPr>
              <w:jc w:val="right"/>
              <w:ind w:right="311"/>
              <w:spacing w:after="0" w:line="157" w:lineRule="exact"/>
              <w:rPr>
                <w:sz w:val="20"/>
                <w:szCs w:val="20"/>
                <w:color w:val="auto"/>
              </w:rPr>
            </w:pPr>
            <w:r>
              <w:rPr>
                <w:rFonts w:ascii="Arial" w:cs="Arial" w:eastAsia="Arial" w:hAnsi="Arial"/>
                <w:sz w:val="14"/>
                <w:szCs w:val="14"/>
                <w:color w:val="auto"/>
              </w:rPr>
              <w:t>111</w:t>
            </w:r>
          </w:p>
        </w:tc>
        <w:tc>
          <w:tcPr>
            <w:tcW w:w="960" w:type="dxa"/>
            <w:vAlign w:val="bottom"/>
            <w:tcBorders>
              <w:bottom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85"/>
              </w:rPr>
              <w:t>117</w:t>
            </w:r>
          </w:p>
        </w:tc>
        <w:tc>
          <w:tcPr>
            <w:tcW w:w="880" w:type="dxa"/>
            <w:vAlign w:val="bottom"/>
            <w:tcBorders>
              <w:bottom w:val="single" w:sz="8" w:color="auto"/>
              <w:right w:val="single" w:sz="8" w:color="auto"/>
            </w:tcBorders>
          </w:tcPr>
          <w:p>
            <w:pPr>
              <w:jc w:val="right"/>
              <w:ind w:right="231"/>
              <w:spacing w:after="0" w:line="157" w:lineRule="exact"/>
              <w:rPr>
                <w:sz w:val="20"/>
                <w:szCs w:val="20"/>
                <w:color w:val="auto"/>
              </w:rPr>
            </w:pPr>
            <w:r>
              <w:rPr>
                <w:rFonts w:ascii="Arial" w:cs="Arial" w:eastAsia="Arial" w:hAnsi="Arial"/>
                <w:sz w:val="14"/>
                <w:szCs w:val="14"/>
                <w:color w:val="auto"/>
              </w:rPr>
              <w:t>135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168275</wp:posOffset>
            </wp:positionV>
            <wp:extent cx="823595"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96" w:lineRule="exact"/>
        <w:rPr>
          <w:sz w:val="20"/>
          <w:szCs w:val="20"/>
          <w:color w:val="auto"/>
        </w:rPr>
      </w:pPr>
    </w:p>
    <w:p>
      <w:pPr>
        <w:ind w:left="720"/>
        <w:spacing w:after="0"/>
        <w:rPr>
          <w:sz w:val="20"/>
          <w:szCs w:val="20"/>
          <w:color w:val="auto"/>
        </w:rPr>
      </w:pPr>
      <w:r>
        <w:rPr>
          <w:rFonts w:ascii="Arial" w:cs="Arial" w:eastAsia="Arial" w:hAnsi="Arial"/>
          <w:sz w:val="13"/>
          <w:szCs w:val="13"/>
          <w:color w:val="auto"/>
        </w:rPr>
        <w:t>*  Assumes a $100 investment on December 31, 2001 and reinvestment of all dividends.</w:t>
      </w:r>
    </w:p>
    <w:p>
      <w:pPr>
        <w:spacing w:after="0" w:line="92" w:lineRule="exact"/>
        <w:rPr>
          <w:sz w:val="20"/>
          <w:szCs w:val="20"/>
          <w:color w:val="auto"/>
        </w:rPr>
      </w:pPr>
    </w:p>
    <w:p>
      <w:pPr>
        <w:ind w:left="680" w:right="140" w:firstLine="399"/>
        <w:spacing w:after="0" w:line="265" w:lineRule="auto"/>
        <w:rPr>
          <w:sz w:val="20"/>
          <w:szCs w:val="20"/>
          <w:color w:val="auto"/>
        </w:rPr>
      </w:pPr>
      <w:r>
        <w:rPr>
          <w:rFonts w:ascii="Arial" w:cs="Arial" w:eastAsia="Arial" w:hAnsi="Arial"/>
          <w:sz w:val="14"/>
          <w:szCs w:val="14"/>
          <w:color w:val="auto"/>
        </w:rPr>
        <w:t>In accordance with and to the extent permitted by applicable law or regulation, the information set forth above under the heading “Performance Graph” shall not be incorporated by reference into any future filing under the Securities Act of 1933, as amended (the “Securities Act”), or the Exchange Act and shall not be deemed to be “soliciting material” or to be “filed” with the SEC under the Securities Act or the Exchange Act.</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22" w:lineRule="exact"/>
        <w:rPr>
          <w:sz w:val="20"/>
          <w:szCs w:val="20"/>
          <w:color w:val="auto"/>
        </w:rPr>
      </w:pPr>
    </w:p>
    <w:p>
      <w:pPr>
        <w:ind w:left="680" w:right="100"/>
        <w:spacing w:after="0" w:line="256" w:lineRule="auto"/>
        <w:rPr>
          <w:sz w:val="20"/>
          <w:szCs w:val="20"/>
          <w:color w:val="auto"/>
        </w:rPr>
      </w:pPr>
      <w:r>
        <w:rPr>
          <w:rFonts w:ascii="Arial" w:cs="Arial" w:eastAsia="Arial" w:hAnsi="Arial"/>
          <w:sz w:val="14"/>
          <w:szCs w:val="14"/>
          <w:color w:val="auto"/>
        </w:rPr>
        <w:t>In November 2005, M</w:t>
      </w:r>
      <w:r>
        <w:rPr>
          <w:rFonts w:ascii="Arial" w:cs="Arial" w:eastAsia="Arial" w:hAnsi="Arial"/>
          <w:sz w:val="13"/>
          <w:szCs w:val="13"/>
          <w:color w:val="auto"/>
        </w:rPr>
        <w:t>&amp;</w:t>
      </w:r>
      <w:r>
        <w:rPr>
          <w:rFonts w:ascii="Arial" w:cs="Arial" w:eastAsia="Arial" w:hAnsi="Arial"/>
          <w:sz w:val="14"/>
          <w:szCs w:val="14"/>
          <w:color w:val="auto"/>
        </w:rPr>
        <w:t>T announced that it had been authorized by its Board of Directors to purchase up to 5,000,000 shares of its common stock. Pursuant to such plan, M</w:t>
      </w:r>
      <w:r>
        <w:rPr>
          <w:rFonts w:ascii="Arial" w:cs="Arial" w:eastAsia="Arial" w:hAnsi="Arial"/>
          <w:sz w:val="13"/>
          <w:szCs w:val="13"/>
          <w:color w:val="auto"/>
        </w:rPr>
        <w:t>&amp;</w:t>
      </w:r>
      <w:r>
        <w:rPr>
          <w:rFonts w:ascii="Arial" w:cs="Arial" w:eastAsia="Arial" w:hAnsi="Arial"/>
          <w:sz w:val="14"/>
          <w:szCs w:val="14"/>
          <w:color w:val="auto"/>
        </w:rPr>
        <w:t>T repurchased 3,259,000 shares during 2006 at an average per share cost of $114.72. Through December 31, 2006, M</w:t>
      </w:r>
      <w:r>
        <w:rPr>
          <w:rFonts w:ascii="Arial" w:cs="Arial" w:eastAsia="Arial" w:hAnsi="Arial"/>
          <w:sz w:val="13"/>
          <w:szCs w:val="13"/>
          <w:color w:val="auto"/>
        </w:rPr>
        <w:t>&amp;</w:t>
      </w:r>
      <w:r>
        <w:rPr>
          <w:rFonts w:ascii="Arial" w:cs="Arial" w:eastAsia="Arial" w:hAnsi="Arial"/>
          <w:sz w:val="14"/>
          <w:szCs w:val="14"/>
          <w:color w:val="auto"/>
        </w:rPr>
        <w:t>T had repurchased 3,303,700 shares of common stock pursuant to the repurchase plan at an average cost of $114.66 per share.</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During the fourth quarter of 2006, M</w:t>
      </w:r>
      <w:r>
        <w:rPr>
          <w:rFonts w:ascii="Arial" w:cs="Arial" w:eastAsia="Arial" w:hAnsi="Arial"/>
          <w:sz w:val="13"/>
          <w:szCs w:val="13"/>
          <w:color w:val="auto"/>
        </w:rPr>
        <w:t>&amp;</w:t>
      </w:r>
      <w:r>
        <w:rPr>
          <w:rFonts w:ascii="Arial" w:cs="Arial" w:eastAsia="Arial" w:hAnsi="Arial"/>
          <w:sz w:val="14"/>
          <w:szCs w:val="14"/>
          <w:color w:val="auto"/>
        </w:rPr>
        <w:t>T purchased shares of its common stock as follows:</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47"/>
        </w:trPr>
        <w:tc>
          <w:tcPr>
            <w:tcW w:w="13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3"/>
              </w:rPr>
              <w:t>(d)Maximum</w:t>
            </w: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2"/>
              </w:rPr>
              <w:t>(c)Total</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Number (or</w:t>
            </w: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2"/>
              </w:rPr>
              <w:t>Number</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Approximate</w:t>
            </w: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7"/>
              </w:rPr>
              <w:t>of Shares</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Dollar Value)</w:t>
            </w: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9"/>
              </w:rPr>
              <w:t>(or Units)</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4"/>
              </w:rPr>
              <w:t>of Shares</w:t>
            </w: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4"/>
              </w:rPr>
              <w:t>Purchased</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3"/>
              </w:rPr>
              <w:t>(or Units)</w:t>
            </w: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7"/>
              </w:rPr>
              <w:t>(a)Total</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7"/>
              </w:rPr>
              <w:t>as Part of</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that may yet</w:t>
            </w: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2"/>
              </w:rPr>
              <w:t>Number</w:t>
            </w:r>
          </w:p>
        </w:tc>
        <w:tc>
          <w:tcPr>
            <w:tcW w:w="60" w:type="dxa"/>
            <w:vAlign w:val="bottom"/>
          </w:tcPr>
          <w:p>
            <w:pPr>
              <w:spacing w:after="0"/>
              <w:rPr>
                <w:sz w:val="12"/>
                <w:szCs w:val="12"/>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9"/>
              </w:rPr>
              <w:t>(b)Average</w:t>
            </w:r>
          </w:p>
        </w:tc>
        <w:tc>
          <w:tcPr>
            <w:tcW w:w="11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6"/>
              </w:rPr>
              <w:t>Publicly</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3"/>
              </w:rPr>
              <w:t>be Purchased</w:t>
            </w: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4"/>
              </w:rPr>
              <w:t>of Shares</w:t>
            </w:r>
          </w:p>
        </w:tc>
        <w:tc>
          <w:tcPr>
            <w:tcW w:w="60" w:type="dxa"/>
            <w:vAlign w:val="bottom"/>
          </w:tcPr>
          <w:p>
            <w:pPr>
              <w:spacing w:after="0"/>
              <w:rPr>
                <w:sz w:val="12"/>
                <w:szCs w:val="12"/>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89"/>
              </w:rPr>
              <w:t>Price Paid</w:t>
            </w:r>
          </w:p>
        </w:tc>
        <w:tc>
          <w:tcPr>
            <w:tcW w:w="11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4"/>
              </w:rPr>
              <w:t>Announced</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Under the</w:t>
            </w:r>
          </w:p>
        </w:tc>
        <w:tc>
          <w:tcPr>
            <w:tcW w:w="0" w:type="dxa"/>
            <w:vAlign w:val="bottom"/>
          </w:tcPr>
          <w:p>
            <w:pPr>
              <w:spacing w:after="0"/>
              <w:rPr>
                <w:sz w:val="1"/>
                <w:szCs w:val="1"/>
                <w:color w:val="auto"/>
              </w:rPr>
            </w:pPr>
          </w:p>
        </w:tc>
      </w:tr>
      <w:tr>
        <w:trPr>
          <w:trHeight w:val="151"/>
        </w:trPr>
        <w:tc>
          <w:tcPr>
            <w:tcW w:w="5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Period</w:t>
            </w:r>
          </w:p>
        </w:tc>
        <w:tc>
          <w:tcPr>
            <w:tcW w:w="12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3"/>
              </w:rPr>
              <w:t>(or Units)</w:t>
            </w:r>
          </w:p>
        </w:tc>
        <w:tc>
          <w:tcPr>
            <w:tcW w:w="60" w:type="dxa"/>
            <w:vAlign w:val="bottom"/>
          </w:tcPr>
          <w:p>
            <w:pPr>
              <w:spacing w:after="0"/>
              <w:rPr>
                <w:sz w:val="13"/>
                <w:szCs w:val="13"/>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0"/>
              </w:rPr>
              <w:t>per Share</w:t>
            </w:r>
          </w:p>
        </w:tc>
        <w:tc>
          <w:tcPr>
            <w:tcW w:w="11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4"/>
              </w:rPr>
              <w:t>Plans or</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8"/>
              </w:rPr>
              <w:t>Plans or</w:t>
            </w:r>
          </w:p>
        </w:tc>
        <w:tc>
          <w:tcPr>
            <w:tcW w:w="0" w:type="dxa"/>
            <w:vAlign w:val="bottom"/>
          </w:tcPr>
          <w:p>
            <w:pPr>
              <w:spacing w:after="0"/>
              <w:rPr>
                <w:sz w:val="1"/>
                <w:szCs w:val="1"/>
                <w:color w:val="auto"/>
              </w:rPr>
            </w:pPr>
          </w:p>
        </w:tc>
      </w:tr>
      <w:tr>
        <w:trPr>
          <w:trHeight w:val="160"/>
        </w:trPr>
        <w:tc>
          <w:tcPr>
            <w:tcW w:w="5600" w:type="dxa"/>
            <w:vAlign w:val="bottom"/>
            <w:gridSpan w:val="2"/>
            <w:vMerge w:val="continue"/>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6"/>
              </w:rPr>
              <w:t>Purchased(1)</w:t>
            </w:r>
          </w:p>
        </w:tc>
        <w:tc>
          <w:tcPr>
            <w:tcW w:w="60" w:type="dxa"/>
            <w:vAlign w:val="bottom"/>
          </w:tcPr>
          <w:p>
            <w:pPr>
              <w:spacing w:after="0"/>
              <w:rPr>
                <w:sz w:val="13"/>
                <w:szCs w:val="13"/>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4"/>
              </w:rPr>
              <w:t>(or Unit)</w:t>
            </w:r>
          </w:p>
        </w:tc>
        <w:tc>
          <w:tcPr>
            <w:tcW w:w="110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5"/>
              </w:rPr>
              <w:t>Programs</w:t>
            </w:r>
          </w:p>
        </w:tc>
        <w:tc>
          <w:tcPr>
            <w:tcW w:w="10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7"/>
              </w:rPr>
              <w:t>Programs(2)</w:t>
            </w:r>
          </w:p>
        </w:tc>
        <w:tc>
          <w:tcPr>
            <w:tcW w:w="0" w:type="dxa"/>
            <w:vAlign w:val="bottom"/>
          </w:tcPr>
          <w:p>
            <w:pPr>
              <w:spacing w:after="0"/>
              <w:rPr>
                <w:sz w:val="1"/>
                <w:szCs w:val="1"/>
                <w:color w:val="auto"/>
              </w:rPr>
            </w:pPr>
          </w:p>
        </w:tc>
      </w:tr>
      <w:tr>
        <w:trPr>
          <w:trHeight w:val="32"/>
        </w:trPr>
        <w:tc>
          <w:tcPr>
            <w:tcW w:w="1300" w:type="dxa"/>
            <w:vAlign w:val="bottom"/>
          </w:tcPr>
          <w:p>
            <w:pPr>
              <w:spacing w:after="0"/>
              <w:rPr>
                <w:sz w:val="2"/>
                <w:szCs w:val="2"/>
                <w:color w:val="auto"/>
              </w:rPr>
            </w:pPr>
          </w:p>
        </w:tc>
        <w:tc>
          <w:tcPr>
            <w:tcW w:w="43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October 1 - October 31, 2006</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3,660</w:t>
            </w: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121.46</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2,318,600</w:t>
            </w:r>
          </w:p>
        </w:tc>
        <w:tc>
          <w:tcPr>
            <w:tcW w:w="0" w:type="dxa"/>
            <w:vAlign w:val="bottom"/>
          </w:tcPr>
          <w:p>
            <w:pPr>
              <w:spacing w:after="0"/>
              <w:rPr>
                <w:sz w:val="1"/>
                <w:szCs w:val="1"/>
                <w:color w:val="auto"/>
              </w:rPr>
            </w:pPr>
          </w:p>
        </w:tc>
      </w:tr>
      <w:tr>
        <w:trPr>
          <w:trHeight w:val="157"/>
        </w:trPr>
        <w:tc>
          <w:tcPr>
            <w:tcW w:w="5600" w:type="dxa"/>
            <w:vAlign w:val="bottom"/>
            <w:gridSpan w:val="2"/>
          </w:tcPr>
          <w:p>
            <w:pPr>
              <w:spacing w:after="0"/>
              <w:rPr>
                <w:sz w:val="20"/>
                <w:szCs w:val="20"/>
                <w:color w:val="auto"/>
              </w:rPr>
            </w:pPr>
            <w:r>
              <w:rPr>
                <w:rFonts w:ascii="Arial" w:cs="Arial" w:eastAsia="Arial" w:hAnsi="Arial"/>
                <w:sz w:val="13"/>
                <w:szCs w:val="13"/>
                <w:color w:val="auto"/>
              </w:rPr>
              <w:t>November 1 - November 30, 2006</w:t>
            </w:r>
          </w:p>
        </w:tc>
        <w:tc>
          <w:tcPr>
            <w:tcW w:w="1220" w:type="dxa"/>
            <w:vAlign w:val="bottom"/>
            <w:gridSpan w:val="2"/>
          </w:tcPr>
          <w:p>
            <w:pPr>
              <w:jc w:val="right"/>
              <w:ind w:right="300"/>
              <w:spacing w:after="0"/>
              <w:rPr>
                <w:sz w:val="20"/>
                <w:szCs w:val="20"/>
                <w:color w:val="auto"/>
              </w:rPr>
            </w:pPr>
            <w:r>
              <w:rPr>
                <w:rFonts w:ascii="Arial" w:cs="Arial" w:eastAsia="Arial" w:hAnsi="Arial"/>
                <w:sz w:val="13"/>
                <w:szCs w:val="13"/>
                <w:color w:val="auto"/>
              </w:rPr>
              <w:t>51,445</w:t>
            </w:r>
          </w:p>
        </w:tc>
        <w:tc>
          <w:tcPr>
            <w:tcW w:w="60" w:type="dxa"/>
            <w:vAlign w:val="bottom"/>
          </w:tcPr>
          <w:p>
            <w:pPr>
              <w:spacing w:after="0"/>
              <w:rPr>
                <w:sz w:val="13"/>
                <w:szCs w:val="13"/>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117.90</w:t>
            </w: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3"/>
                <w:szCs w:val="13"/>
                <w:color w:val="auto"/>
              </w:rPr>
              <w:t>2,318,600</w:t>
            </w:r>
          </w:p>
        </w:tc>
        <w:tc>
          <w:tcPr>
            <w:tcW w:w="0" w:type="dxa"/>
            <w:vAlign w:val="bottom"/>
          </w:tcPr>
          <w:p>
            <w:pPr>
              <w:spacing w:after="0"/>
              <w:rPr>
                <w:sz w:val="1"/>
                <w:szCs w:val="1"/>
                <w:color w:val="auto"/>
              </w:rPr>
            </w:pPr>
          </w:p>
        </w:tc>
      </w:tr>
      <w:tr>
        <w:trPr>
          <w:trHeight w:val="157"/>
        </w:trPr>
        <w:tc>
          <w:tcPr>
            <w:tcW w:w="56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 1 - December 31, 2006</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623,038</w:t>
            </w: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120.46</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622,300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1,696,300</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3"/>
                <w:szCs w:val="13"/>
                <w:color w:val="auto"/>
              </w:rPr>
              <w:t>Total</w:t>
            </w: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600" w:type="dxa"/>
            <w:vAlign w:val="bottom"/>
            <w:gridSpan w:val="2"/>
            <w:vMerge w:val="continue"/>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678,143</w:t>
            </w:r>
          </w:p>
        </w:tc>
        <w:tc>
          <w:tcPr>
            <w:tcW w:w="30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300"/>
              <w:spacing w:after="0"/>
              <w:rPr>
                <w:sz w:val="20"/>
                <w:szCs w:val="20"/>
                <w:color w:val="auto"/>
              </w:rPr>
            </w:pPr>
            <w:r>
              <w:rPr>
                <w:rFonts w:ascii="Arial" w:cs="Arial" w:eastAsia="Arial" w:hAnsi="Arial"/>
                <w:sz w:val="13"/>
                <w:szCs w:val="13"/>
                <w:color w:val="auto"/>
              </w:rPr>
              <w:t>120.27</w:t>
            </w: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622,300</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30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-535940</wp:posOffset>
            </wp:positionV>
            <wp:extent cx="37465"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7465" cy="6350"/>
                    </a:xfrm>
                    <a:prstGeom prst="rect">
                      <a:avLst/>
                    </a:prstGeom>
                    <a:noFill/>
                  </pic:spPr>
                </pic:pic>
              </a:graphicData>
            </a:graphic>
          </wp:anchor>
        </w:drawing>
      </w:r>
    </w:p>
    <w:p>
      <w:pPr>
        <w:spacing w:after="0" w:line="20" w:lineRule="exact"/>
        <w:rPr>
          <w:sz w:val="20"/>
          <w:szCs w:val="20"/>
          <w:color w:val="auto"/>
        </w:rPr>
      </w:pPr>
    </w:p>
    <w:p>
      <w:pPr>
        <w:ind w:left="1180" w:right="20" w:hanging="243"/>
        <w:spacing w:after="0" w:line="305" w:lineRule="auto"/>
        <w:tabs>
          <w:tab w:leader="none" w:pos="1180" w:val="left"/>
        </w:tabs>
        <w:numPr>
          <w:ilvl w:val="0"/>
          <w:numId w:val="11"/>
        </w:numPr>
        <w:rPr>
          <w:rFonts w:ascii="Arial" w:cs="Arial" w:eastAsia="Arial" w:hAnsi="Arial"/>
          <w:sz w:val="11"/>
          <w:szCs w:val="11"/>
          <w:i w:val="1"/>
          <w:iCs w:val="1"/>
          <w:color w:val="auto"/>
        </w:rPr>
      </w:pPr>
      <w:r>
        <w:rPr>
          <w:rFonts w:ascii="Arial" w:cs="Arial" w:eastAsia="Arial" w:hAnsi="Arial"/>
          <w:sz w:val="11"/>
          <w:szCs w:val="11"/>
          <w:i w:val="1"/>
          <w:iCs w:val="1"/>
          <w:color w:val="auto"/>
        </w:rPr>
        <w:t>The total number of shares purchased during the periods indicated includes shares purchased as part of publicly announced programs and shares deemed to have been received from employees who exercised stock options by attesting to previously acquired common shares in satisfaction of the exercise price, as is permitted under M&amp;T’s stock option plans.</w:t>
      </w:r>
    </w:p>
    <w:p>
      <w:pPr>
        <w:ind w:left="1180" w:hanging="243"/>
        <w:spacing w:after="0"/>
        <w:tabs>
          <w:tab w:leader="none" w:pos="1180" w:val="left"/>
        </w:tabs>
        <w:numPr>
          <w:ilvl w:val="0"/>
          <w:numId w:val="11"/>
        </w:numPr>
        <w:rPr>
          <w:rFonts w:ascii="Arial" w:cs="Arial" w:eastAsia="Arial" w:hAnsi="Arial"/>
          <w:sz w:val="13"/>
          <w:szCs w:val="13"/>
          <w:i w:val="1"/>
          <w:iCs w:val="1"/>
          <w:color w:val="auto"/>
        </w:rPr>
      </w:pPr>
      <w:r>
        <w:rPr>
          <w:rFonts w:ascii="Arial" w:cs="Arial" w:eastAsia="Arial" w:hAnsi="Arial"/>
          <w:sz w:val="13"/>
          <w:szCs w:val="13"/>
          <w:i w:val="1"/>
          <w:iCs w:val="1"/>
          <w:color w:val="auto"/>
        </w:rPr>
        <w:t>On November 21, 2005, M&amp;T announced a program to purchase up to 5,000,000 shares of its common stock.</w:t>
      </w:r>
    </w:p>
    <w:p>
      <w:pPr>
        <w:spacing w:after="0" w:line="160"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i w:val="1"/>
          <w:iCs w:val="1"/>
          <w:color w:val="auto"/>
        </w:rPr>
        <w:t>Selected Financial Data.</w:t>
      </w:r>
    </w:p>
    <w:p>
      <w:pPr>
        <w:spacing w:after="0" w:line="9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See cross-reference sheet for disclosures incorporated elsewhere in this Annual Report on Form 10-K.</w:t>
      </w:r>
    </w:p>
    <w:p>
      <w:pPr>
        <w:spacing w:after="0" w:line="169"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4"/>
          <w:szCs w:val="14"/>
          <w:b w:val="1"/>
          <w:bCs w:val="1"/>
          <w:color w:val="auto"/>
        </w:rPr>
        <w:t>Item 7.</w:t>
      </w:r>
      <w:r>
        <w:rPr>
          <w:sz w:val="20"/>
          <w:szCs w:val="20"/>
          <w:color w:val="auto"/>
        </w:rPr>
        <w:tab/>
      </w:r>
      <w:r>
        <w:rPr>
          <w:rFonts w:ascii="Arial" w:cs="Arial" w:eastAsia="Arial" w:hAnsi="Arial"/>
          <w:sz w:val="12"/>
          <w:szCs w:val="12"/>
          <w:b w:val="1"/>
          <w:bCs w:val="1"/>
          <w:i w:val="1"/>
          <w:iCs w:val="1"/>
          <w:color w:val="auto"/>
        </w:rPr>
        <w:t>Management’s Discussion and Analysis of Financial Condition and Results of Operations.</w:t>
      </w:r>
    </w:p>
    <w:p>
      <w:pPr>
        <w:spacing w:after="0" w:line="9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Corporate Profile and Significant Developments</w:t>
      </w:r>
    </w:p>
    <w:p>
      <w:pPr>
        <w:spacing w:after="0" w:line="22" w:lineRule="exact"/>
        <w:rPr>
          <w:sz w:val="20"/>
          <w:szCs w:val="20"/>
          <w:color w:val="auto"/>
        </w:rPr>
      </w:pPr>
    </w:p>
    <w:p>
      <w:pPr>
        <w:ind w:left="680"/>
        <w:spacing w:after="0" w:line="249" w:lineRule="auto"/>
        <w:rPr>
          <w:sz w:val="20"/>
          <w:szCs w:val="20"/>
          <w:color w:val="auto"/>
        </w:rPr>
      </w:pPr>
      <w:r>
        <w:rPr>
          <w:rFonts w:ascii="Arial" w:cs="Arial" w:eastAsia="Arial" w:hAnsi="Arial"/>
          <w:sz w:val="14"/>
          <w:szCs w:val="14"/>
          <w:color w:val="auto"/>
        </w:rPr>
        <w:t>M</w:t>
      </w:r>
      <w:r>
        <w:rPr>
          <w:rFonts w:ascii="Arial" w:cs="Arial" w:eastAsia="Arial" w:hAnsi="Arial"/>
          <w:sz w:val="13"/>
          <w:szCs w:val="13"/>
          <w:color w:val="auto"/>
        </w:rPr>
        <w:t>&amp;</w:t>
      </w:r>
      <w:r>
        <w:rPr>
          <w:rFonts w:ascii="Arial" w:cs="Arial" w:eastAsia="Arial" w:hAnsi="Arial"/>
          <w:sz w:val="14"/>
          <w:szCs w:val="14"/>
          <w:color w:val="auto"/>
        </w:rPr>
        <w:t>T Bank Corporation (“M</w:t>
      </w:r>
      <w:r>
        <w:rPr>
          <w:rFonts w:ascii="Arial" w:cs="Arial" w:eastAsia="Arial" w:hAnsi="Arial"/>
          <w:sz w:val="13"/>
          <w:szCs w:val="13"/>
          <w:color w:val="auto"/>
        </w:rPr>
        <w:t>&amp;</w:t>
      </w:r>
      <w:r>
        <w:rPr>
          <w:rFonts w:ascii="Arial" w:cs="Arial" w:eastAsia="Arial" w:hAnsi="Arial"/>
          <w:sz w:val="14"/>
          <w:szCs w:val="14"/>
          <w:color w:val="auto"/>
        </w:rPr>
        <w:t>T”) is a bank holding company headquartered in Buffalo, New York with consolidated assets of $57.1 billion at December 31, 2006. The consolidated financial information presented herein reflects M</w:t>
      </w:r>
      <w:r>
        <w:rPr>
          <w:rFonts w:ascii="Arial" w:cs="Arial" w:eastAsia="Arial" w:hAnsi="Arial"/>
          <w:sz w:val="13"/>
          <w:szCs w:val="13"/>
          <w:color w:val="auto"/>
        </w:rPr>
        <w:t>&amp;</w:t>
      </w:r>
      <w:r>
        <w:rPr>
          <w:rFonts w:ascii="Arial" w:cs="Arial" w:eastAsia="Arial" w:hAnsi="Arial"/>
          <w:sz w:val="14"/>
          <w:szCs w:val="14"/>
          <w:color w:val="auto"/>
        </w:rPr>
        <w:t>T and all of its subsidiaries, which are referred to collectively as “the Company.” M</w:t>
      </w:r>
      <w:r>
        <w:rPr>
          <w:rFonts w:ascii="Arial" w:cs="Arial" w:eastAsia="Arial" w:hAnsi="Arial"/>
          <w:sz w:val="13"/>
          <w:szCs w:val="13"/>
          <w:color w:val="auto"/>
        </w:rPr>
        <w:t>&amp;</w:t>
      </w:r>
      <w:r>
        <w:rPr>
          <w:rFonts w:ascii="Arial" w:cs="Arial" w:eastAsia="Arial" w:hAnsi="Arial"/>
          <w:sz w:val="14"/>
          <w:szCs w:val="14"/>
          <w:color w:val="auto"/>
        </w:rPr>
        <w:t>T’s wholly owned bank subsidiaries are M</w:t>
      </w:r>
      <w:r>
        <w:rPr>
          <w:rFonts w:ascii="Arial" w:cs="Arial" w:eastAsia="Arial" w:hAnsi="Arial"/>
          <w:sz w:val="13"/>
          <w:szCs w:val="13"/>
          <w:color w:val="auto"/>
        </w:rPr>
        <w:t>&amp;</w:t>
      </w:r>
      <w:r>
        <w:rPr>
          <w:rFonts w:ascii="Arial" w:cs="Arial" w:eastAsia="Arial" w:hAnsi="Arial"/>
          <w:sz w:val="14"/>
          <w:szCs w:val="14"/>
          <w:color w:val="auto"/>
        </w:rPr>
        <w:t>T Bank and M</w:t>
      </w:r>
      <w:r>
        <w:rPr>
          <w:rFonts w:ascii="Arial" w:cs="Arial" w:eastAsia="Arial" w:hAnsi="Arial"/>
          <w:sz w:val="13"/>
          <w:szCs w:val="13"/>
          <w:color w:val="auto"/>
        </w:rPr>
        <w:t>&amp;</w:t>
      </w:r>
      <w:r>
        <w:rPr>
          <w:rFonts w:ascii="Arial" w:cs="Arial" w:eastAsia="Arial" w:hAnsi="Arial"/>
          <w:sz w:val="14"/>
          <w:szCs w:val="14"/>
          <w:color w:val="auto"/>
        </w:rPr>
        <w:t>T Bank, National Association (“M</w:t>
      </w:r>
      <w:r>
        <w:rPr>
          <w:rFonts w:ascii="Arial" w:cs="Arial" w:eastAsia="Arial" w:hAnsi="Arial"/>
          <w:sz w:val="13"/>
          <w:szCs w:val="13"/>
          <w:color w:val="auto"/>
        </w:rPr>
        <w:t>&amp;</w:t>
      </w:r>
      <w:r>
        <w:rPr>
          <w:rFonts w:ascii="Arial" w:cs="Arial" w:eastAsia="Arial" w:hAnsi="Arial"/>
          <w:sz w:val="14"/>
          <w:szCs w:val="14"/>
          <w:color w:val="auto"/>
        </w:rPr>
        <w:t>T Bank, N.A.”).</w:t>
      </w:r>
    </w:p>
    <w:p>
      <w:pPr>
        <w:ind w:left="680" w:firstLine="599"/>
        <w:spacing w:after="0" w:line="268" w:lineRule="auto"/>
        <w:rPr>
          <w:sz w:val="20"/>
          <w:szCs w:val="20"/>
          <w:color w:val="auto"/>
        </w:rPr>
      </w:pPr>
      <w:r>
        <w:rPr>
          <w:rFonts w:ascii="Arial" w:cs="Arial" w:eastAsia="Arial" w:hAnsi="Arial"/>
          <w:sz w:val="13"/>
          <w:szCs w:val="13"/>
          <w:color w:val="auto"/>
        </w:rPr>
        <w:t>M</w:t>
      </w:r>
      <w:r>
        <w:rPr>
          <w:rFonts w:ascii="Arial" w:cs="Arial" w:eastAsia="Arial" w:hAnsi="Arial"/>
          <w:sz w:val="12"/>
          <w:szCs w:val="12"/>
          <w:color w:val="auto"/>
        </w:rPr>
        <w:t>&amp;</w:t>
      </w:r>
      <w:r>
        <w:rPr>
          <w:rFonts w:ascii="Arial" w:cs="Arial" w:eastAsia="Arial" w:hAnsi="Arial"/>
          <w:sz w:val="13"/>
          <w:szCs w:val="13"/>
          <w:color w:val="auto"/>
        </w:rPr>
        <w:t>T Bank, with total assets of $56.4 billion at December 31, 2006, is a New York-chartered commercial bank with 671 banking offices in New York State, Pennsylvania, Maryland, Delaware, Virginia, West Virginia and the District of Columbia, and an office in the Cayman Islands. On January 2, 2007, M</w:t>
      </w:r>
      <w:r>
        <w:rPr>
          <w:rFonts w:ascii="Arial" w:cs="Arial" w:eastAsia="Arial" w:hAnsi="Arial"/>
          <w:sz w:val="12"/>
          <w:szCs w:val="12"/>
          <w:color w:val="auto"/>
        </w:rPr>
        <w:t>&amp;</w:t>
      </w:r>
      <w:r>
        <w:rPr>
          <w:rFonts w:ascii="Arial" w:cs="Arial" w:eastAsia="Arial" w:hAnsi="Arial"/>
          <w:sz w:val="13"/>
          <w:szCs w:val="13"/>
          <w:color w:val="auto"/>
        </w:rPr>
        <w:t>T Bank opened its first banking office in New Jersey. M</w:t>
      </w:r>
      <w:r>
        <w:rPr>
          <w:rFonts w:ascii="Arial" w:cs="Arial" w:eastAsia="Arial" w:hAnsi="Arial"/>
          <w:sz w:val="12"/>
          <w:szCs w:val="12"/>
          <w:color w:val="auto"/>
        </w:rPr>
        <w:t>&amp;</w:t>
      </w:r>
      <w:r>
        <w:rPr>
          <w:rFonts w:ascii="Arial" w:cs="Arial" w:eastAsia="Arial" w:hAnsi="Arial"/>
          <w:sz w:val="13"/>
          <w:szCs w:val="13"/>
          <w:color w:val="auto"/>
        </w:rPr>
        <w:t>T Bank and its subsidiaries offer a broad range of financial services to a diverse base of consumers, businesses, professional clients, governmental entities and financial institutions located in its markets. Lending is largely focused on consumers residing in New York State, Pennsylvania, Maryland, northern Virginia and Washington, D.C., and on small and medium size businesses based in those areas, although residential real estate loans are originated through lending offices in 22 states. Certain lending activities are also conducted in other states through various subsidiaries. M</w:t>
      </w:r>
      <w:r>
        <w:rPr>
          <w:rFonts w:ascii="Arial" w:cs="Arial" w:eastAsia="Arial" w:hAnsi="Arial"/>
          <w:sz w:val="12"/>
          <w:szCs w:val="12"/>
          <w:color w:val="auto"/>
        </w:rPr>
        <w:t>&amp;</w:t>
      </w:r>
      <w:r>
        <w:rPr>
          <w:rFonts w:ascii="Arial" w:cs="Arial" w:eastAsia="Arial" w:hAnsi="Arial"/>
          <w:sz w:val="13"/>
          <w:szCs w:val="13"/>
          <w:color w:val="auto"/>
        </w:rPr>
        <w:t>T Bank’s subsidiaries include: M</w:t>
      </w:r>
      <w:r>
        <w:rPr>
          <w:rFonts w:ascii="Arial" w:cs="Arial" w:eastAsia="Arial" w:hAnsi="Arial"/>
          <w:sz w:val="12"/>
          <w:szCs w:val="12"/>
          <w:color w:val="auto"/>
        </w:rPr>
        <w:t>&amp;</w:t>
      </w:r>
      <w:r>
        <w:rPr>
          <w:rFonts w:ascii="Arial" w:cs="Arial" w:eastAsia="Arial" w:hAnsi="Arial"/>
          <w:sz w:val="13"/>
          <w:szCs w:val="13"/>
          <w:color w:val="auto"/>
        </w:rPr>
        <w:t>T Credit Services, LLC, a consumer lending and commercial leasing and lending company; M</w:t>
      </w:r>
      <w:r>
        <w:rPr>
          <w:rFonts w:ascii="Arial" w:cs="Arial" w:eastAsia="Arial" w:hAnsi="Arial"/>
          <w:sz w:val="12"/>
          <w:szCs w:val="12"/>
          <w:color w:val="auto"/>
        </w:rPr>
        <w:t>&amp;</w:t>
      </w:r>
      <w:r>
        <w:rPr>
          <w:rFonts w:ascii="Arial" w:cs="Arial" w:eastAsia="Arial" w:hAnsi="Arial"/>
          <w:sz w:val="13"/>
          <w:szCs w:val="13"/>
          <w:color w:val="auto"/>
        </w:rPr>
        <w:t>T Real Estate Trust, a commercial mortgage lender; M</w:t>
      </w:r>
      <w:r>
        <w:rPr>
          <w:rFonts w:ascii="Arial" w:cs="Arial" w:eastAsia="Arial" w:hAnsi="Arial"/>
          <w:sz w:val="12"/>
          <w:szCs w:val="12"/>
          <w:color w:val="auto"/>
        </w:rPr>
        <w:t>&amp;</w:t>
      </w:r>
      <w:r>
        <w:rPr>
          <w:rFonts w:ascii="Arial" w:cs="Arial" w:eastAsia="Arial" w:hAnsi="Arial"/>
          <w:sz w:val="13"/>
          <w:szCs w:val="13"/>
          <w:color w:val="auto"/>
        </w:rPr>
        <w:t>T Realty Capital Corporation, a multi-family commercial mortgage lender; M</w:t>
      </w:r>
      <w:r>
        <w:rPr>
          <w:rFonts w:ascii="Arial" w:cs="Arial" w:eastAsia="Arial" w:hAnsi="Arial"/>
          <w:sz w:val="12"/>
          <w:szCs w:val="12"/>
          <w:color w:val="auto"/>
        </w:rPr>
        <w:t>&amp;</w:t>
      </w:r>
      <w:r>
        <w:rPr>
          <w:rFonts w:ascii="Arial" w:cs="Arial" w:eastAsia="Arial" w:hAnsi="Arial"/>
          <w:sz w:val="13"/>
          <w:szCs w:val="13"/>
          <w:color w:val="auto"/>
        </w:rPr>
        <w:t>T Securities, Inc., which provides brokerage, investment advisory and insurance services; MTB Investment Advisors, Inc., which serves as investment advisor to the MTB Group of Funds, a family of proprietary mutual funds, and other funds and institutional clients; and M</w:t>
      </w:r>
      <w:r>
        <w:rPr>
          <w:rFonts w:ascii="Arial" w:cs="Arial" w:eastAsia="Arial" w:hAnsi="Arial"/>
          <w:sz w:val="12"/>
          <w:szCs w:val="12"/>
          <w:color w:val="auto"/>
        </w:rPr>
        <w:t>&amp;</w:t>
      </w:r>
      <w:r>
        <w:rPr>
          <w:rFonts w:ascii="Arial" w:cs="Arial" w:eastAsia="Arial" w:hAnsi="Arial"/>
          <w:sz w:val="13"/>
          <w:szCs w:val="13"/>
          <w:color w:val="auto"/>
        </w:rPr>
        <w:t>T Insurance Agency, Inc., an insurance agency. Effective January 1, 2007, M</w:t>
      </w:r>
      <w:r>
        <w:rPr>
          <w:rFonts w:ascii="Arial" w:cs="Arial" w:eastAsia="Arial" w:hAnsi="Arial"/>
          <w:sz w:val="12"/>
          <w:szCs w:val="12"/>
          <w:color w:val="auto"/>
        </w:rPr>
        <w:t>&amp;</w:t>
      </w:r>
      <w:r>
        <w:rPr>
          <w:rFonts w:ascii="Arial" w:cs="Arial" w:eastAsia="Arial" w:hAnsi="Arial"/>
          <w:sz w:val="13"/>
          <w:szCs w:val="13"/>
          <w:color w:val="auto"/>
        </w:rPr>
        <w:t>T Mortgage Corporation, a residential mortgage banking company wholly owned by M</w:t>
      </w:r>
      <w:r>
        <w:rPr>
          <w:rFonts w:ascii="Arial" w:cs="Arial" w:eastAsia="Arial" w:hAnsi="Arial"/>
          <w:sz w:val="12"/>
          <w:szCs w:val="12"/>
          <w:color w:val="auto"/>
        </w:rPr>
        <w:t>&amp;</w:t>
      </w:r>
      <w:r>
        <w:rPr>
          <w:rFonts w:ascii="Arial" w:cs="Arial" w:eastAsia="Arial" w:hAnsi="Arial"/>
          <w:sz w:val="13"/>
          <w:szCs w:val="13"/>
          <w:color w:val="auto"/>
        </w:rPr>
        <w:t>T Bank, was merged into</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M</w:t>
      </w:r>
      <w:r>
        <w:rPr>
          <w:rFonts w:ascii="Arial" w:cs="Arial" w:eastAsia="Arial" w:hAnsi="Arial"/>
          <w:sz w:val="13"/>
          <w:szCs w:val="13"/>
          <w:color w:val="auto"/>
        </w:rPr>
        <w:t>&amp;</w:t>
      </w:r>
      <w:r>
        <w:rPr>
          <w:rFonts w:ascii="Arial" w:cs="Arial" w:eastAsia="Arial" w:hAnsi="Arial"/>
          <w:sz w:val="14"/>
          <w:szCs w:val="14"/>
          <w:color w:val="auto"/>
        </w:rPr>
        <w:t>T Bank.</w:t>
      </w:r>
    </w:p>
    <w:p>
      <w:pPr>
        <w:spacing w:after="0" w:line="6" w:lineRule="exact"/>
        <w:rPr>
          <w:sz w:val="20"/>
          <w:szCs w:val="20"/>
          <w:color w:val="auto"/>
        </w:rPr>
      </w:pPr>
    </w:p>
    <w:p>
      <w:pPr>
        <w:ind w:left="680" w:right="420" w:firstLine="599"/>
        <w:spacing w:after="0" w:line="263" w:lineRule="auto"/>
        <w:rPr>
          <w:sz w:val="20"/>
          <w:szCs w:val="20"/>
          <w:color w:val="auto"/>
        </w:rPr>
      </w:pPr>
      <w:r>
        <w:rPr>
          <w:rFonts w:ascii="Arial" w:cs="Arial" w:eastAsia="Arial" w:hAnsi="Arial"/>
          <w:sz w:val="14"/>
          <w:szCs w:val="14"/>
          <w:color w:val="auto"/>
        </w:rPr>
        <w:t>M</w:t>
      </w:r>
      <w:r>
        <w:rPr>
          <w:rFonts w:ascii="Arial" w:cs="Arial" w:eastAsia="Arial" w:hAnsi="Arial"/>
          <w:sz w:val="13"/>
          <w:szCs w:val="13"/>
          <w:color w:val="auto"/>
        </w:rPr>
        <w:t>&amp;</w:t>
      </w:r>
      <w:r>
        <w:rPr>
          <w:rFonts w:ascii="Arial" w:cs="Arial" w:eastAsia="Arial" w:hAnsi="Arial"/>
          <w:sz w:val="14"/>
          <w:szCs w:val="14"/>
          <w:color w:val="auto"/>
        </w:rPr>
        <w:t>T Bank, N.A., with total assets of $511 million at December 31, 2006, is a national bank with an office in Oakfield, New York. M</w:t>
      </w:r>
      <w:r>
        <w:rPr>
          <w:rFonts w:ascii="Arial" w:cs="Arial" w:eastAsia="Arial" w:hAnsi="Arial"/>
          <w:sz w:val="13"/>
          <w:szCs w:val="13"/>
          <w:color w:val="auto"/>
        </w:rPr>
        <w:t>&amp;</w:t>
      </w:r>
      <w:r>
        <w:rPr>
          <w:rFonts w:ascii="Arial" w:cs="Arial" w:eastAsia="Arial" w:hAnsi="Arial"/>
          <w:sz w:val="14"/>
          <w:szCs w:val="14"/>
          <w:color w:val="auto"/>
        </w:rPr>
        <w:t>T Bank, N.A. offers selected deposit and loan products on a nationwide basis, largely through telephone and direct mail marketing techniques.</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right="20" w:firstLine="599"/>
        <w:spacing w:after="0" w:line="253" w:lineRule="auto"/>
        <w:rPr>
          <w:sz w:val="20"/>
          <w:szCs w:val="20"/>
          <w:color w:val="auto"/>
        </w:rPr>
      </w:pPr>
      <w:r>
        <w:rPr>
          <w:rFonts w:ascii="Arial" w:cs="Arial" w:eastAsia="Arial" w:hAnsi="Arial"/>
          <w:sz w:val="14"/>
          <w:szCs w:val="14"/>
          <w:color w:val="auto"/>
        </w:rPr>
        <w:t>On June 30, 2006, M</w:t>
      </w:r>
      <w:r>
        <w:rPr>
          <w:rFonts w:ascii="Arial" w:cs="Arial" w:eastAsia="Arial" w:hAnsi="Arial"/>
          <w:sz w:val="13"/>
          <w:szCs w:val="13"/>
          <w:color w:val="auto"/>
        </w:rPr>
        <w:t>&amp;</w:t>
      </w:r>
      <w:r>
        <w:rPr>
          <w:rFonts w:ascii="Arial" w:cs="Arial" w:eastAsia="Arial" w:hAnsi="Arial"/>
          <w:sz w:val="14"/>
          <w:szCs w:val="14"/>
          <w:color w:val="auto"/>
        </w:rPr>
        <w:t>T Bank completed the acquisition of 21 branch offices in Buffalo and Rochester, New York from Citibank, N.A., including approximately $269 million in loans, mostly to consumers, small businesses and middle market customers, and approximately $1.0 billion of deposits. M</w:t>
      </w:r>
      <w:r>
        <w:rPr>
          <w:rFonts w:ascii="Arial" w:cs="Arial" w:eastAsia="Arial" w:hAnsi="Arial"/>
          <w:sz w:val="13"/>
          <w:szCs w:val="13"/>
          <w:color w:val="auto"/>
        </w:rPr>
        <w:t>&amp;</w:t>
      </w:r>
      <w:r>
        <w:rPr>
          <w:rFonts w:ascii="Arial" w:cs="Arial" w:eastAsia="Arial" w:hAnsi="Arial"/>
          <w:sz w:val="14"/>
          <w:szCs w:val="14"/>
          <w:color w:val="auto"/>
        </w:rPr>
        <w:t>T’s financial results for 2006 reflect the impact of that transaction from the acquisition date through December 31, 2006. Expenses associated with integrating the acquired branches into M</w:t>
      </w:r>
      <w:r>
        <w:rPr>
          <w:rFonts w:ascii="Arial" w:cs="Arial" w:eastAsia="Arial" w:hAnsi="Arial"/>
          <w:sz w:val="13"/>
          <w:szCs w:val="13"/>
          <w:color w:val="auto"/>
        </w:rPr>
        <w:t>&amp;</w:t>
      </w:r>
      <w:r>
        <w:rPr>
          <w:rFonts w:ascii="Arial" w:cs="Arial" w:eastAsia="Arial" w:hAnsi="Arial"/>
          <w:sz w:val="14"/>
          <w:szCs w:val="14"/>
          <w:color w:val="auto"/>
        </w:rPr>
        <w:t>T Bank and introducing the customers associated with those branches to M</w:t>
      </w:r>
      <w:r>
        <w:rPr>
          <w:rFonts w:ascii="Arial" w:cs="Arial" w:eastAsia="Arial" w:hAnsi="Arial"/>
          <w:sz w:val="13"/>
          <w:szCs w:val="13"/>
          <w:color w:val="auto"/>
        </w:rPr>
        <w:t>&amp;</w:t>
      </w:r>
      <w:r>
        <w:rPr>
          <w:rFonts w:ascii="Arial" w:cs="Arial" w:eastAsia="Arial" w:hAnsi="Arial"/>
          <w:sz w:val="14"/>
          <w:szCs w:val="14"/>
          <w:color w:val="auto"/>
        </w:rPr>
        <w:t>T Bank’s products and services aggregated $3 million, after applicable tax effect, or $.03 of diluted earnings per share during the year ended December 31, 2006. The Company does not expect that any significant additional acquisition and integration-related expenses will be incurred. Including the impact of acquisition-related expenses and the amortization of core deposit intangible resulting from the transaction, net income and diluted earnings per share of the Company in 2006 were reduced by approximately $10 million and $.09, respectively, as a result of the transaction. As of December 31, 2006, there were no significant amounts of unpaid acquisition-related expenses.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Critical Accounting Estimates</w:t>
      </w:r>
    </w:p>
    <w:p>
      <w:pPr>
        <w:spacing w:after="0" w:line="22" w:lineRule="exact"/>
        <w:rPr>
          <w:sz w:val="20"/>
          <w:szCs w:val="20"/>
          <w:color w:val="auto"/>
        </w:rPr>
      </w:pPr>
    </w:p>
    <w:p>
      <w:pPr>
        <w:ind w:left="680"/>
        <w:spacing w:after="0" w:line="249" w:lineRule="auto"/>
        <w:rPr>
          <w:sz w:val="20"/>
          <w:szCs w:val="20"/>
          <w:color w:val="auto"/>
        </w:rPr>
      </w:pPr>
      <w:r>
        <w:rPr>
          <w:rFonts w:ascii="Arial" w:cs="Arial" w:eastAsia="Arial" w:hAnsi="Arial"/>
          <w:sz w:val="14"/>
          <w:szCs w:val="14"/>
          <w:color w:val="auto"/>
        </w:rPr>
        <w:t>The Company’s significant accounting policies conform with generally accepted accounting principles (“GAAP”) and are described in note 1 of Notes to Financial Statements. In applying those accounting policies, management of the Company is required to exercise judgment in determining many of the methodologies, assumptions and estimates to be utilized. Certain of the critical accounting estimates are more dependent on such judgment and in some cases may contribute to volatility in the Company’s reported financial performance should the assumptions and estimates used change over time due to changes in circumstances. Some of the more significant areas in which management of the Company applies critical assumptions and estimates include the following:</w:t>
      </w:r>
    </w:p>
    <w:p>
      <w:pPr>
        <w:ind w:left="1280" w:right="120" w:hanging="190"/>
        <w:spacing w:after="0" w:line="249" w:lineRule="auto"/>
        <w:tabs>
          <w:tab w:leader="none" w:pos="1280" w:val="left"/>
        </w:tabs>
        <w:numPr>
          <w:ilvl w:val="0"/>
          <w:numId w:val="12"/>
        </w:numPr>
        <w:rPr>
          <w:rFonts w:ascii="Arial" w:cs="Arial" w:eastAsia="Arial" w:hAnsi="Arial"/>
          <w:sz w:val="9"/>
          <w:szCs w:val="9"/>
          <w:color w:val="auto"/>
        </w:rPr>
      </w:pPr>
      <w:r>
        <w:rPr>
          <w:rFonts w:ascii="Arial" w:cs="Arial" w:eastAsia="Arial" w:hAnsi="Arial"/>
          <w:sz w:val="14"/>
          <w:szCs w:val="14"/>
          <w:color w:val="auto"/>
        </w:rPr>
        <w:t>Allowance for credit losses — The allowance for credit losses represents the amount which, in management’s judgment, will be adequate to absorb credit losses inherent in the loan and lease portfolio as of the balance sheet date. A provision for credit losses is recorded to adjust the level of the allowance as deemed necessary by management. In estimating losses inherent in the loan and lease portfolio, assumptions and judgment are applied to measure amounts and timing of expected future cash flows, collateral values and other factors used to determine the borrowers’ abilities to repay obligations. Historical loss trends are also considered, as are economic conditions, industry trends, portfolio trends and borrower-specific financial data. Changes in the circumstances considered when determining management’s estimates and assumptions could result in changes in those estimates and assumptions, which may result in adjustment of the allowance. A detailed discussion of facts and circumstances considered by management in assessing the adequacy of the allowance for credit losses is included herein under the heading “Provision for Credit Losses.”</w:t>
      </w:r>
    </w:p>
    <w:p>
      <w:pPr>
        <w:ind w:left="1280" w:right="80" w:hanging="190"/>
        <w:spacing w:after="0" w:line="271" w:lineRule="auto"/>
        <w:tabs>
          <w:tab w:leader="none" w:pos="1280" w:val="left"/>
        </w:tabs>
        <w:numPr>
          <w:ilvl w:val="0"/>
          <w:numId w:val="12"/>
        </w:numPr>
        <w:rPr>
          <w:rFonts w:ascii="Arial" w:cs="Arial" w:eastAsia="Arial" w:hAnsi="Arial"/>
          <w:sz w:val="9"/>
          <w:szCs w:val="9"/>
          <w:color w:val="auto"/>
        </w:rPr>
      </w:pPr>
      <w:r>
        <w:rPr>
          <w:rFonts w:ascii="Arial" w:cs="Arial" w:eastAsia="Arial" w:hAnsi="Arial"/>
          <w:sz w:val="13"/>
          <w:szCs w:val="13"/>
          <w:color w:val="auto"/>
        </w:rPr>
        <w:t>Valuation methodologies — Management of the Company applies various valuation methodologies to assets and liabilities which often involve a significant degree of judgment, particularly when liquid markets do not exist for the particular items being valued. Quoted market prices are referred to when estimating fair values for certain assets, such as trading assets, most investment securities, and residential real estate loans held for sale and related commitments. However, for those items for which an observable liquid market does not exist, management utilizes significant estimates and assumptions to value such items. Examples of these items include capitalized servicing assets, goodwill, core deposit and other intangible assets, pension and other postretirement benefit obligations, value ascribed to stock-based compensation, estimated residual values of property associated with commercial and consumer leases, and certain derivative and other financial instruments. These valuations require the use of various assumptions, including, among others, discount rates, rates of return on assets, repayment rates, cash flows, default rates, costs of servicing and liquidation values. The use of different assumptions could produce significantly different results, which could have material positive or negative effects on the Company’s results of operations. Specific assumptions and estimates utilized by management are discussed in detail herein in management’s discussion and analysis of financial condition and results of operations and in notes 1, 3, 4, 7, 8, 10, 11, 17, 18 and 19 of Notes to Financial Statements.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1280" w:right="60" w:hanging="190"/>
        <w:spacing w:after="0" w:line="274" w:lineRule="auto"/>
        <w:tabs>
          <w:tab w:leader="none" w:pos="1280" w:val="left"/>
        </w:tabs>
        <w:numPr>
          <w:ilvl w:val="0"/>
          <w:numId w:val="13"/>
        </w:numPr>
        <w:rPr>
          <w:rFonts w:ascii="Arial" w:cs="Arial" w:eastAsia="Arial" w:hAnsi="Arial"/>
          <w:sz w:val="9"/>
          <w:szCs w:val="9"/>
          <w:color w:val="auto"/>
        </w:rPr>
      </w:pPr>
      <w:r>
        <w:rPr>
          <w:rFonts w:ascii="Arial" w:cs="Arial" w:eastAsia="Arial" w:hAnsi="Arial"/>
          <w:sz w:val="13"/>
          <w:szCs w:val="13"/>
          <w:color w:val="auto"/>
        </w:rPr>
        <w:t>Commitments, contingencies and off-balance sheet arrangements — Information regarding the Company’s commitments and contingencies, including guarantees and contingent liabilities arising from litigation, and their potential effects on the Company’s results of operations is included in note 20 of Notes to Financial Statements. In addition, the Company is routinely subject to examinations from various governmental taxing authorities. Such examinations may result in challenges to the tax return treatment applied by the Company to specific transactions. Management believes that the assumptions and judgment used to record tax-related assets or liabilities have been appropriate. Should tax laws change or the tax authorities determine that management’s assumptions were inappropriate, the result and adjustments required could have a material effect on the Company’s results of operations. Information regarding permanent and temporary income tax differences is presented in note 12 of Notes to Financial Statements. The recognition or de-recognition in the Company’s consolidated financial statements of assets and liabilities held by so-called variable interest entities is subject to the interpretation and application of complex accounting pronouncements or interpretations that require management to estimate and assess the probability of financial outcomes in future periods. Information relating to the Company’s involvement in such entities and the accounting treatment afforded each such involvement is included in note 18 of Notes to Financial Statements.</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Overview</w:t>
      </w:r>
    </w:p>
    <w:p>
      <w:pPr>
        <w:spacing w:after="0" w:line="22" w:lineRule="exact"/>
        <w:rPr>
          <w:sz w:val="20"/>
          <w:szCs w:val="20"/>
          <w:color w:val="auto"/>
        </w:rPr>
      </w:pPr>
    </w:p>
    <w:p>
      <w:pPr>
        <w:ind w:left="680"/>
        <w:spacing w:after="0" w:line="268" w:lineRule="auto"/>
        <w:rPr>
          <w:sz w:val="20"/>
          <w:szCs w:val="20"/>
          <w:color w:val="auto"/>
        </w:rPr>
      </w:pPr>
      <w:r>
        <w:rPr>
          <w:rFonts w:ascii="Arial" w:cs="Arial" w:eastAsia="Arial" w:hAnsi="Arial"/>
          <w:sz w:val="13"/>
          <w:szCs w:val="13"/>
          <w:color w:val="auto"/>
        </w:rPr>
        <w:t>Net income for the Company in 2006 was $839 million or $7.37 of diluted earnings per common share, up 7% and 10%, respectively, from $782 million or $6.73 of diluted earnings per share in 2005. Basic earnings per common share rose 10% to $7.55 in 2006 from $6.88 in 2005. Net income in 2004 totaled $723 million, while diluted and basic earnings per share were $6.00 and $6.14, respectively. The after-tax impact of acquisition and integration-related expenses (included herein as merger-related expenses) associated with the June 30 branch acquisition already discussed was $3 million ($5 million pre-tax) or $.03 of basic and diluted earnings per share in 2006. There were no similar expenses in either 2005 or 2004. Net income expressed as a rate of return on average assets in 2006 was 1.50%, compared with 1.44% in 2005 and 1.40% in 2004. The return on average common stockholders’ equity was 13.89% in 2006, 13.49% in 2005 and 12.67% in 2004.</w:t>
      </w:r>
    </w:p>
    <w:p>
      <w:pPr>
        <w:spacing w:after="0" w:line="1" w:lineRule="exact"/>
        <w:rPr>
          <w:sz w:val="20"/>
          <w:szCs w:val="20"/>
          <w:color w:val="auto"/>
        </w:rPr>
      </w:pPr>
    </w:p>
    <w:p>
      <w:pPr>
        <w:ind w:left="680" w:firstLine="599"/>
        <w:spacing w:after="0" w:line="270" w:lineRule="auto"/>
        <w:rPr>
          <w:sz w:val="20"/>
          <w:szCs w:val="20"/>
          <w:color w:val="auto"/>
        </w:rPr>
      </w:pPr>
      <w:r>
        <w:rPr>
          <w:rFonts w:ascii="Arial" w:cs="Arial" w:eastAsia="Arial" w:hAnsi="Arial"/>
          <w:sz w:val="13"/>
          <w:szCs w:val="13"/>
          <w:color w:val="auto"/>
        </w:rPr>
        <w:t>Net interest income recorded on a taxable-equivalent basis increased 1% to $1.84 billion in 2006 from $1.81 billion in 2005. The impact of a higher level of average earning assets was largely offset by a decline in the Company’s net interest margin, or taxable-equivalent net interest income expressed as a percentage of average earning assets. Average earning assets rose 3% to $49.7 billion in 2006 from $48.1 billion in 2005, the result of increased balances of loans and leases, offset, in part, by a decline in average outstanding balances of investment securities. Average loans and leases of $41.4 billion in 2006 were $1.9 billion or 5% higher than $39.5 billion in 2005, due to growth in commercial loans and leases of $863 million, or 8%, commercial real estate loans of $755 million, or 5%, and consumer real estate loans of $1.1 billion, or 28%, partially offset by an $804 million, or 7% decline in consumer loans and leases. Average balances of investment securities decreased 5% to $8.0 billion in 2006 from $8.5 billion in 2005. The net interest margin declined 7 basis points (hundredths of one percent) to 3.70% in 2006 from 3.77% in 2005, largely due to higher short-term interest rates resulting from the Federal Reserve raising its benchmark overnight federal funds target rate 100 basis points during the first six months of 2006, continuing a trend of rate increases that began in June 2004. Such interest rate increases had the effect of increasing rates paid on interest-bearing liabilities more rapidly than yields on earning assets during 2005 and the first half of 2006. During the last six months of 2006, the Company’s net interest margin stabilized as compared to the first half of the year. As a result of higher average earning assets, taxable-equivalent net interest income in 2005 was 3% higher than $1.75 billion in 2004. Average earning assets in 2005 rose 6% from $45.2 billion in 2004. Average loans and leases outstanding in 2005 were up $2.4 billion, or 6%, from $37.1 billion in 2004, largely due to growth in commercial loans and leases, commercial real estate loans and consumer real estate loans, partially offset by a decline in consumer loans and leases. Net interest margin in 2005 declined 11 basis points from 3.88% in 2004, largely due to the rising interest rate environment which resulted in the rates paid on interest-bearing liabilities rising more rapidly than yields on earning assets.</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The provision for credit losses declined to $80 million in 2006 from $88 million in 2005 and $95 million in 2004. The reduced levels of the provision during the</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past two years as compared with 2004 were reflective of generally favorable credit quality. Net charge-offs were $68 million in 2006, down from $77 million in 2005 and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$82 million in 2004. Net charge-offs as a percentage of average loans and leases outstanding decreased to .16% in 2006 from .19% in 2005 and .22% in 2004. The provision</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 each year represents the result of management’s analysis of the composition of the loan and lease portfolio and other factors, including concern regarding uncertainty</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about economic conditions, both nationally and in many of the markets served by the Company, and the impact of such conditions and prospects on the abilities of</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borrowers to repay loans. While most credit quality measures improved from 2004 to 2005, the Company did experience an increase in nonperforming loans during the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second half of 2006, due largely to the addition of four relationships with automobile dealers.</w:t>
      </w:r>
    </w:p>
    <w:p>
      <w:pPr>
        <w:spacing w:after="0" w:line="6" w:lineRule="exact"/>
        <w:rPr>
          <w:sz w:val="20"/>
          <w:szCs w:val="20"/>
          <w:color w:val="auto"/>
        </w:rPr>
      </w:pPr>
    </w:p>
    <w:p>
      <w:pPr>
        <w:ind w:left="680" w:right="80" w:firstLine="599"/>
        <w:spacing w:after="0" w:line="249" w:lineRule="auto"/>
        <w:rPr>
          <w:sz w:val="20"/>
          <w:szCs w:val="20"/>
          <w:color w:val="auto"/>
        </w:rPr>
      </w:pPr>
      <w:r>
        <w:rPr>
          <w:rFonts w:ascii="Arial" w:cs="Arial" w:eastAsia="Arial" w:hAnsi="Arial"/>
          <w:sz w:val="14"/>
          <w:szCs w:val="14"/>
          <w:color w:val="auto"/>
        </w:rPr>
        <w:t>Noninterest income rose 10% to $1.05 billion in 2006 from $950 million in 2005. Higher mortgage banking revenues, service charges on deposit accounts, trust income, brokerage services income, and other revenues contributed to that improvement. Included in noninterest income in 2006 was a $13 million gain resulting from the accelerated recognition of a purchase accounting premium related to the call of a $200 million Federal Home Loan Bank (“FHLB”) of Atlanta borrowing assumed in a previous acquisition. Losses from bank investment securities in 2005 included a $29 million non-cash, other-than-temporary impairment charge in the third quarter related to preferred stock issuances of the Federal National Mortgage Association (“FNMA”) and the Federal Home Loan Mortgage Corporation (“FHLMC”). Excluding the impact of securities gains and losses in both years and the $13 million gain on the called borrowing in 2006, noninterest income rose 5% from 2005 to 2006. Noninterest income totaled $943 million in 2004. Comparing 2005 with 2004, higher mortgage banking revenues, corporate financing advisory fees, gains on sales of commercial lease equipment and other property, and other revenues were largely offset by the $29 million impairment charge in 2005. Excluding gains and losses from investment securities, noninterest income in 2005 rose $38 million or 4% from 2004.</w:t>
      </w:r>
    </w:p>
    <w:p>
      <w:pPr>
        <w:spacing w:after="0" w:line="1" w:lineRule="exact"/>
        <w:rPr>
          <w:sz w:val="20"/>
          <w:szCs w:val="20"/>
          <w:color w:val="auto"/>
        </w:rPr>
      </w:pPr>
    </w:p>
    <w:p>
      <w:pPr>
        <w:ind w:left="680" w:firstLine="599"/>
        <w:spacing w:after="0" w:line="268" w:lineRule="auto"/>
        <w:rPr>
          <w:sz w:val="20"/>
          <w:szCs w:val="20"/>
          <w:color w:val="auto"/>
        </w:rPr>
      </w:pPr>
      <w:r>
        <w:rPr>
          <w:rFonts w:ascii="Arial" w:cs="Arial" w:eastAsia="Arial" w:hAnsi="Arial"/>
          <w:sz w:val="13"/>
          <w:szCs w:val="13"/>
          <w:color w:val="auto"/>
        </w:rPr>
        <w:t>Noninterest expense in 2006 aggregated $1.55 billion, up 4% from $1.49 billion in 2005. Noninterest expense in 2004 was $1.52 billion. Included in such amounts are expenses considered by M</w:t>
      </w:r>
      <w:r>
        <w:rPr>
          <w:rFonts w:ascii="Arial" w:cs="Arial" w:eastAsia="Arial" w:hAnsi="Arial"/>
          <w:sz w:val="12"/>
          <w:szCs w:val="12"/>
          <w:color w:val="auto"/>
        </w:rPr>
        <w:t>&amp;</w:t>
      </w:r>
      <w:r>
        <w:rPr>
          <w:rFonts w:ascii="Arial" w:cs="Arial" w:eastAsia="Arial" w:hAnsi="Arial"/>
          <w:sz w:val="13"/>
          <w:szCs w:val="13"/>
          <w:color w:val="auto"/>
        </w:rPr>
        <w:t>T to be “nonoperating” in nature, consisting of amortization of core deposit and other intangible assets of $63 million, $57 million and $75 million in 2006, 2005 and 2004, respectively, and merger-related expenses of $5 million in 2006. As already noted, there were no merger-related expenses in 2005 or 2004. Exclusive of these nonoperating expenses, noninterest operating expenses aggregated $1.48 billion in 2006, $1.43 billion in 2005 and $1.44 billion in 2004. Included in operating expenses in 2006 and 2004 were tax-deductible contributions made to The M</w:t>
      </w:r>
      <w:r>
        <w:rPr>
          <w:rFonts w:ascii="Arial" w:cs="Arial" w:eastAsia="Arial" w:hAnsi="Arial"/>
          <w:sz w:val="12"/>
          <w:szCs w:val="12"/>
          <w:color w:val="auto"/>
        </w:rPr>
        <w:t>&amp;</w:t>
      </w:r>
      <w:r>
        <w:rPr>
          <w:rFonts w:ascii="Arial" w:cs="Arial" w:eastAsia="Arial" w:hAnsi="Arial"/>
          <w:sz w:val="13"/>
          <w:szCs w:val="13"/>
          <w:color w:val="auto"/>
        </w:rPr>
        <w:t>T Charitable Foundation, a tax-exempt private charitable foundation, of $18 million and $25 million, respectively. There was no similar contribution made in 2005. Excluding the impact of the charitable contribution, operating expenses in 2006 increased $37 million, or 3%, from 2005. The most significant contributor to that increase was a higher level of salaries expense, reflecting the impact of merit pay increases and higher stock-based compensation costs and other incentive pay. Excluding the impact of the $25 million charitable contribution in 2004, noninterest operating expenses in 2005 increased $13 million, or less than 1%, from 2004. That slight increase reflects higher costs of providing health care and retirement benefits to employees and higher professional services expenses offset, in part, by a reversal of a portion of the valuation allowance for the impairment of capitalized residential mortgage servicing rights, due to higher residential mortgage loan interest rates.</w:t>
      </w:r>
    </w:p>
    <w:p>
      <w:pPr>
        <w:spacing w:after="0" w:line="2" w:lineRule="exact"/>
        <w:rPr>
          <w:sz w:val="20"/>
          <w:szCs w:val="20"/>
          <w:color w:val="auto"/>
        </w:rPr>
      </w:pPr>
    </w:p>
    <w:p>
      <w:pPr>
        <w:jc w:val="both"/>
        <w:ind w:left="680" w:right="180" w:firstLine="599"/>
        <w:spacing w:after="0" w:line="256" w:lineRule="auto"/>
        <w:rPr>
          <w:sz w:val="20"/>
          <w:szCs w:val="20"/>
          <w:color w:val="auto"/>
        </w:rPr>
      </w:pPr>
      <w:r>
        <w:rPr>
          <w:rFonts w:ascii="Arial" w:cs="Arial" w:eastAsia="Arial" w:hAnsi="Arial"/>
          <w:sz w:val="14"/>
          <w:szCs w:val="14"/>
          <w:color w:val="auto"/>
        </w:rPr>
        <w:t>The efficiency ratio expresses the relationship of operating expenses to revenues. The Company’s efficiency ratio, or noninterest operating expenses divided by the sum of taxable-equivalent net interest income and noninterest income (exclusive of gains and losses from bank investment securities), was 51.5% in 2006, compared with 51.2% in 2005 and 53.5% in 2004.</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w:t>
      </w:r>
    </w:p>
    <w:p>
      <w:pPr>
        <w:spacing w:after="0" w:line="173" w:lineRule="exact"/>
        <w:rPr>
          <w:sz w:val="20"/>
          <w:szCs w:val="20"/>
          <w:color w:val="auto"/>
        </w:rPr>
      </w:pPr>
    </w:p>
    <w:p>
      <w:pPr>
        <w:jc w:val="center"/>
        <w:ind w:right="-679"/>
        <w:spacing w:after="0"/>
        <w:rPr>
          <w:sz w:val="20"/>
          <w:szCs w:val="20"/>
          <w:color w:val="auto"/>
        </w:rPr>
      </w:pPr>
      <w:r>
        <w:rPr>
          <w:rFonts w:ascii="Arial" w:cs="Arial" w:eastAsia="Arial" w:hAnsi="Arial"/>
          <w:sz w:val="14"/>
          <w:szCs w:val="14"/>
          <w:b w:val="1"/>
          <w:bCs w:val="1"/>
          <w:color w:val="auto"/>
        </w:rPr>
        <w:t>EARNINGS SUMMARY</w:t>
      </w:r>
    </w:p>
    <w:p>
      <w:pPr>
        <w:spacing w:after="0" w:line="22" w:lineRule="exact"/>
        <w:rPr>
          <w:sz w:val="20"/>
          <w:szCs w:val="20"/>
          <w:color w:val="auto"/>
        </w:rPr>
      </w:pPr>
    </w:p>
    <w:p>
      <w:pPr>
        <w:jc w:val="center"/>
        <w:ind w:right="-679"/>
        <w:spacing w:after="0"/>
        <w:rPr>
          <w:sz w:val="20"/>
          <w:szCs w:val="20"/>
          <w:color w:val="auto"/>
        </w:rPr>
      </w:pPr>
      <w:r>
        <w:rPr>
          <w:rFonts w:ascii="Arial" w:cs="Arial" w:eastAsia="Arial" w:hAnsi="Arial"/>
          <w:sz w:val="14"/>
          <w:szCs w:val="14"/>
          <w:b w:val="1"/>
          <w:bCs w:val="1"/>
          <w:i w:val="1"/>
          <w:iCs w:val="1"/>
          <w:color w:val="auto"/>
        </w:rPr>
        <w:t>Dollars in millions</w:t>
      </w:r>
    </w:p>
    <w:p>
      <w:pPr>
        <w:spacing w:after="0" w:line="49"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180" w:type="dxa"/>
            <w:vAlign w:val="bottom"/>
          </w:tcPr>
          <w:p>
            <w:pPr>
              <w:spacing w:after="0"/>
              <w:rPr>
                <w:sz w:val="10"/>
                <w:szCs w:val="10"/>
                <w:color w:val="auto"/>
              </w:rPr>
            </w:pPr>
          </w:p>
        </w:tc>
        <w:tc>
          <w:tcPr>
            <w:tcW w:w="1860" w:type="dxa"/>
            <w:vAlign w:val="bottom"/>
            <w:gridSpan w:val="8"/>
            <w:vMerge w:val="restart"/>
          </w:tcPr>
          <w:p>
            <w:pPr>
              <w:jc w:val="right"/>
              <w:ind w:right="420"/>
              <w:spacing w:after="0"/>
              <w:rPr>
                <w:sz w:val="20"/>
                <w:szCs w:val="20"/>
                <w:color w:val="auto"/>
              </w:rPr>
            </w:pPr>
            <w:r>
              <w:rPr>
                <w:rFonts w:ascii="Arial" w:cs="Arial" w:eastAsia="Arial" w:hAnsi="Arial"/>
                <w:sz w:val="10"/>
                <w:szCs w:val="10"/>
                <w:b w:val="1"/>
                <w:bCs w:val="1"/>
                <w:color w:val="auto"/>
              </w:rPr>
              <w:t>Increase (Decrease)(a)</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w w:val="94"/>
              </w:rPr>
              <w:t>Compound</w:t>
            </w:r>
          </w:p>
        </w:tc>
        <w:tc>
          <w:tcPr>
            <w:tcW w:w="0" w:type="dxa"/>
            <w:vAlign w:val="bottom"/>
          </w:tcPr>
          <w:p>
            <w:pPr>
              <w:spacing w:after="0"/>
              <w:rPr>
                <w:sz w:val="1"/>
                <w:szCs w:val="1"/>
                <w:color w:val="auto"/>
              </w:rPr>
            </w:pPr>
          </w:p>
        </w:tc>
      </w:tr>
      <w:tr>
        <w:trPr>
          <w:trHeight w:val="115"/>
        </w:trPr>
        <w:tc>
          <w:tcPr>
            <w:tcW w:w="18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8"/>
            <w:vMerge w:val="continue"/>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jc w:val="center"/>
              <w:spacing w:after="0"/>
              <w:rPr>
                <w:sz w:val="20"/>
                <w:szCs w:val="20"/>
                <w:color w:val="auto"/>
              </w:rPr>
            </w:pPr>
            <w:r>
              <w:rPr>
                <w:rFonts w:ascii="Arial" w:cs="Arial" w:eastAsia="Arial" w:hAnsi="Arial"/>
                <w:sz w:val="10"/>
                <w:szCs w:val="10"/>
                <w:b w:val="1"/>
                <w:bCs w:val="1"/>
                <w:color w:val="auto"/>
                <w:w w:val="97"/>
              </w:rPr>
              <w:t>Growth Rate</w:t>
            </w:r>
          </w:p>
        </w:tc>
        <w:tc>
          <w:tcPr>
            <w:tcW w:w="0" w:type="dxa"/>
            <w:vAlign w:val="bottom"/>
          </w:tcPr>
          <w:p>
            <w:pPr>
              <w:spacing w:after="0"/>
              <w:rPr>
                <w:sz w:val="1"/>
                <w:szCs w:val="1"/>
                <w:color w:val="auto"/>
              </w:rPr>
            </w:pPr>
          </w:p>
        </w:tc>
      </w:tr>
      <w:tr>
        <w:trPr>
          <w:trHeight w:val="98"/>
        </w:trPr>
        <w:tc>
          <w:tcPr>
            <w:tcW w:w="1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jc w:val="right"/>
              <w:ind w:right="80"/>
              <w:spacing w:after="0" w:line="98" w:lineRule="exact"/>
              <w:rPr>
                <w:sz w:val="20"/>
                <w:szCs w:val="20"/>
                <w:color w:val="auto"/>
              </w:rPr>
            </w:pPr>
            <w:r>
              <w:rPr>
                <w:rFonts w:ascii="Arial" w:cs="Arial" w:eastAsia="Arial" w:hAnsi="Arial"/>
                <w:sz w:val="10"/>
                <w:szCs w:val="10"/>
                <w:b w:val="1"/>
                <w:bCs w:val="1"/>
                <w:color w:val="auto"/>
              </w:rPr>
              <w:t>2005 to 2006</w:t>
            </w:r>
          </w:p>
        </w:tc>
        <w:tc>
          <w:tcPr>
            <w:tcW w:w="2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3"/>
          </w:tcPr>
          <w:p>
            <w:pPr>
              <w:jc w:val="right"/>
              <w:ind w:right="68"/>
              <w:spacing w:after="0" w:line="98" w:lineRule="exact"/>
              <w:rPr>
                <w:sz w:val="20"/>
                <w:szCs w:val="20"/>
                <w:color w:val="auto"/>
              </w:rPr>
            </w:pPr>
            <w:r>
              <w:rPr>
                <w:rFonts w:ascii="Arial" w:cs="Arial" w:eastAsia="Arial" w:hAnsi="Arial"/>
                <w:sz w:val="10"/>
                <w:szCs w:val="10"/>
                <w:b w:val="1"/>
                <w:bCs w:val="1"/>
                <w:color w:val="auto"/>
                <w:w w:val="97"/>
              </w:rPr>
              <w:t>2004 to 2005</w:t>
            </w:r>
          </w:p>
        </w:tc>
        <w:tc>
          <w:tcPr>
            <w:tcW w:w="180" w:type="dxa"/>
            <w:vAlign w:val="bottom"/>
          </w:tcPr>
          <w:p>
            <w:pPr>
              <w:spacing w:after="0"/>
              <w:rPr>
                <w:sz w:val="8"/>
                <w:szCs w:val="8"/>
                <w:color w:val="auto"/>
              </w:rPr>
            </w:pPr>
          </w:p>
        </w:tc>
        <w:tc>
          <w:tcPr>
            <w:tcW w:w="3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jc w:val="center"/>
              <w:spacing w:after="0" w:line="98" w:lineRule="exact"/>
              <w:rPr>
                <w:sz w:val="20"/>
                <w:szCs w:val="20"/>
                <w:color w:val="auto"/>
              </w:rPr>
            </w:pPr>
            <w:r>
              <w:rPr>
                <w:rFonts w:ascii="Arial" w:cs="Arial" w:eastAsia="Arial" w:hAnsi="Arial"/>
                <w:sz w:val="10"/>
                <w:szCs w:val="10"/>
                <w:b w:val="1"/>
                <w:bCs w:val="1"/>
                <w:color w:val="auto"/>
                <w:w w:val="89"/>
              </w:rPr>
              <w:t>5 Years</w:t>
            </w:r>
          </w:p>
        </w:tc>
        <w:tc>
          <w:tcPr>
            <w:tcW w:w="0" w:type="dxa"/>
            <w:vAlign w:val="bottom"/>
          </w:tcPr>
          <w:p>
            <w:pPr>
              <w:spacing w:after="0"/>
              <w:rPr>
                <w:sz w:val="1"/>
                <w:szCs w:val="1"/>
                <w:color w:val="auto"/>
              </w:rPr>
            </w:pPr>
          </w:p>
        </w:tc>
      </w:tr>
      <w:tr>
        <w:trPr>
          <w:trHeight w:val="108"/>
        </w:trPr>
        <w:tc>
          <w:tcPr>
            <w:tcW w:w="180" w:type="dxa"/>
            <w:vAlign w:val="bottom"/>
          </w:tcPr>
          <w:p>
            <w:pPr>
              <w:spacing w:after="0"/>
              <w:rPr>
                <w:sz w:val="9"/>
                <w:szCs w:val="9"/>
                <w:color w:val="auto"/>
              </w:rPr>
            </w:pPr>
          </w:p>
        </w:tc>
        <w:tc>
          <w:tcPr>
            <w:tcW w:w="740" w:type="dxa"/>
            <w:vAlign w:val="bottom"/>
            <w:gridSpan w:val="2"/>
          </w:tcPr>
          <w:p>
            <w:pPr>
              <w:jc w:val="right"/>
              <w:ind w:right="180"/>
              <w:spacing w:after="0" w:line="108" w:lineRule="exact"/>
              <w:rPr>
                <w:sz w:val="20"/>
                <w:szCs w:val="20"/>
                <w:color w:val="auto"/>
              </w:rPr>
            </w:pPr>
            <w:r>
              <w:rPr>
                <w:rFonts w:ascii="Arial" w:cs="Arial" w:eastAsia="Arial" w:hAnsi="Arial"/>
                <w:sz w:val="10"/>
                <w:szCs w:val="10"/>
                <w:b w:val="1"/>
                <w:bCs w:val="1"/>
                <w:color w:val="auto"/>
              </w:rPr>
              <w:t>Amount</w:t>
            </w:r>
          </w:p>
        </w:tc>
        <w:tc>
          <w:tcPr>
            <w:tcW w:w="200" w:type="dxa"/>
            <w:vAlign w:val="bottom"/>
          </w:tcPr>
          <w:p>
            <w:pPr>
              <w:jc w:val="right"/>
              <w:spacing w:after="0" w:line="108" w:lineRule="exact"/>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3"/>
          </w:tcPr>
          <w:p>
            <w:pPr>
              <w:jc w:val="right"/>
              <w:ind w:right="220"/>
              <w:spacing w:after="0" w:line="108" w:lineRule="exact"/>
              <w:rPr>
                <w:sz w:val="20"/>
                <w:szCs w:val="20"/>
                <w:color w:val="auto"/>
              </w:rPr>
            </w:pPr>
            <w:r>
              <w:rPr>
                <w:rFonts w:ascii="Arial" w:cs="Arial" w:eastAsia="Arial" w:hAnsi="Arial"/>
                <w:sz w:val="10"/>
                <w:szCs w:val="10"/>
                <w:b w:val="1"/>
                <w:bCs w:val="1"/>
                <w:color w:val="auto"/>
                <w:w w:val="95"/>
              </w:rPr>
              <w:t>Amount</w:t>
            </w:r>
          </w:p>
        </w:tc>
        <w:tc>
          <w:tcPr>
            <w:tcW w:w="200" w:type="dxa"/>
            <w:vAlign w:val="bottom"/>
          </w:tcPr>
          <w:p>
            <w:pPr>
              <w:jc w:val="right"/>
              <w:spacing w:after="0" w:line="108" w:lineRule="exact"/>
              <w:rPr>
                <w:sz w:val="20"/>
                <w:szCs w:val="20"/>
                <w:color w:val="auto"/>
              </w:rPr>
            </w:pPr>
            <w:r>
              <w:rPr>
                <w:rFonts w:ascii="Arial" w:cs="Arial" w:eastAsia="Arial" w:hAnsi="Arial"/>
                <w:sz w:val="10"/>
                <w:szCs w:val="10"/>
                <w:b w:val="1"/>
                <w:bCs w:val="1"/>
                <w:color w:val="auto"/>
              </w:rPr>
              <w:t>%</w:t>
            </w:r>
          </w:p>
        </w:tc>
        <w:tc>
          <w:tcPr>
            <w:tcW w:w="18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ind w:right="108"/>
              <w:spacing w:after="0" w:line="108" w:lineRule="exact"/>
              <w:rPr>
                <w:sz w:val="20"/>
                <w:szCs w:val="20"/>
                <w:color w:val="auto"/>
              </w:rPr>
            </w:pPr>
            <w:r>
              <w:rPr>
                <w:rFonts w:ascii="Arial" w:cs="Arial" w:eastAsia="Arial" w:hAnsi="Arial"/>
                <w:sz w:val="10"/>
                <w:szCs w:val="10"/>
                <w:b w:val="1"/>
                <w:bCs w:val="1"/>
                <w:color w:val="auto"/>
              </w:rPr>
              <w:t>2006</w:t>
            </w:r>
          </w:p>
        </w:tc>
        <w:tc>
          <w:tcPr>
            <w:tcW w:w="200" w:type="dxa"/>
            <w:vAlign w:val="bottom"/>
          </w:tcPr>
          <w:p>
            <w:pPr>
              <w:spacing w:after="0"/>
              <w:rPr>
                <w:sz w:val="9"/>
                <w:szCs w:val="9"/>
                <w:color w:val="auto"/>
              </w:rPr>
            </w:pPr>
          </w:p>
        </w:tc>
        <w:tc>
          <w:tcPr>
            <w:tcW w:w="420" w:type="dxa"/>
            <w:vAlign w:val="bottom"/>
          </w:tcPr>
          <w:p>
            <w:pPr>
              <w:ind w:left="100"/>
              <w:spacing w:after="0" w:line="108" w:lineRule="exact"/>
              <w:rPr>
                <w:sz w:val="20"/>
                <w:szCs w:val="20"/>
                <w:color w:val="auto"/>
              </w:rPr>
            </w:pPr>
            <w:r>
              <w:rPr>
                <w:rFonts w:ascii="Arial" w:cs="Arial" w:eastAsia="Arial" w:hAnsi="Arial"/>
                <w:sz w:val="10"/>
                <w:szCs w:val="10"/>
                <w:b w:val="1"/>
                <w:bCs w:val="1"/>
                <w:color w:val="auto"/>
              </w:rPr>
              <w:t>2005</w:t>
            </w:r>
          </w:p>
        </w:tc>
        <w:tc>
          <w:tcPr>
            <w:tcW w:w="220" w:type="dxa"/>
            <w:vAlign w:val="bottom"/>
          </w:tcPr>
          <w:p>
            <w:pPr>
              <w:spacing w:after="0"/>
              <w:rPr>
                <w:sz w:val="9"/>
                <w:szCs w:val="9"/>
                <w:color w:val="auto"/>
              </w:rPr>
            </w:pPr>
          </w:p>
        </w:tc>
        <w:tc>
          <w:tcPr>
            <w:tcW w:w="440" w:type="dxa"/>
            <w:vAlign w:val="bottom"/>
          </w:tcPr>
          <w:p>
            <w:pPr>
              <w:jc w:val="right"/>
              <w:ind w:right="68"/>
              <w:spacing w:after="0" w:line="108" w:lineRule="exact"/>
              <w:rPr>
                <w:sz w:val="20"/>
                <w:szCs w:val="20"/>
                <w:color w:val="auto"/>
              </w:rPr>
            </w:pPr>
            <w:r>
              <w:rPr>
                <w:rFonts w:ascii="Arial" w:cs="Arial" w:eastAsia="Arial" w:hAnsi="Arial"/>
                <w:sz w:val="10"/>
                <w:szCs w:val="10"/>
                <w:b w:val="1"/>
                <w:bCs w:val="1"/>
                <w:color w:val="auto"/>
              </w:rPr>
              <w:t>2004</w:t>
            </w:r>
          </w:p>
        </w:tc>
        <w:tc>
          <w:tcPr>
            <w:tcW w:w="220" w:type="dxa"/>
            <w:vAlign w:val="bottom"/>
          </w:tcPr>
          <w:p>
            <w:pPr>
              <w:spacing w:after="0"/>
              <w:rPr>
                <w:sz w:val="9"/>
                <w:szCs w:val="9"/>
                <w:color w:val="auto"/>
              </w:rPr>
            </w:pPr>
          </w:p>
        </w:tc>
        <w:tc>
          <w:tcPr>
            <w:tcW w:w="460" w:type="dxa"/>
            <w:vAlign w:val="bottom"/>
          </w:tcPr>
          <w:p>
            <w:pPr>
              <w:jc w:val="right"/>
              <w:ind w:right="68"/>
              <w:spacing w:after="0" w:line="108" w:lineRule="exact"/>
              <w:rPr>
                <w:sz w:val="20"/>
                <w:szCs w:val="20"/>
                <w:color w:val="auto"/>
              </w:rPr>
            </w:pPr>
            <w:r>
              <w:rPr>
                <w:rFonts w:ascii="Arial" w:cs="Arial" w:eastAsia="Arial" w:hAnsi="Arial"/>
                <w:sz w:val="10"/>
                <w:szCs w:val="10"/>
                <w:b w:val="1"/>
                <w:bCs w:val="1"/>
                <w:color w:val="auto"/>
              </w:rPr>
              <w:t>2003</w:t>
            </w:r>
          </w:p>
        </w:tc>
        <w:tc>
          <w:tcPr>
            <w:tcW w:w="220" w:type="dxa"/>
            <w:vAlign w:val="bottom"/>
          </w:tcPr>
          <w:p>
            <w:pPr>
              <w:spacing w:after="0"/>
              <w:rPr>
                <w:sz w:val="9"/>
                <w:szCs w:val="9"/>
                <w:color w:val="auto"/>
              </w:rPr>
            </w:pPr>
          </w:p>
        </w:tc>
        <w:tc>
          <w:tcPr>
            <w:tcW w:w="440" w:type="dxa"/>
            <w:vAlign w:val="bottom"/>
          </w:tcPr>
          <w:p>
            <w:pPr>
              <w:jc w:val="right"/>
              <w:ind w:right="68"/>
              <w:spacing w:after="0" w:line="108" w:lineRule="exact"/>
              <w:rPr>
                <w:sz w:val="20"/>
                <w:szCs w:val="20"/>
                <w:color w:val="auto"/>
              </w:rPr>
            </w:pPr>
            <w:r>
              <w:rPr>
                <w:rFonts w:ascii="Arial" w:cs="Arial" w:eastAsia="Arial" w:hAnsi="Arial"/>
                <w:sz w:val="10"/>
                <w:szCs w:val="10"/>
                <w:b w:val="1"/>
                <w:bCs w:val="1"/>
                <w:color w:val="auto"/>
              </w:rPr>
              <w:t>2002</w:t>
            </w:r>
          </w:p>
        </w:tc>
        <w:tc>
          <w:tcPr>
            <w:tcW w:w="220" w:type="dxa"/>
            <w:vAlign w:val="bottom"/>
          </w:tcPr>
          <w:p>
            <w:pPr>
              <w:spacing w:after="0"/>
              <w:rPr>
                <w:sz w:val="9"/>
                <w:szCs w:val="9"/>
                <w:color w:val="auto"/>
              </w:rPr>
            </w:pPr>
          </w:p>
        </w:tc>
        <w:tc>
          <w:tcPr>
            <w:tcW w:w="8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2001 to 2006</w:t>
            </w:r>
          </w:p>
        </w:tc>
        <w:tc>
          <w:tcPr>
            <w:tcW w:w="0" w:type="dxa"/>
            <w:vAlign w:val="bottom"/>
          </w:tcPr>
          <w:p>
            <w:pPr>
              <w:spacing w:after="0"/>
              <w:rPr>
                <w:sz w:val="1"/>
                <w:szCs w:val="1"/>
                <w:color w:val="auto"/>
              </w:rPr>
            </w:pPr>
          </w:p>
        </w:tc>
      </w:tr>
      <w:tr>
        <w:trPr>
          <w:trHeight w:val="29"/>
        </w:trPr>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1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0" w:type="dxa"/>
            <w:vAlign w:val="bottom"/>
          </w:tcPr>
          <w:p>
            <w:pPr>
              <w:jc w:val="right"/>
              <w:ind w:right="68"/>
              <w:spacing w:after="0" w:line="108" w:lineRule="exact"/>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527.8</w:t>
            </w:r>
          </w:p>
        </w:tc>
        <w:tc>
          <w:tcPr>
            <w:tcW w:w="3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19</w:t>
            </w:r>
          </w:p>
        </w:tc>
        <w:tc>
          <w:tcPr>
            <w:tcW w:w="140" w:type="dxa"/>
            <w:vAlign w:val="bottom"/>
          </w:tcPr>
          <w:p>
            <w:pPr>
              <w:spacing w:after="0"/>
              <w:rPr>
                <w:sz w:val="9"/>
                <w:szCs w:val="9"/>
                <w:color w:val="auto"/>
              </w:rPr>
            </w:pPr>
          </w:p>
        </w:tc>
        <w:tc>
          <w:tcPr>
            <w:tcW w:w="80" w:type="dxa"/>
            <w:vAlign w:val="bottom"/>
          </w:tcPr>
          <w:p>
            <w:pPr>
              <w:jc w:val="right"/>
              <w:ind w:right="5"/>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489.9</w:t>
            </w:r>
          </w:p>
        </w:tc>
        <w:tc>
          <w:tcPr>
            <w:tcW w:w="3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21</w:t>
            </w:r>
          </w:p>
        </w:tc>
        <w:tc>
          <w:tcPr>
            <w:tcW w:w="3340" w:type="dxa"/>
            <w:vAlign w:val="bottom"/>
          </w:tcPr>
          <w:p>
            <w:pPr>
              <w:ind w:left="140"/>
              <w:spacing w:after="0" w:line="108" w:lineRule="exact"/>
              <w:rPr>
                <w:sz w:val="20"/>
                <w:szCs w:val="20"/>
                <w:color w:val="auto"/>
              </w:rPr>
            </w:pPr>
            <w:r>
              <w:rPr>
                <w:rFonts w:ascii="Arial" w:cs="Arial" w:eastAsia="Arial" w:hAnsi="Arial"/>
                <w:sz w:val="10"/>
                <w:szCs w:val="10"/>
                <w:color w:val="auto"/>
              </w:rPr>
              <w:t>Interest income(b)</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3,333.8</w:t>
            </w:r>
          </w:p>
        </w:tc>
        <w:tc>
          <w:tcPr>
            <w:tcW w:w="64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2,806.0</w:t>
            </w:r>
          </w:p>
        </w:tc>
        <w:tc>
          <w:tcPr>
            <w:tcW w:w="6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2,316.1</w:t>
            </w:r>
          </w:p>
        </w:tc>
        <w:tc>
          <w:tcPr>
            <w:tcW w:w="6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2,142.9</w:t>
            </w:r>
          </w:p>
        </w:tc>
        <w:tc>
          <w:tcPr>
            <w:tcW w:w="6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1,856.1</w:t>
            </w:r>
          </w:p>
        </w:tc>
        <w:tc>
          <w:tcPr>
            <w:tcW w:w="860" w:type="dxa"/>
            <w:vAlign w:val="bottom"/>
          </w:tcPr>
          <w:p>
            <w:pPr>
              <w:jc w:val="right"/>
              <w:ind w:right="188"/>
              <w:spacing w:after="0" w:line="108" w:lineRule="exact"/>
              <w:rPr>
                <w:sz w:val="20"/>
                <w:szCs w:val="20"/>
                <w:color w:val="auto"/>
              </w:rPr>
            </w:pPr>
            <w:r>
              <w:rPr>
                <w:rFonts w:ascii="Arial" w:cs="Arial" w:eastAsia="Arial" w:hAnsi="Arial"/>
                <w:sz w:val="10"/>
                <w:szCs w:val="10"/>
                <w:color w:val="auto"/>
              </w:rPr>
              <w:t>9%</w:t>
            </w:r>
          </w:p>
        </w:tc>
        <w:tc>
          <w:tcPr>
            <w:tcW w:w="0" w:type="dxa"/>
            <w:vAlign w:val="bottom"/>
          </w:tcPr>
          <w:p>
            <w:pPr>
              <w:spacing w:after="0"/>
              <w:rPr>
                <w:sz w:val="1"/>
                <w:szCs w:val="1"/>
                <w:color w:val="auto"/>
              </w:rPr>
            </w:pPr>
          </w:p>
        </w:tc>
      </w:tr>
      <w:tr>
        <w:trPr>
          <w:trHeight w:val="108"/>
        </w:trPr>
        <w:tc>
          <w:tcPr>
            <w:tcW w:w="18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502.2</w:t>
            </w:r>
          </w:p>
        </w:tc>
        <w:tc>
          <w:tcPr>
            <w:tcW w:w="3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51</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430.2</w:t>
            </w:r>
          </w:p>
        </w:tc>
        <w:tc>
          <w:tcPr>
            <w:tcW w:w="3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76</w:t>
            </w:r>
          </w:p>
        </w:tc>
        <w:tc>
          <w:tcPr>
            <w:tcW w:w="334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Interest expense</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1,496.6</w:t>
            </w:r>
          </w:p>
        </w:tc>
        <w:tc>
          <w:tcPr>
            <w:tcW w:w="64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994.4</w:t>
            </w:r>
          </w:p>
        </w:tc>
        <w:tc>
          <w:tcPr>
            <w:tcW w:w="6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564.2</w:t>
            </w:r>
          </w:p>
        </w:tc>
        <w:tc>
          <w:tcPr>
            <w:tcW w:w="68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527.8</w:t>
            </w:r>
          </w:p>
        </w:tc>
        <w:tc>
          <w:tcPr>
            <w:tcW w:w="6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594.5</w:t>
            </w:r>
          </w:p>
        </w:tc>
        <w:tc>
          <w:tcPr>
            <w:tcW w:w="860" w:type="dxa"/>
            <w:vAlign w:val="bottom"/>
            <w:shd w:val="clear" w:color="auto" w:fill="CCEEFF"/>
          </w:tcPr>
          <w:p>
            <w:pPr>
              <w:jc w:val="right"/>
              <w:ind w:right="268"/>
              <w:spacing w:after="0" w:line="108" w:lineRule="exact"/>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108"/>
        </w:trPr>
        <w:tc>
          <w:tcPr>
            <w:tcW w:w="1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25.6</w:t>
            </w:r>
          </w:p>
        </w:tc>
        <w:tc>
          <w:tcPr>
            <w:tcW w:w="200" w:type="dxa"/>
            <w:vAlign w:val="bottom"/>
          </w:tcPr>
          <w:p>
            <w:pPr>
              <w:spacing w:after="0"/>
              <w:rPr>
                <w:sz w:val="9"/>
                <w:szCs w:val="9"/>
                <w:color w:val="auto"/>
              </w:rPr>
            </w:pPr>
          </w:p>
        </w:tc>
        <w:tc>
          <w:tcPr>
            <w:tcW w:w="3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w:t>
            </w: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59.7</w:t>
            </w:r>
          </w:p>
        </w:tc>
        <w:tc>
          <w:tcPr>
            <w:tcW w:w="200" w:type="dxa"/>
            <w:vAlign w:val="bottom"/>
          </w:tcPr>
          <w:p>
            <w:pPr>
              <w:spacing w:after="0"/>
              <w:rPr>
                <w:sz w:val="9"/>
                <w:szCs w:val="9"/>
                <w:color w:val="auto"/>
              </w:rPr>
            </w:pPr>
          </w:p>
        </w:tc>
        <w:tc>
          <w:tcPr>
            <w:tcW w:w="2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3</w:t>
            </w:r>
          </w:p>
        </w:tc>
        <w:tc>
          <w:tcPr>
            <w:tcW w:w="180" w:type="dxa"/>
            <w:vAlign w:val="bottom"/>
          </w:tcPr>
          <w:p>
            <w:pPr>
              <w:spacing w:after="0"/>
              <w:rPr>
                <w:sz w:val="9"/>
                <w:szCs w:val="9"/>
                <w:color w:val="auto"/>
              </w:rPr>
            </w:pPr>
          </w:p>
        </w:tc>
        <w:tc>
          <w:tcPr>
            <w:tcW w:w="3340" w:type="dxa"/>
            <w:vAlign w:val="bottom"/>
          </w:tcPr>
          <w:p>
            <w:pPr>
              <w:ind w:left="140"/>
              <w:spacing w:after="0" w:line="108" w:lineRule="exact"/>
              <w:rPr>
                <w:sz w:val="20"/>
                <w:szCs w:val="20"/>
                <w:color w:val="auto"/>
              </w:rPr>
            </w:pPr>
            <w:r>
              <w:rPr>
                <w:rFonts w:ascii="Arial" w:cs="Arial" w:eastAsia="Arial" w:hAnsi="Arial"/>
                <w:sz w:val="10"/>
                <w:szCs w:val="10"/>
                <w:color w:val="auto"/>
              </w:rPr>
              <w:t>Net interest income(b)</w:t>
            </w: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1,837.2</w:t>
            </w:r>
          </w:p>
        </w:tc>
        <w:tc>
          <w:tcPr>
            <w:tcW w:w="200" w:type="dxa"/>
            <w:vAlign w:val="bottom"/>
          </w:tcPr>
          <w:p>
            <w:pPr>
              <w:spacing w:after="0"/>
              <w:rPr>
                <w:sz w:val="9"/>
                <w:szCs w:val="9"/>
                <w:color w:val="auto"/>
              </w:rPr>
            </w:pPr>
          </w:p>
        </w:tc>
        <w:tc>
          <w:tcPr>
            <w:tcW w:w="420" w:type="dxa"/>
            <w:vAlign w:val="bottom"/>
            <w:tcBorders>
              <w:top w:val="single" w:sz="8" w:color="auto"/>
            </w:tcBorders>
          </w:tcPr>
          <w:p>
            <w:pPr>
              <w:ind w:left="120"/>
              <w:spacing w:after="0" w:line="108" w:lineRule="exact"/>
              <w:rPr>
                <w:sz w:val="20"/>
                <w:szCs w:val="20"/>
                <w:color w:val="auto"/>
              </w:rPr>
            </w:pPr>
            <w:r>
              <w:rPr>
                <w:rFonts w:ascii="Arial" w:cs="Arial" w:eastAsia="Arial" w:hAnsi="Arial"/>
                <w:sz w:val="10"/>
                <w:szCs w:val="10"/>
                <w:color w:val="auto"/>
                <w:w w:val="83"/>
              </w:rPr>
              <w:t>1,811.6</w:t>
            </w:r>
          </w:p>
        </w:tc>
        <w:tc>
          <w:tcPr>
            <w:tcW w:w="220" w:type="dxa"/>
            <w:vAlign w:val="bottom"/>
          </w:tcPr>
          <w:p>
            <w:pPr>
              <w:spacing w:after="0"/>
              <w:rPr>
                <w:sz w:val="9"/>
                <w:szCs w:val="9"/>
                <w:color w:val="auto"/>
              </w:rPr>
            </w:pPr>
          </w:p>
        </w:tc>
        <w:tc>
          <w:tcPr>
            <w:tcW w:w="4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1,751.9</w:t>
            </w:r>
          </w:p>
        </w:tc>
        <w:tc>
          <w:tcPr>
            <w:tcW w:w="220" w:type="dxa"/>
            <w:vAlign w:val="bottom"/>
          </w:tcPr>
          <w:p>
            <w:pPr>
              <w:spacing w:after="0"/>
              <w:rPr>
                <w:sz w:val="9"/>
                <w:szCs w:val="9"/>
                <w:color w:val="auto"/>
              </w:rPr>
            </w:pPr>
          </w:p>
        </w:tc>
        <w:tc>
          <w:tcPr>
            <w:tcW w:w="4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1,615.1</w:t>
            </w:r>
          </w:p>
        </w:tc>
        <w:tc>
          <w:tcPr>
            <w:tcW w:w="220" w:type="dxa"/>
            <w:vAlign w:val="bottom"/>
          </w:tcPr>
          <w:p>
            <w:pPr>
              <w:spacing w:after="0"/>
              <w:rPr>
                <w:sz w:val="9"/>
                <w:szCs w:val="9"/>
                <w:color w:val="auto"/>
              </w:rPr>
            </w:pPr>
          </w:p>
        </w:tc>
        <w:tc>
          <w:tcPr>
            <w:tcW w:w="44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1,261.6</w:t>
            </w:r>
          </w:p>
        </w:tc>
        <w:tc>
          <w:tcPr>
            <w:tcW w:w="220" w:type="dxa"/>
            <w:vAlign w:val="bottom"/>
          </w:tcPr>
          <w:p>
            <w:pPr>
              <w:spacing w:after="0"/>
              <w:rPr>
                <w:sz w:val="9"/>
                <w:szCs w:val="9"/>
                <w:color w:val="auto"/>
              </w:rPr>
            </w:pPr>
          </w:p>
        </w:tc>
        <w:tc>
          <w:tcPr>
            <w:tcW w:w="860" w:type="dxa"/>
            <w:vAlign w:val="bottom"/>
          </w:tcPr>
          <w:p>
            <w:pPr>
              <w:jc w:val="right"/>
              <w:ind w:right="268"/>
              <w:spacing w:after="0" w:line="108" w:lineRule="exact"/>
              <w:rPr>
                <w:sz w:val="20"/>
                <w:szCs w:val="20"/>
                <w:color w:val="auto"/>
              </w:rPr>
            </w:pPr>
            <w:r>
              <w:rPr>
                <w:rFonts w:ascii="Arial" w:cs="Arial" w:eastAsia="Arial" w:hAnsi="Arial"/>
                <w:sz w:val="10"/>
                <w:szCs w:val="10"/>
                <w:color w:val="auto"/>
              </w:rPr>
              <w:t>9</w:t>
            </w:r>
          </w:p>
        </w:tc>
        <w:tc>
          <w:tcPr>
            <w:tcW w:w="0" w:type="dxa"/>
            <w:vAlign w:val="bottom"/>
          </w:tcPr>
          <w:p>
            <w:pPr>
              <w:spacing w:after="0"/>
              <w:rPr>
                <w:sz w:val="1"/>
                <w:szCs w:val="1"/>
                <w:color w:val="auto"/>
              </w:rPr>
            </w:pPr>
          </w:p>
        </w:tc>
      </w:tr>
      <w:tr>
        <w:trPr>
          <w:trHeight w:val="108"/>
        </w:trPr>
        <w:tc>
          <w:tcPr>
            <w:tcW w:w="18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(8.0)</w:t>
            </w:r>
          </w:p>
        </w:tc>
        <w:tc>
          <w:tcPr>
            <w:tcW w:w="38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(9)</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(7.0)</w:t>
            </w:r>
          </w:p>
        </w:tc>
        <w:tc>
          <w:tcPr>
            <w:tcW w:w="38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(7)</w:t>
            </w:r>
          </w:p>
        </w:tc>
        <w:tc>
          <w:tcPr>
            <w:tcW w:w="334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Less: provision for credit losses</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80.0</w:t>
            </w:r>
          </w:p>
        </w:tc>
        <w:tc>
          <w:tcPr>
            <w:tcW w:w="64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88.0</w:t>
            </w:r>
          </w:p>
        </w:tc>
        <w:tc>
          <w:tcPr>
            <w:tcW w:w="6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95.0</w:t>
            </w:r>
          </w:p>
        </w:tc>
        <w:tc>
          <w:tcPr>
            <w:tcW w:w="68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131.0</w:t>
            </w:r>
          </w:p>
        </w:tc>
        <w:tc>
          <w:tcPr>
            <w:tcW w:w="6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122.0</w:t>
            </w:r>
          </w:p>
        </w:tc>
        <w:tc>
          <w:tcPr>
            <w:tcW w:w="860" w:type="dxa"/>
            <w:vAlign w:val="bottom"/>
            <w:shd w:val="clear" w:color="auto" w:fill="CCEEFF"/>
          </w:tcPr>
          <w:p>
            <w:pPr>
              <w:jc w:val="right"/>
              <w:ind w:right="228"/>
              <w:spacing w:after="0" w:line="108" w:lineRule="exact"/>
              <w:rPr>
                <w:sz w:val="20"/>
                <w:szCs w:val="20"/>
                <w:color w:val="auto"/>
              </w:rPr>
            </w:pP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108"/>
        </w:trPr>
        <w:tc>
          <w:tcPr>
            <w:tcW w:w="18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30.7</w:t>
            </w:r>
          </w:p>
        </w:tc>
        <w:tc>
          <w:tcPr>
            <w:tcW w:w="520" w:type="dxa"/>
            <w:vAlign w:val="bottom"/>
            <w:gridSpan w:val="3"/>
          </w:tcPr>
          <w:p>
            <w:pPr>
              <w:jc w:val="right"/>
              <w:ind w:right="32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(31.0)</w:t>
            </w:r>
          </w:p>
        </w:tc>
        <w:tc>
          <w:tcPr>
            <w:tcW w:w="3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340" w:type="dxa"/>
            <w:vAlign w:val="bottom"/>
          </w:tcPr>
          <w:p>
            <w:pPr>
              <w:ind w:left="140"/>
              <w:spacing w:after="0" w:line="108" w:lineRule="exact"/>
              <w:rPr>
                <w:sz w:val="20"/>
                <w:szCs w:val="20"/>
                <w:color w:val="auto"/>
              </w:rPr>
            </w:pPr>
            <w:r>
              <w:rPr>
                <w:rFonts w:ascii="Arial" w:cs="Arial" w:eastAsia="Arial" w:hAnsi="Arial"/>
                <w:sz w:val="10"/>
                <w:szCs w:val="10"/>
                <w:color w:val="auto"/>
              </w:rPr>
              <w:t>Gain (loss) on bank investment securities</w:t>
            </w:r>
          </w:p>
        </w:tc>
        <w:tc>
          <w:tcPr>
            <w:tcW w:w="10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2.6</w:t>
            </w:r>
          </w:p>
        </w:tc>
        <w:tc>
          <w:tcPr>
            <w:tcW w:w="64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(28.1)</w:t>
            </w:r>
          </w:p>
        </w:tc>
        <w:tc>
          <w:tcPr>
            <w:tcW w:w="6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2.9</w:t>
            </w:r>
          </w:p>
        </w:tc>
        <w:tc>
          <w:tcPr>
            <w:tcW w:w="6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2.5</w:t>
            </w:r>
          </w:p>
        </w:tc>
        <w:tc>
          <w:tcPr>
            <w:tcW w:w="6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(.6)</w:t>
            </w:r>
          </w:p>
        </w:tc>
        <w:tc>
          <w:tcPr>
            <w:tcW w:w="860" w:type="dxa"/>
            <w:vAlign w:val="bottom"/>
          </w:tcPr>
          <w:p>
            <w:pPr>
              <w:jc w:val="right"/>
              <w:ind w:right="268"/>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18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65.4</w:t>
            </w:r>
          </w:p>
        </w:tc>
        <w:tc>
          <w:tcPr>
            <w:tcW w:w="3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7</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37.7</w:t>
            </w:r>
          </w:p>
        </w:tc>
        <w:tc>
          <w:tcPr>
            <w:tcW w:w="3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w:t>
            </w:r>
          </w:p>
        </w:tc>
        <w:tc>
          <w:tcPr>
            <w:tcW w:w="334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Other income</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1,043.2</w:t>
            </w:r>
          </w:p>
        </w:tc>
        <w:tc>
          <w:tcPr>
            <w:tcW w:w="64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977.8</w:t>
            </w:r>
          </w:p>
        </w:tc>
        <w:tc>
          <w:tcPr>
            <w:tcW w:w="6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940.1</w:t>
            </w:r>
          </w:p>
        </w:tc>
        <w:tc>
          <w:tcPr>
            <w:tcW w:w="68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828.6</w:t>
            </w:r>
          </w:p>
        </w:tc>
        <w:tc>
          <w:tcPr>
            <w:tcW w:w="6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512.5</w:t>
            </w:r>
          </w:p>
        </w:tc>
        <w:tc>
          <w:tcPr>
            <w:tcW w:w="860" w:type="dxa"/>
            <w:vAlign w:val="bottom"/>
            <w:shd w:val="clear" w:color="auto" w:fill="CCEEFF"/>
          </w:tcPr>
          <w:p>
            <w:pPr>
              <w:jc w:val="right"/>
              <w:ind w:right="268"/>
              <w:spacing w:after="0" w:line="108" w:lineRule="exact"/>
              <w:rPr>
                <w:sz w:val="20"/>
                <w:szCs w:val="20"/>
                <w:color w:val="auto"/>
              </w:rPr>
            </w:pPr>
            <w:r>
              <w:rPr>
                <w:rFonts w:ascii="Arial" w:cs="Arial" w:eastAsia="Arial" w:hAnsi="Arial"/>
                <w:sz w:val="10"/>
                <w:szCs w:val="10"/>
                <w:color w:val="auto"/>
              </w:rPr>
              <w:t>17</w:t>
            </w:r>
          </w:p>
        </w:tc>
        <w:tc>
          <w:tcPr>
            <w:tcW w:w="0" w:type="dxa"/>
            <w:vAlign w:val="bottom"/>
          </w:tcPr>
          <w:p>
            <w:pPr>
              <w:spacing w:after="0"/>
              <w:rPr>
                <w:sz w:val="1"/>
                <w:szCs w:val="1"/>
                <w:color w:val="auto"/>
              </w:rPr>
            </w:pPr>
          </w:p>
        </w:tc>
      </w:tr>
      <w:tr>
        <w:trPr>
          <w:trHeight w:val="108"/>
        </w:trPr>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340" w:type="dxa"/>
            <w:vAlign w:val="bottom"/>
          </w:tcPr>
          <w:p>
            <w:pPr>
              <w:ind w:left="140"/>
              <w:spacing w:after="0" w:line="108" w:lineRule="exact"/>
              <w:rPr>
                <w:sz w:val="20"/>
                <w:szCs w:val="20"/>
                <w:color w:val="auto"/>
              </w:rPr>
            </w:pPr>
            <w:r>
              <w:rPr>
                <w:rFonts w:ascii="Arial" w:cs="Arial" w:eastAsia="Arial" w:hAnsi="Arial"/>
                <w:sz w:val="10"/>
                <w:szCs w:val="10"/>
                <w:color w:val="auto"/>
              </w:rPr>
              <w:t>Less:</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51.1</w:t>
            </w:r>
          </w:p>
        </w:tc>
        <w:tc>
          <w:tcPr>
            <w:tcW w:w="3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6</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15.6</w:t>
            </w:r>
          </w:p>
        </w:tc>
        <w:tc>
          <w:tcPr>
            <w:tcW w:w="3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w:t>
            </w:r>
          </w:p>
        </w:tc>
        <w:tc>
          <w:tcPr>
            <w:tcW w:w="3340" w:type="dxa"/>
            <w:vAlign w:val="bottom"/>
            <w:shd w:val="clear" w:color="auto" w:fill="CCEEFF"/>
          </w:tcPr>
          <w:p>
            <w:pPr>
              <w:ind w:left="180"/>
              <w:spacing w:after="0" w:line="108" w:lineRule="exact"/>
              <w:rPr>
                <w:sz w:val="20"/>
                <w:szCs w:val="20"/>
                <w:color w:val="auto"/>
              </w:rPr>
            </w:pPr>
            <w:r>
              <w:rPr>
                <w:rFonts w:ascii="Arial" w:cs="Arial" w:eastAsia="Arial" w:hAnsi="Arial"/>
                <w:sz w:val="10"/>
                <w:szCs w:val="10"/>
                <w:color w:val="auto"/>
              </w:rPr>
              <w:t>Salaries and employee benefits</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873.3</w:t>
            </w:r>
          </w:p>
        </w:tc>
        <w:tc>
          <w:tcPr>
            <w:tcW w:w="64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822.2</w:t>
            </w:r>
          </w:p>
        </w:tc>
        <w:tc>
          <w:tcPr>
            <w:tcW w:w="6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806.6</w:t>
            </w:r>
          </w:p>
        </w:tc>
        <w:tc>
          <w:tcPr>
            <w:tcW w:w="68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740.3</w:t>
            </w:r>
          </w:p>
        </w:tc>
        <w:tc>
          <w:tcPr>
            <w:tcW w:w="6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497.0</w:t>
            </w:r>
          </w:p>
        </w:tc>
        <w:tc>
          <w:tcPr>
            <w:tcW w:w="860" w:type="dxa"/>
            <w:vAlign w:val="bottom"/>
            <w:shd w:val="clear" w:color="auto" w:fill="CCEEFF"/>
          </w:tcPr>
          <w:p>
            <w:pPr>
              <w:jc w:val="right"/>
              <w:ind w:right="268"/>
              <w:spacing w:after="0" w:line="108" w:lineRule="exact"/>
              <w:rPr>
                <w:sz w:val="20"/>
                <w:szCs w:val="20"/>
                <w:color w:val="auto"/>
              </w:rPr>
            </w:pPr>
            <w:r>
              <w:rPr>
                <w:rFonts w:ascii="Arial" w:cs="Arial" w:eastAsia="Arial" w:hAnsi="Arial"/>
                <w:sz w:val="10"/>
                <w:szCs w:val="10"/>
                <w:color w:val="auto"/>
              </w:rPr>
              <w:t>13</w:t>
            </w:r>
          </w:p>
        </w:tc>
        <w:tc>
          <w:tcPr>
            <w:tcW w:w="0" w:type="dxa"/>
            <w:vAlign w:val="bottom"/>
          </w:tcPr>
          <w:p>
            <w:pPr>
              <w:spacing w:after="0"/>
              <w:rPr>
                <w:sz w:val="1"/>
                <w:szCs w:val="1"/>
                <w:color w:val="auto"/>
              </w:rPr>
            </w:pPr>
          </w:p>
        </w:tc>
      </w:tr>
      <w:tr>
        <w:trPr>
          <w:trHeight w:val="108"/>
        </w:trPr>
        <w:tc>
          <w:tcPr>
            <w:tcW w:w="18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15.5</w:t>
            </w:r>
          </w:p>
        </w:tc>
        <w:tc>
          <w:tcPr>
            <w:tcW w:w="3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(46.6)</w:t>
            </w:r>
          </w:p>
        </w:tc>
        <w:tc>
          <w:tcPr>
            <w:tcW w:w="38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(7)</w:t>
            </w:r>
          </w:p>
        </w:tc>
        <w:tc>
          <w:tcPr>
            <w:tcW w:w="3340" w:type="dxa"/>
            <w:vAlign w:val="bottom"/>
          </w:tcPr>
          <w:p>
            <w:pPr>
              <w:ind w:left="180"/>
              <w:spacing w:after="0" w:line="108" w:lineRule="exact"/>
              <w:rPr>
                <w:sz w:val="20"/>
                <w:szCs w:val="20"/>
                <w:color w:val="auto"/>
              </w:rPr>
            </w:pPr>
            <w:r>
              <w:rPr>
                <w:rFonts w:ascii="Arial" w:cs="Arial" w:eastAsia="Arial" w:hAnsi="Arial"/>
                <w:sz w:val="10"/>
                <w:szCs w:val="10"/>
                <w:color w:val="auto"/>
              </w:rPr>
              <w:t>Other expense</w:t>
            </w:r>
          </w:p>
        </w:tc>
        <w:tc>
          <w:tcPr>
            <w:tcW w:w="10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678.4</w:t>
            </w:r>
          </w:p>
        </w:tc>
        <w:tc>
          <w:tcPr>
            <w:tcW w:w="64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662.9</w:t>
            </w:r>
          </w:p>
        </w:tc>
        <w:tc>
          <w:tcPr>
            <w:tcW w:w="6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709.5</w:t>
            </w:r>
          </w:p>
        </w:tc>
        <w:tc>
          <w:tcPr>
            <w:tcW w:w="6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708.0</w:t>
            </w:r>
          </w:p>
        </w:tc>
        <w:tc>
          <w:tcPr>
            <w:tcW w:w="6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464.6</w:t>
            </w:r>
          </w:p>
        </w:tc>
        <w:tc>
          <w:tcPr>
            <w:tcW w:w="860" w:type="dxa"/>
            <w:vAlign w:val="bottom"/>
          </w:tcPr>
          <w:p>
            <w:pPr>
              <w:jc w:val="right"/>
              <w:ind w:right="268"/>
              <w:spacing w:after="0" w:line="108" w:lineRule="exact"/>
              <w:rPr>
                <w:sz w:val="20"/>
                <w:szCs w:val="20"/>
                <w:color w:val="auto"/>
              </w:rPr>
            </w:pP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8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63.1</w:t>
            </w:r>
          </w:p>
        </w:tc>
        <w:tc>
          <w:tcPr>
            <w:tcW w:w="3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5</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104.4</w:t>
            </w:r>
          </w:p>
        </w:tc>
        <w:tc>
          <w:tcPr>
            <w:tcW w:w="3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10</w:t>
            </w:r>
          </w:p>
        </w:tc>
        <w:tc>
          <w:tcPr>
            <w:tcW w:w="334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Income before income taxes</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1,251.3</w:t>
            </w:r>
          </w:p>
        </w:tc>
        <w:tc>
          <w:tcPr>
            <w:tcW w:w="64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1,188.2</w:t>
            </w:r>
          </w:p>
        </w:tc>
        <w:tc>
          <w:tcPr>
            <w:tcW w:w="6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1,083.8</w:t>
            </w:r>
          </w:p>
        </w:tc>
        <w:tc>
          <w:tcPr>
            <w:tcW w:w="68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866.9</w:t>
            </w:r>
          </w:p>
        </w:tc>
        <w:tc>
          <w:tcPr>
            <w:tcW w:w="6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689.9</w:t>
            </w:r>
          </w:p>
        </w:tc>
        <w:tc>
          <w:tcPr>
            <w:tcW w:w="860" w:type="dxa"/>
            <w:vAlign w:val="bottom"/>
            <w:shd w:val="clear" w:color="auto" w:fill="CCEEFF"/>
          </w:tcPr>
          <w:p>
            <w:pPr>
              <w:jc w:val="right"/>
              <w:ind w:right="268"/>
              <w:spacing w:after="0" w:line="108" w:lineRule="exact"/>
              <w:rPr>
                <w:sz w:val="20"/>
                <w:szCs w:val="20"/>
                <w:color w:val="auto"/>
              </w:rPr>
            </w:pPr>
            <w:r>
              <w:rPr>
                <w:rFonts w:ascii="Arial" w:cs="Arial" w:eastAsia="Arial" w:hAnsi="Arial"/>
                <w:sz w:val="10"/>
                <w:szCs w:val="10"/>
                <w:color w:val="auto"/>
              </w:rPr>
              <w:t>17</w:t>
            </w:r>
          </w:p>
        </w:tc>
        <w:tc>
          <w:tcPr>
            <w:tcW w:w="0" w:type="dxa"/>
            <w:vAlign w:val="bottom"/>
          </w:tcPr>
          <w:p>
            <w:pPr>
              <w:spacing w:after="0"/>
              <w:rPr>
                <w:sz w:val="1"/>
                <w:szCs w:val="1"/>
                <w:color w:val="auto"/>
              </w:rPr>
            </w:pPr>
          </w:p>
        </w:tc>
      </w:tr>
      <w:tr>
        <w:trPr>
          <w:trHeight w:val="108"/>
        </w:trPr>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340" w:type="dxa"/>
            <w:vAlign w:val="bottom"/>
          </w:tcPr>
          <w:p>
            <w:pPr>
              <w:ind w:left="140"/>
              <w:spacing w:after="0" w:line="108" w:lineRule="exact"/>
              <w:rPr>
                <w:sz w:val="20"/>
                <w:szCs w:val="20"/>
                <w:color w:val="auto"/>
              </w:rPr>
            </w:pPr>
            <w:r>
              <w:rPr>
                <w:rFonts w:ascii="Arial" w:cs="Arial" w:eastAsia="Arial" w:hAnsi="Arial"/>
                <w:sz w:val="10"/>
                <w:szCs w:val="10"/>
                <w:color w:val="auto"/>
              </w:rPr>
              <w:t>Less:</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2.4</w:t>
            </w:r>
          </w:p>
        </w:tc>
        <w:tc>
          <w:tcPr>
            <w:tcW w:w="3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14</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3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3340" w:type="dxa"/>
            <w:vAlign w:val="bottom"/>
            <w:shd w:val="clear" w:color="auto" w:fill="CCEEFF"/>
          </w:tcPr>
          <w:p>
            <w:pPr>
              <w:ind w:left="180"/>
              <w:spacing w:after="0" w:line="108" w:lineRule="exact"/>
              <w:rPr>
                <w:sz w:val="20"/>
                <w:szCs w:val="20"/>
                <w:color w:val="auto"/>
              </w:rPr>
            </w:pPr>
            <w:r>
              <w:rPr>
                <w:rFonts w:ascii="Arial" w:cs="Arial" w:eastAsia="Arial" w:hAnsi="Arial"/>
                <w:sz w:val="10"/>
                <w:szCs w:val="10"/>
                <w:color w:val="auto"/>
              </w:rPr>
              <w:t>Taxable-equivalent adjustment(b)</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19.7</w:t>
            </w:r>
          </w:p>
        </w:tc>
        <w:tc>
          <w:tcPr>
            <w:tcW w:w="64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17.3</w:t>
            </w:r>
          </w:p>
        </w:tc>
        <w:tc>
          <w:tcPr>
            <w:tcW w:w="6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17.3</w:t>
            </w:r>
          </w:p>
        </w:tc>
        <w:tc>
          <w:tcPr>
            <w:tcW w:w="68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16.3</w:t>
            </w:r>
          </w:p>
        </w:tc>
        <w:tc>
          <w:tcPr>
            <w:tcW w:w="6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14.0</w:t>
            </w:r>
          </w:p>
        </w:tc>
        <w:tc>
          <w:tcPr>
            <w:tcW w:w="860" w:type="dxa"/>
            <w:vAlign w:val="bottom"/>
            <w:shd w:val="clear" w:color="auto" w:fill="CCEEFF"/>
          </w:tcPr>
          <w:p>
            <w:pPr>
              <w:jc w:val="right"/>
              <w:ind w:right="268"/>
              <w:spacing w:after="0" w:line="108" w:lineRule="exact"/>
              <w:rPr>
                <w:sz w:val="20"/>
                <w:szCs w:val="20"/>
                <w:color w:val="auto"/>
              </w:rPr>
            </w:pP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108"/>
        </w:trPr>
        <w:tc>
          <w:tcPr>
            <w:tcW w:w="180" w:type="dxa"/>
            <w:vAlign w:val="bottom"/>
          </w:tcPr>
          <w:p>
            <w:pPr>
              <w:spacing w:after="0"/>
              <w:rPr>
                <w:sz w:val="9"/>
                <w:szCs w:val="9"/>
                <w:color w:val="auto"/>
              </w:rPr>
            </w:pPr>
          </w:p>
        </w:tc>
        <w:tc>
          <w:tcPr>
            <w:tcW w:w="7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3.7</w:t>
            </w:r>
          </w:p>
        </w:tc>
        <w:tc>
          <w:tcPr>
            <w:tcW w:w="3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44.7</w:t>
            </w:r>
          </w:p>
        </w:tc>
        <w:tc>
          <w:tcPr>
            <w:tcW w:w="3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13</w:t>
            </w:r>
          </w:p>
        </w:tc>
        <w:tc>
          <w:tcPr>
            <w:tcW w:w="3340" w:type="dxa"/>
            <w:vAlign w:val="bottom"/>
          </w:tcPr>
          <w:p>
            <w:pPr>
              <w:ind w:left="180"/>
              <w:spacing w:after="0" w:line="108" w:lineRule="exact"/>
              <w:rPr>
                <w:sz w:val="20"/>
                <w:szCs w:val="20"/>
                <w:color w:val="auto"/>
              </w:rPr>
            </w:pPr>
            <w:r>
              <w:rPr>
                <w:rFonts w:ascii="Arial" w:cs="Arial" w:eastAsia="Arial" w:hAnsi="Arial"/>
                <w:sz w:val="10"/>
                <w:szCs w:val="10"/>
                <w:color w:val="auto"/>
              </w:rPr>
              <w:t>Income taxes</w:t>
            </w:r>
          </w:p>
        </w:tc>
        <w:tc>
          <w:tcPr>
            <w:tcW w:w="10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392.4</w:t>
            </w:r>
          </w:p>
        </w:tc>
        <w:tc>
          <w:tcPr>
            <w:tcW w:w="64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388.7</w:t>
            </w:r>
          </w:p>
        </w:tc>
        <w:tc>
          <w:tcPr>
            <w:tcW w:w="6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344.0</w:t>
            </w:r>
          </w:p>
        </w:tc>
        <w:tc>
          <w:tcPr>
            <w:tcW w:w="68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276.7</w:t>
            </w:r>
          </w:p>
        </w:tc>
        <w:tc>
          <w:tcPr>
            <w:tcW w:w="66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219.1</w:t>
            </w:r>
          </w:p>
        </w:tc>
        <w:tc>
          <w:tcPr>
            <w:tcW w:w="860" w:type="dxa"/>
            <w:vAlign w:val="bottom"/>
          </w:tcPr>
          <w:p>
            <w:pPr>
              <w:jc w:val="right"/>
              <w:ind w:right="268"/>
              <w:spacing w:after="0" w:line="108" w:lineRule="exact"/>
              <w:rPr>
                <w:sz w:val="20"/>
                <w:szCs w:val="20"/>
                <w:color w:val="auto"/>
              </w:rPr>
            </w:pPr>
            <w:r>
              <w:rPr>
                <w:rFonts w:ascii="Arial" w:cs="Arial" w:eastAsia="Arial" w:hAnsi="Arial"/>
                <w:sz w:val="10"/>
                <w:szCs w:val="10"/>
                <w:color w:val="auto"/>
              </w:rPr>
              <w:t>15</w:t>
            </w: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80" w:type="dxa"/>
            <w:vAlign w:val="bottom"/>
            <w:shd w:val="clear" w:color="auto" w:fill="CCEEFF"/>
          </w:tcPr>
          <w:p>
            <w:pPr>
              <w:jc w:val="right"/>
              <w:ind w:right="68"/>
              <w:spacing w:after="0" w:line="108" w:lineRule="exact"/>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57.0</w:t>
            </w:r>
          </w:p>
        </w:tc>
        <w:tc>
          <w:tcPr>
            <w:tcW w:w="3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7</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jc w:val="right"/>
              <w:ind w:right="5"/>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59.7</w:t>
            </w:r>
          </w:p>
        </w:tc>
        <w:tc>
          <w:tcPr>
            <w:tcW w:w="3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8</w:t>
            </w:r>
          </w:p>
        </w:tc>
        <w:tc>
          <w:tcPr>
            <w:tcW w:w="3340" w:type="dxa"/>
            <w:vAlign w:val="bottom"/>
            <w:shd w:val="clear" w:color="auto" w:fill="CCEEFF"/>
          </w:tcPr>
          <w:p>
            <w:pPr>
              <w:ind w:left="140"/>
              <w:spacing w:after="0" w:line="108" w:lineRule="exact"/>
              <w:rPr>
                <w:sz w:val="20"/>
                <w:szCs w:val="20"/>
                <w:color w:val="auto"/>
              </w:rPr>
            </w:pPr>
            <w:r>
              <w:rPr>
                <w:rFonts w:ascii="Arial" w:cs="Arial" w:eastAsia="Arial" w:hAnsi="Arial"/>
                <w:sz w:val="10"/>
                <w:szCs w:val="10"/>
                <w:color w:val="auto"/>
              </w:rPr>
              <w:t>Net income</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839.2</w:t>
            </w:r>
          </w:p>
        </w:tc>
        <w:tc>
          <w:tcPr>
            <w:tcW w:w="64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782.2</w:t>
            </w:r>
          </w:p>
        </w:tc>
        <w:tc>
          <w:tcPr>
            <w:tcW w:w="6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722.5</w:t>
            </w:r>
          </w:p>
        </w:tc>
        <w:tc>
          <w:tcPr>
            <w:tcW w:w="68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573.9</w:t>
            </w:r>
          </w:p>
        </w:tc>
        <w:tc>
          <w:tcPr>
            <w:tcW w:w="6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456.8</w:t>
            </w:r>
          </w:p>
        </w:tc>
        <w:tc>
          <w:tcPr>
            <w:tcW w:w="860" w:type="dxa"/>
            <w:vAlign w:val="bottom"/>
            <w:shd w:val="clear" w:color="auto" w:fill="CCEEFF"/>
          </w:tcPr>
          <w:p>
            <w:pPr>
              <w:jc w:val="right"/>
              <w:ind w:right="188"/>
              <w:spacing w:after="0" w:line="108" w:lineRule="exact"/>
              <w:rPr>
                <w:sz w:val="20"/>
                <w:szCs w:val="20"/>
                <w:color w:val="auto"/>
              </w:rPr>
            </w:pPr>
            <w:r>
              <w:rPr>
                <w:rFonts w:ascii="Arial" w:cs="Arial" w:eastAsia="Arial" w:hAnsi="Arial"/>
                <w:sz w:val="10"/>
                <w:szCs w:val="10"/>
                <w:color w:val="auto"/>
              </w:rPr>
              <w:t>19%</w:t>
            </w:r>
          </w:p>
        </w:tc>
        <w:tc>
          <w:tcPr>
            <w:tcW w:w="0" w:type="dxa"/>
            <w:vAlign w:val="bottom"/>
          </w:tcPr>
          <w:p>
            <w:pPr>
              <w:spacing w:after="0"/>
              <w:rPr>
                <w:sz w:val="1"/>
                <w:szCs w:val="1"/>
                <w:color w:val="auto"/>
              </w:rPr>
            </w:pPr>
          </w:p>
        </w:tc>
      </w:tr>
      <w:tr>
        <w:trPr>
          <w:trHeight w:val="108"/>
        </w:trPr>
        <w:tc>
          <w:tcPr>
            <w:tcW w:w="18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-1191260</wp:posOffset>
            </wp:positionV>
            <wp:extent cx="635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0" w:lineRule="exact"/>
        <w:rPr>
          <w:sz w:val="20"/>
          <w:szCs w:val="20"/>
          <w:color w:val="auto"/>
        </w:rPr>
      </w:pPr>
    </w:p>
    <w:p>
      <w:pPr>
        <w:ind w:left="1180" w:hanging="243"/>
        <w:spacing w:after="0"/>
        <w:tabs>
          <w:tab w:leader="none" w:pos="1180" w:val="left"/>
        </w:tabs>
        <w:numPr>
          <w:ilvl w:val="0"/>
          <w:numId w:val="14"/>
        </w:numPr>
        <w:rPr>
          <w:rFonts w:ascii="Arial" w:cs="Arial" w:eastAsia="Arial" w:hAnsi="Arial"/>
          <w:sz w:val="13"/>
          <w:szCs w:val="13"/>
          <w:i w:val="1"/>
          <w:iCs w:val="1"/>
          <w:color w:val="auto"/>
        </w:rPr>
      </w:pPr>
      <w:r>
        <w:rPr>
          <w:rFonts w:ascii="Arial" w:cs="Arial" w:eastAsia="Arial" w:hAnsi="Arial"/>
          <w:sz w:val="13"/>
          <w:szCs w:val="13"/>
          <w:i w:val="1"/>
          <w:iCs w:val="1"/>
          <w:color w:val="auto"/>
        </w:rPr>
        <w:t>Changes were calculated from unrounded amounts.</w:t>
      </w:r>
    </w:p>
    <w:p>
      <w:pPr>
        <w:spacing w:after="0" w:line="15" w:lineRule="exact"/>
        <w:rPr>
          <w:rFonts w:ascii="Arial" w:cs="Arial" w:eastAsia="Arial" w:hAnsi="Arial"/>
          <w:sz w:val="13"/>
          <w:szCs w:val="13"/>
          <w:i w:val="1"/>
          <w:iCs w:val="1"/>
          <w:color w:val="auto"/>
        </w:rPr>
      </w:pPr>
    </w:p>
    <w:p>
      <w:pPr>
        <w:ind w:left="1180" w:hanging="243"/>
        <w:spacing w:after="0" w:line="258" w:lineRule="auto"/>
        <w:tabs>
          <w:tab w:leader="none" w:pos="1180" w:val="left"/>
        </w:tabs>
        <w:numPr>
          <w:ilvl w:val="0"/>
          <w:numId w:val="14"/>
        </w:numPr>
        <w:rPr>
          <w:rFonts w:ascii="Arial" w:cs="Arial" w:eastAsia="Arial" w:hAnsi="Arial"/>
          <w:sz w:val="13"/>
          <w:szCs w:val="13"/>
          <w:i w:val="1"/>
          <w:iCs w:val="1"/>
          <w:color w:val="auto"/>
        </w:rPr>
      </w:pPr>
      <w:r>
        <w:rPr>
          <w:rFonts w:ascii="Arial" w:cs="Arial" w:eastAsia="Arial" w:hAnsi="Arial"/>
          <w:sz w:val="13"/>
          <w:szCs w:val="13"/>
          <w:i w:val="1"/>
          <w:iCs w:val="1"/>
          <w:color w:val="auto"/>
        </w:rPr>
        <w:t>Interest income data are on a taxable-equivalent basis. The taxable-equivalent adjustment represents additional income taxes that would be due if all interest income were subject to income taxes. This adjustment, which is related to interest received on qualified municipal securities, industrial revenue financings and preferred equity securities, is based on a composite income tax rate of approximately 39% for 2006, 2005, 2004 and 2002, and 36% for 2003.</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Supplemental Reporting of Non-GAAP Results of Operations</w:t>
      </w:r>
    </w:p>
    <w:p>
      <w:pPr>
        <w:spacing w:after="0" w:line="22" w:lineRule="exact"/>
        <w:rPr>
          <w:sz w:val="20"/>
          <w:szCs w:val="20"/>
          <w:color w:val="auto"/>
        </w:rPr>
      </w:pPr>
    </w:p>
    <w:p>
      <w:pPr>
        <w:ind w:left="680" w:right="40"/>
        <w:spacing w:after="0" w:line="249" w:lineRule="auto"/>
        <w:rPr>
          <w:sz w:val="20"/>
          <w:szCs w:val="20"/>
          <w:color w:val="auto"/>
        </w:rPr>
      </w:pPr>
      <w:r>
        <w:rPr>
          <w:rFonts w:ascii="Arial" w:cs="Arial" w:eastAsia="Arial" w:hAnsi="Arial"/>
          <w:sz w:val="14"/>
          <w:szCs w:val="14"/>
          <w:color w:val="auto"/>
        </w:rPr>
        <w:t>As a result of business combinations and other acquisitions, the Company had intangible assets consisting of goodwill and core deposit and other intangible assets totaling $3.2 billion at December 31, 2006, $3.0 billion at December 31, 2005 and $3.1 billion at December 31, 2004. Included in such intangible assets was goodwill of $2.9 billion at December 31, 2006, 2005 and 2004. Amortization of core deposit and other intangible assets, after tax effect, totaled $38 million, $35 million and $46 million during 2006, 2005 and 2004, respectively.</w:t>
      </w:r>
    </w:p>
    <w:p>
      <w:pPr>
        <w:ind w:left="680" w:right="40" w:firstLine="599"/>
        <w:spacing w:after="0" w:line="249" w:lineRule="auto"/>
        <w:rPr>
          <w:sz w:val="20"/>
          <w:szCs w:val="20"/>
          <w:color w:val="auto"/>
        </w:rPr>
      </w:pPr>
      <w:r>
        <w:rPr>
          <w:rFonts w:ascii="Arial" w:cs="Arial" w:eastAsia="Arial" w:hAnsi="Arial"/>
          <w:sz w:val="14"/>
          <w:szCs w:val="14"/>
          <w:color w:val="auto"/>
        </w:rPr>
        <w:t>Since 1998, M</w:t>
      </w:r>
      <w:r>
        <w:rPr>
          <w:rFonts w:ascii="Arial" w:cs="Arial" w:eastAsia="Arial" w:hAnsi="Arial"/>
          <w:sz w:val="13"/>
          <w:szCs w:val="13"/>
          <w:color w:val="auto"/>
        </w:rPr>
        <w:t>&amp;</w:t>
      </w:r>
      <w:r>
        <w:rPr>
          <w:rFonts w:ascii="Arial" w:cs="Arial" w:eastAsia="Arial" w:hAnsi="Arial"/>
          <w:sz w:val="14"/>
          <w:szCs w:val="14"/>
          <w:color w:val="auto"/>
        </w:rPr>
        <w:t>T has consistently provided supplemental reporting of its results on a “net operating” or “tangible” basis, in which M</w:t>
      </w:r>
      <w:r>
        <w:rPr>
          <w:rFonts w:ascii="Arial" w:cs="Arial" w:eastAsia="Arial" w:hAnsi="Arial"/>
          <w:sz w:val="13"/>
          <w:szCs w:val="13"/>
          <w:color w:val="auto"/>
        </w:rPr>
        <w:t>&amp;</w:t>
      </w:r>
      <w:r>
        <w:rPr>
          <w:rFonts w:ascii="Arial" w:cs="Arial" w:eastAsia="Arial" w:hAnsi="Arial"/>
          <w:sz w:val="14"/>
          <w:szCs w:val="14"/>
          <w:color w:val="auto"/>
        </w:rPr>
        <w:t>T excludes the after-tax effect of amortization of core deposit and other intangible assets (and the related goodwill, core deposit intangible and other intangible asset balances, net of applicable deferred tax amounts, when calculating certain performance ratios) and expenses associated with integrating acquired operations into the Company, since such expenses are considered by management to be “nonoperating” in nature. Although “net operating income” as defined by M</w:t>
      </w:r>
      <w:r>
        <w:rPr>
          <w:rFonts w:ascii="Arial" w:cs="Arial" w:eastAsia="Arial" w:hAnsi="Arial"/>
          <w:sz w:val="13"/>
          <w:szCs w:val="13"/>
          <w:color w:val="auto"/>
        </w:rPr>
        <w:t>&amp;</w:t>
      </w:r>
      <w:r>
        <w:rPr>
          <w:rFonts w:ascii="Arial" w:cs="Arial" w:eastAsia="Arial" w:hAnsi="Arial"/>
          <w:sz w:val="14"/>
          <w:szCs w:val="14"/>
          <w:color w:val="auto"/>
        </w:rPr>
        <w:t>T is not a GAAP measure, M</w:t>
      </w:r>
      <w:r>
        <w:rPr>
          <w:rFonts w:ascii="Arial" w:cs="Arial" w:eastAsia="Arial" w:hAnsi="Arial"/>
          <w:sz w:val="13"/>
          <w:szCs w:val="13"/>
          <w:color w:val="auto"/>
        </w:rPr>
        <w:t>&amp;</w:t>
      </w:r>
      <w:r>
        <w:rPr>
          <w:rFonts w:ascii="Arial" w:cs="Arial" w:eastAsia="Arial" w:hAnsi="Arial"/>
          <w:sz w:val="14"/>
          <w:szCs w:val="14"/>
          <w:color w:val="auto"/>
        </w:rPr>
        <w:t>T’s management believes that this information helps investors understand the effect of acquisition activity in reported results.</w:t>
      </w:r>
    </w:p>
    <w:p>
      <w:pPr>
        <w:ind w:left="680" w:right="100" w:firstLine="599"/>
        <w:spacing w:after="0" w:line="249" w:lineRule="auto"/>
        <w:rPr>
          <w:sz w:val="20"/>
          <w:szCs w:val="20"/>
          <w:color w:val="auto"/>
        </w:rPr>
      </w:pPr>
      <w:r>
        <w:rPr>
          <w:rFonts w:ascii="Arial" w:cs="Arial" w:eastAsia="Arial" w:hAnsi="Arial"/>
          <w:sz w:val="14"/>
          <w:szCs w:val="14"/>
          <w:color w:val="auto"/>
        </w:rPr>
        <w:t>Net operating income increased 8% to $881 million in 2006 from $817 million in 2005. Diluted net operating earnings per share in 2006 rose 10% to $7.73 from $7.03 in 2005. Net operating income and diluted net operating earnings per share were $769 million and $6.38, respectively, during 2004.</w:t>
      </w:r>
    </w:p>
    <w:p>
      <w:pPr>
        <w:ind w:left="1280"/>
        <w:spacing w:after="0"/>
        <w:rPr>
          <w:sz w:val="20"/>
          <w:szCs w:val="20"/>
          <w:color w:val="auto"/>
        </w:rPr>
      </w:pPr>
      <w:r>
        <w:rPr>
          <w:rFonts w:ascii="Arial" w:cs="Arial" w:eastAsia="Arial" w:hAnsi="Arial"/>
          <w:sz w:val="13"/>
          <w:szCs w:val="13"/>
          <w:color w:val="auto"/>
        </w:rPr>
        <w:t>Reconciliations of net income and diluted earnings per share with net operating income and diluted net operating earnings per share are presented in table 2.</w:t>
      </w:r>
    </w:p>
    <w:p>
      <w:pPr>
        <w:spacing w:after="0" w:line="18" w:lineRule="exact"/>
        <w:rPr>
          <w:sz w:val="20"/>
          <w:szCs w:val="20"/>
          <w:color w:val="auto"/>
        </w:rPr>
      </w:pPr>
    </w:p>
    <w:p>
      <w:pPr>
        <w:ind w:left="680" w:firstLine="599"/>
        <w:spacing w:after="0" w:line="263" w:lineRule="auto"/>
        <w:rPr>
          <w:sz w:val="20"/>
          <w:szCs w:val="20"/>
          <w:color w:val="auto"/>
        </w:rPr>
      </w:pPr>
      <w:r>
        <w:rPr>
          <w:rFonts w:ascii="Arial" w:cs="Arial" w:eastAsia="Arial" w:hAnsi="Arial"/>
          <w:sz w:val="14"/>
          <w:szCs w:val="14"/>
          <w:color w:val="auto"/>
        </w:rPr>
        <w:t>Net operating income expressed as a rate of return on average tangible assets was 1.67% in 2006, compared with 1.60% in 2005 and 1.59% in 2004. Net operating return on average tangible common equity was 29.55% in 2006, improved from 29.06% and 28.76% in 2005 and 2004, respectively.</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Reconciliations of average assets and equity with average tangible assets and average tangible equity are also presented in table 2.</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2</w:t>
      </w:r>
    </w:p>
    <w:p>
      <w:pPr>
        <w:spacing w:after="0" w:line="55" w:lineRule="exact"/>
        <w:rPr>
          <w:sz w:val="20"/>
          <w:szCs w:val="20"/>
          <w:color w:val="auto"/>
        </w:rPr>
      </w:pPr>
    </w:p>
    <w:p>
      <w:pPr>
        <w:ind w:left="3760"/>
        <w:spacing w:after="0"/>
        <w:rPr>
          <w:sz w:val="20"/>
          <w:szCs w:val="20"/>
          <w:color w:val="auto"/>
        </w:rPr>
      </w:pPr>
      <w:r>
        <w:rPr>
          <w:rFonts w:ascii="Arial" w:cs="Arial" w:eastAsia="Arial" w:hAnsi="Arial"/>
          <w:sz w:val="14"/>
          <w:szCs w:val="14"/>
          <w:b w:val="1"/>
          <w:bCs w:val="1"/>
          <w:color w:val="auto"/>
        </w:rPr>
        <w:t>RECONCILIATION OF GAAP TO NON-GAAP MEASURES</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rPr>
              <w:t>2006</w:t>
            </w: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rPr>
              <w:t>2005</w:t>
            </w: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Income statement data</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400" w:type="dxa"/>
            <w:vAlign w:val="bottom"/>
            <w:gridSpan w:val="2"/>
          </w:tcPr>
          <w:p>
            <w:pPr>
              <w:spacing w:after="0"/>
              <w:rPr>
                <w:sz w:val="20"/>
                <w:szCs w:val="20"/>
                <w:color w:val="auto"/>
              </w:rPr>
            </w:pPr>
            <w:r>
              <w:rPr>
                <w:rFonts w:ascii="Arial" w:cs="Arial" w:eastAsia="Arial" w:hAnsi="Arial"/>
                <w:sz w:val="12"/>
                <w:szCs w:val="12"/>
                <w:i w:val="1"/>
                <w:iCs w:val="1"/>
                <w:color w:val="auto"/>
              </w:rPr>
              <w:t>In thousands, except per share</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Net income</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400" w:type="dxa"/>
            <w:vAlign w:val="bottom"/>
            <w:gridSpan w:val="2"/>
          </w:tcPr>
          <w:p>
            <w:pPr>
              <w:spacing w:after="0"/>
              <w:rPr>
                <w:sz w:val="20"/>
                <w:szCs w:val="20"/>
                <w:color w:val="auto"/>
              </w:rPr>
            </w:pPr>
            <w:r>
              <w:rPr>
                <w:rFonts w:ascii="Arial" w:cs="Arial" w:eastAsia="Arial" w:hAnsi="Arial"/>
                <w:sz w:val="12"/>
                <w:szCs w:val="12"/>
                <w:color w:val="auto"/>
              </w:rPr>
              <w:t>Net income</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839,189</w:t>
            </w:r>
          </w:p>
        </w:tc>
        <w:tc>
          <w:tcPr>
            <w:tcW w:w="220" w:type="dxa"/>
            <w:vAlign w:val="bottom"/>
          </w:tcPr>
          <w:p>
            <w:pPr>
              <w:spacing w:after="0"/>
              <w:rPr>
                <w:sz w:val="12"/>
                <w:szCs w:val="12"/>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782,183</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722,521</w:t>
            </w:r>
          </w:p>
        </w:tc>
        <w:tc>
          <w:tcPr>
            <w:tcW w:w="0" w:type="dxa"/>
            <w:vAlign w:val="bottom"/>
          </w:tcPr>
          <w:p>
            <w:pPr>
              <w:spacing w:after="0"/>
              <w:rPr>
                <w:sz w:val="1"/>
                <w:szCs w:val="1"/>
                <w:color w:val="auto"/>
              </w:rPr>
            </w:pPr>
          </w:p>
        </w:tc>
      </w:tr>
      <w:tr>
        <w:trPr>
          <w:trHeight w:val="147"/>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Amortization of core deposit and other intangible assets(a)</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38,418</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34,682</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46,097</w:t>
            </w:r>
          </w:p>
        </w:tc>
        <w:tc>
          <w:tcPr>
            <w:tcW w:w="0" w:type="dxa"/>
            <w:vAlign w:val="bottom"/>
          </w:tcPr>
          <w:p>
            <w:pPr>
              <w:spacing w:after="0"/>
              <w:rPr>
                <w:sz w:val="1"/>
                <w:szCs w:val="1"/>
                <w:color w:val="auto"/>
              </w:rPr>
            </w:pPr>
          </w:p>
        </w:tc>
      </w:tr>
      <w:tr>
        <w:trPr>
          <w:trHeight w:val="147"/>
        </w:trPr>
        <w:tc>
          <w:tcPr>
            <w:tcW w:w="7400" w:type="dxa"/>
            <w:vAlign w:val="bottom"/>
            <w:gridSpan w:val="2"/>
          </w:tcPr>
          <w:p>
            <w:pPr>
              <w:spacing w:after="0"/>
              <w:rPr>
                <w:sz w:val="20"/>
                <w:szCs w:val="20"/>
                <w:color w:val="auto"/>
              </w:rPr>
            </w:pPr>
            <w:r>
              <w:rPr>
                <w:rFonts w:ascii="Arial" w:cs="Arial" w:eastAsia="Arial" w:hAnsi="Arial"/>
                <w:sz w:val="12"/>
                <w:szCs w:val="12"/>
                <w:color w:val="auto"/>
              </w:rPr>
              <w:t>Merger-related expenses(a)</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3,048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4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Net operating income</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880,655</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816,865</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768,618</w:t>
            </w:r>
          </w:p>
        </w:tc>
        <w:tc>
          <w:tcPr>
            <w:tcW w:w="0" w:type="dxa"/>
            <w:vAlign w:val="bottom"/>
          </w:tcPr>
          <w:p>
            <w:pPr>
              <w:spacing w:after="0"/>
              <w:rPr>
                <w:sz w:val="1"/>
                <w:szCs w:val="1"/>
                <w:color w:val="auto"/>
              </w:rPr>
            </w:pPr>
          </w:p>
        </w:tc>
      </w:tr>
      <w:tr>
        <w:trPr>
          <w:trHeight w:val="155"/>
        </w:trPr>
        <w:tc>
          <w:tcPr>
            <w:tcW w:w="7400" w:type="dxa"/>
            <w:vAlign w:val="bottom"/>
            <w:gridSpan w:val="2"/>
          </w:tcPr>
          <w:p>
            <w:pPr>
              <w:spacing w:after="0"/>
              <w:rPr>
                <w:sz w:val="20"/>
                <w:szCs w:val="20"/>
                <w:color w:val="auto"/>
              </w:rPr>
            </w:pPr>
            <w:r>
              <w:rPr>
                <w:rFonts w:ascii="Arial" w:cs="Arial" w:eastAsia="Arial" w:hAnsi="Arial"/>
                <w:sz w:val="12"/>
                <w:szCs w:val="12"/>
                <w:b w:val="1"/>
                <w:bCs w:val="1"/>
                <w:color w:val="auto"/>
              </w:rPr>
              <w:t>Earnings per share</w:t>
            </w: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Diluted earnings per common share</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7.37</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6.73</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6.00</w:t>
            </w:r>
          </w:p>
        </w:tc>
        <w:tc>
          <w:tcPr>
            <w:tcW w:w="0" w:type="dxa"/>
            <w:vAlign w:val="bottom"/>
          </w:tcPr>
          <w:p>
            <w:pPr>
              <w:spacing w:after="0"/>
              <w:rPr>
                <w:sz w:val="1"/>
                <w:szCs w:val="1"/>
                <w:color w:val="auto"/>
              </w:rPr>
            </w:pPr>
          </w:p>
        </w:tc>
      </w:tr>
      <w:tr>
        <w:trPr>
          <w:trHeight w:val="147"/>
        </w:trPr>
        <w:tc>
          <w:tcPr>
            <w:tcW w:w="7400" w:type="dxa"/>
            <w:vAlign w:val="bottom"/>
            <w:gridSpan w:val="2"/>
          </w:tcPr>
          <w:p>
            <w:pPr>
              <w:spacing w:after="0"/>
              <w:rPr>
                <w:sz w:val="20"/>
                <w:szCs w:val="20"/>
                <w:color w:val="auto"/>
              </w:rPr>
            </w:pPr>
            <w:r>
              <w:rPr>
                <w:rFonts w:ascii="Arial" w:cs="Arial" w:eastAsia="Arial" w:hAnsi="Arial"/>
                <w:sz w:val="12"/>
                <w:szCs w:val="12"/>
                <w:color w:val="auto"/>
              </w:rPr>
              <w:t>Amortization of core deposit and other intangible assets(a)</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.30</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.38</w:t>
            </w:r>
          </w:p>
        </w:tc>
        <w:tc>
          <w:tcPr>
            <w:tcW w:w="0" w:type="dxa"/>
            <w:vAlign w:val="bottom"/>
          </w:tcPr>
          <w:p>
            <w:pPr>
              <w:spacing w:after="0"/>
              <w:rPr>
                <w:sz w:val="1"/>
                <w:szCs w:val="1"/>
                <w:color w:val="auto"/>
              </w:rPr>
            </w:pPr>
          </w:p>
        </w:tc>
      </w:tr>
      <w:tr>
        <w:trPr>
          <w:trHeight w:val="147"/>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Merger-related expenses(a)</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ind w:left="120"/>
              <w:spacing w:after="0"/>
              <w:rPr>
                <w:sz w:val="20"/>
                <w:szCs w:val="20"/>
                <w:color w:val="auto"/>
              </w:rPr>
            </w:pPr>
            <w:r>
              <w:rPr>
                <w:rFonts w:ascii="Arial" w:cs="Arial" w:eastAsia="Arial" w:hAnsi="Arial"/>
                <w:sz w:val="12"/>
                <w:szCs w:val="12"/>
                <w:color w:val="auto"/>
              </w:rPr>
              <w:t>Diluted net operating earnings per share</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400" w:type="dxa"/>
            <w:vAlign w:val="bottom"/>
            <w:gridSpan w:val="2"/>
            <w:vMerge w:val="continue"/>
          </w:tcPr>
          <w:p>
            <w:pPr>
              <w:spacing w:after="0"/>
              <w:rPr>
                <w:sz w:val="13"/>
                <w:szCs w:val="13"/>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7.73</w:t>
            </w:r>
          </w:p>
        </w:tc>
        <w:tc>
          <w:tcPr>
            <w:tcW w:w="220" w:type="dxa"/>
            <w:vAlign w:val="bottom"/>
          </w:tcPr>
          <w:p>
            <w:pPr>
              <w:spacing w:after="0"/>
              <w:rPr>
                <w:sz w:val="13"/>
                <w:szCs w:val="13"/>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7.03</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6.38</w:t>
            </w:r>
          </w:p>
        </w:tc>
        <w:tc>
          <w:tcPr>
            <w:tcW w:w="0" w:type="dxa"/>
            <w:vAlign w:val="bottom"/>
          </w:tcPr>
          <w:p>
            <w:pPr>
              <w:spacing w:after="0"/>
              <w:rPr>
                <w:sz w:val="1"/>
                <w:szCs w:val="1"/>
                <w:color w:val="auto"/>
              </w:rPr>
            </w:pPr>
          </w:p>
        </w:tc>
      </w:tr>
      <w:tr>
        <w:trPr>
          <w:trHeight w:val="155"/>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Other expense</w:t>
            </w: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400" w:type="dxa"/>
            <w:vAlign w:val="bottom"/>
            <w:gridSpan w:val="2"/>
          </w:tcPr>
          <w:p>
            <w:pPr>
              <w:spacing w:after="0"/>
              <w:rPr>
                <w:sz w:val="20"/>
                <w:szCs w:val="20"/>
                <w:color w:val="auto"/>
              </w:rPr>
            </w:pPr>
            <w:r>
              <w:rPr>
                <w:rFonts w:ascii="Arial" w:cs="Arial" w:eastAsia="Arial" w:hAnsi="Arial"/>
                <w:sz w:val="12"/>
                <w:szCs w:val="12"/>
                <w:color w:val="auto"/>
              </w:rPr>
              <w:t>Other expense</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1,551,751</w:t>
            </w:r>
          </w:p>
        </w:tc>
        <w:tc>
          <w:tcPr>
            <w:tcW w:w="220" w:type="dxa"/>
            <w:vAlign w:val="bottom"/>
          </w:tcPr>
          <w:p>
            <w:pPr>
              <w:spacing w:after="0"/>
              <w:rPr>
                <w:sz w:val="12"/>
                <w:szCs w:val="12"/>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w w:val="97"/>
              </w:rPr>
              <w:t>1,485,142</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w w:val="97"/>
              </w:rPr>
              <w:t>1,516,018</w:t>
            </w:r>
          </w:p>
        </w:tc>
        <w:tc>
          <w:tcPr>
            <w:tcW w:w="0" w:type="dxa"/>
            <w:vAlign w:val="bottom"/>
          </w:tcPr>
          <w:p>
            <w:pPr>
              <w:spacing w:after="0"/>
              <w:rPr>
                <w:sz w:val="1"/>
                <w:szCs w:val="1"/>
                <w:color w:val="auto"/>
              </w:rPr>
            </w:pPr>
          </w:p>
        </w:tc>
      </w:tr>
      <w:tr>
        <w:trPr>
          <w:trHeight w:val="147"/>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Amortization of core deposit and other intangible assets</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(63,008)</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(56,805)</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(75,410)</w:t>
            </w:r>
          </w:p>
        </w:tc>
        <w:tc>
          <w:tcPr>
            <w:tcW w:w="0" w:type="dxa"/>
            <w:vAlign w:val="bottom"/>
          </w:tcPr>
          <w:p>
            <w:pPr>
              <w:spacing w:after="0"/>
              <w:rPr>
                <w:sz w:val="1"/>
                <w:szCs w:val="1"/>
                <w:color w:val="auto"/>
              </w:rPr>
            </w:pPr>
          </w:p>
        </w:tc>
      </w:tr>
      <w:tr>
        <w:trPr>
          <w:trHeight w:val="147"/>
        </w:trPr>
        <w:tc>
          <w:tcPr>
            <w:tcW w:w="7400" w:type="dxa"/>
            <w:vAlign w:val="bottom"/>
            <w:gridSpan w:val="2"/>
          </w:tcPr>
          <w:p>
            <w:pPr>
              <w:spacing w:after="0"/>
              <w:rPr>
                <w:sz w:val="20"/>
                <w:szCs w:val="20"/>
                <w:color w:val="auto"/>
              </w:rPr>
            </w:pPr>
            <w:r>
              <w:rPr>
                <w:rFonts w:ascii="Arial" w:cs="Arial" w:eastAsia="Arial" w:hAnsi="Arial"/>
                <w:sz w:val="12"/>
                <w:szCs w:val="12"/>
                <w:color w:val="auto"/>
              </w:rPr>
              <w:t>Merger-related expenses</w:t>
            </w:r>
          </w:p>
        </w:tc>
        <w:tc>
          <w:tcPr>
            <w:tcW w:w="14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(4,997)</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4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Noninterest operating expense</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1,483,746</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w w:val="97"/>
              </w:rPr>
              <w:t>1,428,337</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97"/>
              </w:rPr>
              <w:t>1,440,608</w:t>
            </w:r>
          </w:p>
        </w:tc>
        <w:tc>
          <w:tcPr>
            <w:tcW w:w="0" w:type="dxa"/>
            <w:vAlign w:val="bottom"/>
          </w:tcPr>
          <w:p>
            <w:pPr>
              <w:spacing w:after="0"/>
              <w:rPr>
                <w:sz w:val="1"/>
                <w:szCs w:val="1"/>
                <w:color w:val="auto"/>
              </w:rPr>
            </w:pPr>
          </w:p>
        </w:tc>
      </w:tr>
      <w:tr>
        <w:trPr>
          <w:trHeight w:val="155"/>
        </w:trPr>
        <w:tc>
          <w:tcPr>
            <w:tcW w:w="7400" w:type="dxa"/>
            <w:vAlign w:val="bottom"/>
            <w:gridSpan w:val="2"/>
          </w:tcPr>
          <w:p>
            <w:pPr>
              <w:spacing w:after="0"/>
              <w:rPr>
                <w:sz w:val="20"/>
                <w:szCs w:val="20"/>
                <w:color w:val="auto"/>
              </w:rPr>
            </w:pPr>
            <w:r>
              <w:rPr>
                <w:rFonts w:ascii="Arial" w:cs="Arial" w:eastAsia="Arial" w:hAnsi="Arial"/>
                <w:sz w:val="12"/>
                <w:szCs w:val="12"/>
                <w:b w:val="1"/>
                <w:bCs w:val="1"/>
                <w:color w:val="auto"/>
              </w:rPr>
              <w:t>Merger-related expenses</w:t>
            </w: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Salaries and employee benefits</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815</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400" w:type="dxa"/>
            <w:vAlign w:val="bottom"/>
            <w:gridSpan w:val="2"/>
          </w:tcPr>
          <w:p>
            <w:pPr>
              <w:spacing w:after="0"/>
              <w:rPr>
                <w:sz w:val="20"/>
                <w:szCs w:val="20"/>
                <w:color w:val="auto"/>
              </w:rPr>
            </w:pPr>
            <w:r>
              <w:rPr>
                <w:rFonts w:ascii="Arial" w:cs="Arial" w:eastAsia="Arial" w:hAnsi="Arial"/>
                <w:sz w:val="12"/>
                <w:szCs w:val="12"/>
                <w:color w:val="auto"/>
              </w:rPr>
              <w:t>Equipment and net occupancy</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224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Printing, postage and supplies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7"/>
        </w:trPr>
        <w:tc>
          <w:tcPr>
            <w:tcW w:w="7400" w:type="dxa"/>
            <w:vAlign w:val="bottom"/>
            <w:gridSpan w:val="2"/>
          </w:tcPr>
          <w:p>
            <w:pPr>
              <w:spacing w:after="0"/>
              <w:rPr>
                <w:sz w:val="20"/>
                <w:szCs w:val="20"/>
                <w:color w:val="auto"/>
              </w:rPr>
            </w:pPr>
            <w:r>
              <w:rPr>
                <w:rFonts w:ascii="Arial" w:cs="Arial" w:eastAsia="Arial" w:hAnsi="Arial"/>
                <w:sz w:val="12"/>
                <w:szCs w:val="12"/>
                <w:color w:val="auto"/>
              </w:rPr>
              <w:t>Other costs of operations</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3,803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4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Total</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4,997</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5"/>
        </w:trPr>
        <w:tc>
          <w:tcPr>
            <w:tcW w:w="7400" w:type="dxa"/>
            <w:vAlign w:val="bottom"/>
            <w:gridSpan w:val="2"/>
          </w:tcPr>
          <w:p>
            <w:pPr>
              <w:spacing w:after="0"/>
              <w:rPr>
                <w:sz w:val="20"/>
                <w:szCs w:val="20"/>
                <w:color w:val="auto"/>
              </w:rPr>
            </w:pPr>
            <w:r>
              <w:rPr>
                <w:rFonts w:ascii="Arial" w:cs="Arial" w:eastAsia="Arial" w:hAnsi="Arial"/>
                <w:sz w:val="12"/>
                <w:szCs w:val="12"/>
                <w:b w:val="1"/>
                <w:bCs w:val="1"/>
                <w:color w:val="auto"/>
              </w:rPr>
              <w:t>Balance sheet data</w:t>
            </w: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In millions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400" w:type="dxa"/>
            <w:vAlign w:val="bottom"/>
            <w:gridSpan w:val="2"/>
          </w:tcPr>
          <w:p>
            <w:pPr>
              <w:spacing w:after="0"/>
              <w:rPr>
                <w:sz w:val="20"/>
                <w:szCs w:val="20"/>
                <w:color w:val="auto"/>
              </w:rPr>
            </w:pPr>
            <w:r>
              <w:rPr>
                <w:rFonts w:ascii="Arial" w:cs="Arial" w:eastAsia="Arial" w:hAnsi="Arial"/>
                <w:sz w:val="12"/>
                <w:szCs w:val="12"/>
                <w:b w:val="1"/>
                <w:bCs w:val="1"/>
                <w:color w:val="auto"/>
              </w:rPr>
              <w:t>Average assets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Average assets</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55,839</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54,135</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51,517</w:t>
            </w:r>
          </w:p>
        </w:tc>
        <w:tc>
          <w:tcPr>
            <w:tcW w:w="0" w:type="dxa"/>
            <w:vAlign w:val="bottom"/>
          </w:tcPr>
          <w:p>
            <w:pPr>
              <w:spacing w:after="0"/>
              <w:rPr>
                <w:sz w:val="1"/>
                <w:szCs w:val="1"/>
                <w:color w:val="auto"/>
              </w:rPr>
            </w:pPr>
          </w:p>
        </w:tc>
      </w:tr>
      <w:tr>
        <w:trPr>
          <w:trHeight w:val="147"/>
        </w:trPr>
        <w:tc>
          <w:tcPr>
            <w:tcW w:w="7400" w:type="dxa"/>
            <w:vAlign w:val="bottom"/>
            <w:gridSpan w:val="2"/>
          </w:tcPr>
          <w:p>
            <w:pPr>
              <w:spacing w:after="0"/>
              <w:rPr>
                <w:sz w:val="20"/>
                <w:szCs w:val="20"/>
                <w:color w:val="auto"/>
              </w:rPr>
            </w:pPr>
            <w:r>
              <w:rPr>
                <w:rFonts w:ascii="Arial" w:cs="Arial" w:eastAsia="Arial" w:hAnsi="Arial"/>
                <w:sz w:val="12"/>
                <w:szCs w:val="12"/>
                <w:color w:val="auto"/>
              </w:rPr>
              <w:t>Goodwill</w:t>
            </w:r>
          </w:p>
        </w:tc>
        <w:tc>
          <w:tcPr>
            <w:tcW w:w="14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(2,908)</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(2,904)</w:t>
            </w: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(2,904)</w:t>
            </w:r>
          </w:p>
        </w:tc>
        <w:tc>
          <w:tcPr>
            <w:tcW w:w="0" w:type="dxa"/>
            <w:vAlign w:val="bottom"/>
          </w:tcPr>
          <w:p>
            <w:pPr>
              <w:spacing w:after="0"/>
              <w:rPr>
                <w:sz w:val="1"/>
                <w:szCs w:val="1"/>
                <w:color w:val="auto"/>
              </w:rPr>
            </w:pPr>
          </w:p>
        </w:tc>
      </w:tr>
      <w:tr>
        <w:trPr>
          <w:trHeight w:val="147"/>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Core deposit and other intangible assets</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(191)</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(135)</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(201)</w:t>
            </w:r>
          </w:p>
        </w:tc>
        <w:tc>
          <w:tcPr>
            <w:tcW w:w="0" w:type="dxa"/>
            <w:vAlign w:val="bottom"/>
          </w:tcPr>
          <w:p>
            <w:pPr>
              <w:spacing w:after="0"/>
              <w:rPr>
                <w:sz w:val="1"/>
                <w:szCs w:val="1"/>
                <w:color w:val="auto"/>
              </w:rPr>
            </w:pPr>
          </w:p>
        </w:tc>
      </w:tr>
      <w:tr>
        <w:trPr>
          <w:trHeight w:val="147"/>
        </w:trPr>
        <w:tc>
          <w:tcPr>
            <w:tcW w:w="7400" w:type="dxa"/>
            <w:vAlign w:val="bottom"/>
            <w:gridSpan w:val="2"/>
          </w:tcPr>
          <w:p>
            <w:pPr>
              <w:spacing w:after="0"/>
              <w:rPr>
                <w:sz w:val="20"/>
                <w:szCs w:val="20"/>
                <w:color w:val="auto"/>
              </w:rPr>
            </w:pPr>
            <w:r>
              <w:rPr>
                <w:rFonts w:ascii="Arial" w:cs="Arial" w:eastAsia="Arial" w:hAnsi="Arial"/>
                <w:sz w:val="12"/>
                <w:szCs w:val="12"/>
                <w:color w:val="auto"/>
              </w:rPr>
              <w:t>Deferred taxes</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52</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4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Average tangible assets</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52,778</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51,148</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48,412</w:t>
            </w:r>
          </w:p>
        </w:tc>
        <w:tc>
          <w:tcPr>
            <w:tcW w:w="0" w:type="dxa"/>
            <w:vAlign w:val="bottom"/>
          </w:tcPr>
          <w:p>
            <w:pPr>
              <w:spacing w:after="0"/>
              <w:rPr>
                <w:sz w:val="1"/>
                <w:szCs w:val="1"/>
                <w:color w:val="auto"/>
              </w:rPr>
            </w:pPr>
          </w:p>
        </w:tc>
      </w:tr>
      <w:tr>
        <w:trPr>
          <w:trHeight w:val="155"/>
        </w:trPr>
        <w:tc>
          <w:tcPr>
            <w:tcW w:w="7400" w:type="dxa"/>
            <w:vAlign w:val="bottom"/>
            <w:gridSpan w:val="2"/>
          </w:tcPr>
          <w:p>
            <w:pPr>
              <w:spacing w:after="0"/>
              <w:rPr>
                <w:sz w:val="20"/>
                <w:szCs w:val="20"/>
                <w:color w:val="auto"/>
              </w:rPr>
            </w:pPr>
            <w:r>
              <w:rPr>
                <w:rFonts w:ascii="Arial" w:cs="Arial" w:eastAsia="Arial" w:hAnsi="Arial"/>
                <w:sz w:val="12"/>
                <w:szCs w:val="12"/>
                <w:b w:val="1"/>
                <w:bCs w:val="1"/>
                <w:color w:val="auto"/>
              </w:rPr>
              <w:t>Average equity</w:t>
            </w: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Average equity</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6,041</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5,798</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5,701</w:t>
            </w:r>
          </w:p>
        </w:tc>
        <w:tc>
          <w:tcPr>
            <w:tcW w:w="0" w:type="dxa"/>
            <w:vAlign w:val="bottom"/>
          </w:tcPr>
          <w:p>
            <w:pPr>
              <w:spacing w:after="0"/>
              <w:rPr>
                <w:sz w:val="1"/>
                <w:szCs w:val="1"/>
                <w:color w:val="auto"/>
              </w:rPr>
            </w:pPr>
          </w:p>
        </w:tc>
      </w:tr>
      <w:tr>
        <w:trPr>
          <w:trHeight w:val="147"/>
        </w:trPr>
        <w:tc>
          <w:tcPr>
            <w:tcW w:w="7400" w:type="dxa"/>
            <w:vAlign w:val="bottom"/>
            <w:gridSpan w:val="2"/>
          </w:tcPr>
          <w:p>
            <w:pPr>
              <w:spacing w:after="0"/>
              <w:rPr>
                <w:sz w:val="20"/>
                <w:szCs w:val="20"/>
                <w:color w:val="auto"/>
              </w:rPr>
            </w:pPr>
            <w:r>
              <w:rPr>
                <w:rFonts w:ascii="Arial" w:cs="Arial" w:eastAsia="Arial" w:hAnsi="Arial"/>
                <w:sz w:val="12"/>
                <w:szCs w:val="12"/>
                <w:color w:val="auto"/>
              </w:rPr>
              <w:t>Goodwill</w:t>
            </w:r>
          </w:p>
        </w:tc>
        <w:tc>
          <w:tcPr>
            <w:tcW w:w="14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(2,908)</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(2,904)</w:t>
            </w: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(2,904)</w:t>
            </w:r>
          </w:p>
        </w:tc>
        <w:tc>
          <w:tcPr>
            <w:tcW w:w="0" w:type="dxa"/>
            <w:vAlign w:val="bottom"/>
          </w:tcPr>
          <w:p>
            <w:pPr>
              <w:spacing w:after="0"/>
              <w:rPr>
                <w:sz w:val="1"/>
                <w:szCs w:val="1"/>
                <w:color w:val="auto"/>
              </w:rPr>
            </w:pPr>
          </w:p>
        </w:tc>
      </w:tr>
      <w:tr>
        <w:trPr>
          <w:trHeight w:val="147"/>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Core deposit and other intangible assets</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(191)</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(135)</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(201)</w:t>
            </w:r>
          </w:p>
        </w:tc>
        <w:tc>
          <w:tcPr>
            <w:tcW w:w="0" w:type="dxa"/>
            <w:vAlign w:val="bottom"/>
          </w:tcPr>
          <w:p>
            <w:pPr>
              <w:spacing w:after="0"/>
              <w:rPr>
                <w:sz w:val="1"/>
                <w:szCs w:val="1"/>
                <w:color w:val="auto"/>
              </w:rPr>
            </w:pPr>
          </w:p>
        </w:tc>
      </w:tr>
      <w:tr>
        <w:trPr>
          <w:trHeight w:val="147"/>
        </w:trPr>
        <w:tc>
          <w:tcPr>
            <w:tcW w:w="7400" w:type="dxa"/>
            <w:vAlign w:val="bottom"/>
            <w:gridSpan w:val="2"/>
          </w:tcPr>
          <w:p>
            <w:pPr>
              <w:spacing w:after="0"/>
              <w:rPr>
                <w:sz w:val="20"/>
                <w:szCs w:val="20"/>
                <w:color w:val="auto"/>
              </w:rPr>
            </w:pPr>
            <w:r>
              <w:rPr>
                <w:rFonts w:ascii="Arial" w:cs="Arial" w:eastAsia="Arial" w:hAnsi="Arial"/>
                <w:sz w:val="12"/>
                <w:szCs w:val="12"/>
                <w:color w:val="auto"/>
              </w:rPr>
              <w:t>Deferred taxes</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52</w:t>
            </w:r>
          </w:p>
        </w:tc>
        <w:tc>
          <w:tcPr>
            <w:tcW w:w="14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76</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400" w:type="dxa"/>
            <w:vAlign w:val="bottom"/>
            <w:gridSpan w:val="2"/>
            <w:shd w:val="clear" w:color="auto" w:fill="CCEEFF"/>
          </w:tcPr>
          <w:p>
            <w:pPr>
              <w:ind w:left="120"/>
              <w:spacing w:after="0"/>
              <w:rPr>
                <w:sz w:val="20"/>
                <w:szCs w:val="20"/>
                <w:color w:val="auto"/>
              </w:rPr>
            </w:pPr>
            <w:r>
              <w:rPr>
                <w:rFonts w:ascii="Arial" w:cs="Arial" w:eastAsia="Arial" w:hAnsi="Arial"/>
                <w:sz w:val="12"/>
                <w:szCs w:val="12"/>
                <w:color w:val="auto"/>
              </w:rPr>
              <w:t>Average tangible equity</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2,980</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2,811</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2,672</w:t>
            </w:r>
          </w:p>
        </w:tc>
        <w:tc>
          <w:tcPr>
            <w:tcW w:w="0" w:type="dxa"/>
            <w:vAlign w:val="bottom"/>
          </w:tcPr>
          <w:p>
            <w:pPr>
              <w:spacing w:after="0"/>
              <w:rPr>
                <w:sz w:val="1"/>
                <w:szCs w:val="1"/>
                <w:color w:val="auto"/>
              </w:rPr>
            </w:pPr>
          </w:p>
        </w:tc>
      </w:tr>
      <w:tr>
        <w:trPr>
          <w:trHeight w:val="155"/>
        </w:trPr>
        <w:tc>
          <w:tcPr>
            <w:tcW w:w="7400" w:type="dxa"/>
            <w:vAlign w:val="bottom"/>
            <w:gridSpan w:val="2"/>
          </w:tcPr>
          <w:p>
            <w:pPr>
              <w:spacing w:after="0"/>
              <w:rPr>
                <w:sz w:val="20"/>
                <w:szCs w:val="20"/>
                <w:color w:val="auto"/>
              </w:rPr>
            </w:pPr>
            <w:r>
              <w:rPr>
                <w:rFonts w:ascii="Arial" w:cs="Arial" w:eastAsia="Arial" w:hAnsi="Arial"/>
                <w:sz w:val="12"/>
                <w:szCs w:val="12"/>
                <w:b w:val="1"/>
                <w:bCs w:val="1"/>
                <w:color w:val="auto"/>
              </w:rPr>
              <w:t>At end of year</w:t>
            </w: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 assets</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400" w:type="dxa"/>
            <w:vAlign w:val="bottom"/>
            <w:gridSpan w:val="2"/>
          </w:tcPr>
          <w:p>
            <w:pPr>
              <w:spacing w:after="0"/>
              <w:rPr>
                <w:sz w:val="20"/>
                <w:szCs w:val="20"/>
                <w:color w:val="auto"/>
              </w:rPr>
            </w:pPr>
            <w:r>
              <w:rPr>
                <w:rFonts w:ascii="Arial" w:cs="Arial" w:eastAsia="Arial" w:hAnsi="Arial"/>
                <w:sz w:val="12"/>
                <w:szCs w:val="12"/>
                <w:color w:val="auto"/>
              </w:rPr>
              <w:t>Total assets</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57,065</w:t>
            </w:r>
          </w:p>
        </w:tc>
        <w:tc>
          <w:tcPr>
            <w:tcW w:w="220" w:type="dxa"/>
            <w:vAlign w:val="bottom"/>
          </w:tcPr>
          <w:p>
            <w:pPr>
              <w:spacing w:after="0"/>
              <w:rPr>
                <w:sz w:val="12"/>
                <w:szCs w:val="12"/>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55,146</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52,939</w:t>
            </w:r>
          </w:p>
        </w:tc>
        <w:tc>
          <w:tcPr>
            <w:tcW w:w="0" w:type="dxa"/>
            <w:vAlign w:val="bottom"/>
          </w:tcPr>
          <w:p>
            <w:pPr>
              <w:spacing w:after="0"/>
              <w:rPr>
                <w:sz w:val="1"/>
                <w:szCs w:val="1"/>
                <w:color w:val="auto"/>
              </w:rPr>
            </w:pPr>
          </w:p>
        </w:tc>
      </w:tr>
      <w:tr>
        <w:trPr>
          <w:trHeight w:val="147"/>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Goodwill</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(2,909)</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(2,904)</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(2,904)</w:t>
            </w:r>
          </w:p>
        </w:tc>
        <w:tc>
          <w:tcPr>
            <w:tcW w:w="0" w:type="dxa"/>
            <w:vAlign w:val="bottom"/>
          </w:tcPr>
          <w:p>
            <w:pPr>
              <w:spacing w:after="0"/>
              <w:rPr>
                <w:sz w:val="1"/>
                <w:szCs w:val="1"/>
                <w:color w:val="auto"/>
              </w:rPr>
            </w:pPr>
          </w:p>
        </w:tc>
      </w:tr>
      <w:tr>
        <w:trPr>
          <w:trHeight w:val="147"/>
        </w:trPr>
        <w:tc>
          <w:tcPr>
            <w:tcW w:w="7400" w:type="dxa"/>
            <w:vAlign w:val="bottom"/>
            <w:gridSpan w:val="2"/>
          </w:tcPr>
          <w:p>
            <w:pPr>
              <w:spacing w:after="0"/>
              <w:rPr>
                <w:sz w:val="20"/>
                <w:szCs w:val="20"/>
                <w:color w:val="auto"/>
              </w:rPr>
            </w:pPr>
            <w:r>
              <w:rPr>
                <w:rFonts w:ascii="Arial" w:cs="Arial" w:eastAsia="Arial" w:hAnsi="Arial"/>
                <w:sz w:val="12"/>
                <w:szCs w:val="12"/>
                <w:color w:val="auto"/>
              </w:rPr>
              <w:t>Core deposit and other intangible assets</w:t>
            </w:r>
          </w:p>
        </w:tc>
        <w:tc>
          <w:tcPr>
            <w:tcW w:w="14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(250)</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(108)</w:t>
            </w: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(166)</w:t>
            </w:r>
          </w:p>
        </w:tc>
        <w:tc>
          <w:tcPr>
            <w:tcW w:w="0" w:type="dxa"/>
            <w:vAlign w:val="bottom"/>
          </w:tcPr>
          <w:p>
            <w:pPr>
              <w:spacing w:after="0"/>
              <w:rPr>
                <w:sz w:val="1"/>
                <w:szCs w:val="1"/>
                <w:color w:val="auto"/>
              </w:rPr>
            </w:pPr>
          </w:p>
        </w:tc>
      </w:tr>
      <w:tr>
        <w:trPr>
          <w:trHeight w:val="147"/>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Deferred taxes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42</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ind w:left="120"/>
              <w:spacing w:after="0"/>
              <w:rPr>
                <w:sz w:val="20"/>
                <w:szCs w:val="20"/>
                <w:color w:val="auto"/>
              </w:rPr>
            </w:pPr>
            <w:r>
              <w:rPr>
                <w:rFonts w:ascii="Arial" w:cs="Arial" w:eastAsia="Arial" w:hAnsi="Arial"/>
                <w:sz w:val="12"/>
                <w:szCs w:val="12"/>
                <w:color w:val="auto"/>
              </w:rPr>
              <w:t>Total tangible assets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400" w:type="dxa"/>
            <w:vAlign w:val="bottom"/>
            <w:gridSpan w:val="2"/>
            <w:vMerge w:val="continue"/>
          </w:tcPr>
          <w:p>
            <w:pPr>
              <w:spacing w:after="0"/>
              <w:rPr>
                <w:sz w:val="13"/>
                <w:szCs w:val="13"/>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53,936</w:t>
            </w:r>
          </w:p>
        </w:tc>
        <w:tc>
          <w:tcPr>
            <w:tcW w:w="220" w:type="dxa"/>
            <w:vAlign w:val="bottom"/>
          </w:tcPr>
          <w:p>
            <w:pPr>
              <w:spacing w:after="0"/>
              <w:rPr>
                <w:sz w:val="13"/>
                <w:szCs w:val="13"/>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52,176</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49,869</w:t>
            </w:r>
          </w:p>
        </w:tc>
        <w:tc>
          <w:tcPr>
            <w:tcW w:w="0" w:type="dxa"/>
            <w:vAlign w:val="bottom"/>
          </w:tcPr>
          <w:p>
            <w:pPr>
              <w:spacing w:after="0"/>
              <w:rPr>
                <w:sz w:val="1"/>
                <w:szCs w:val="1"/>
                <w:color w:val="auto"/>
              </w:rPr>
            </w:pPr>
          </w:p>
        </w:tc>
      </w:tr>
      <w:tr>
        <w:trPr>
          <w:trHeight w:val="155"/>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Total equity</w:t>
            </w: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7400" w:type="dxa"/>
            <w:vAlign w:val="bottom"/>
            <w:gridSpan w:val="2"/>
          </w:tcPr>
          <w:p>
            <w:pPr>
              <w:spacing w:after="0"/>
              <w:rPr>
                <w:sz w:val="20"/>
                <w:szCs w:val="20"/>
                <w:color w:val="auto"/>
              </w:rPr>
            </w:pPr>
            <w:r>
              <w:rPr>
                <w:rFonts w:ascii="Arial" w:cs="Arial" w:eastAsia="Arial" w:hAnsi="Arial"/>
                <w:sz w:val="12"/>
                <w:szCs w:val="12"/>
                <w:color w:val="auto"/>
              </w:rPr>
              <w:t>Total equity</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6,281</w:t>
            </w:r>
          </w:p>
        </w:tc>
        <w:tc>
          <w:tcPr>
            <w:tcW w:w="220" w:type="dxa"/>
            <w:vAlign w:val="bottom"/>
          </w:tcPr>
          <w:p>
            <w:pPr>
              <w:spacing w:after="0"/>
              <w:rPr>
                <w:sz w:val="12"/>
                <w:szCs w:val="12"/>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5,876</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5,730</w:t>
            </w:r>
          </w:p>
        </w:tc>
        <w:tc>
          <w:tcPr>
            <w:tcW w:w="0" w:type="dxa"/>
            <w:vAlign w:val="bottom"/>
          </w:tcPr>
          <w:p>
            <w:pPr>
              <w:spacing w:after="0"/>
              <w:rPr>
                <w:sz w:val="1"/>
                <w:szCs w:val="1"/>
                <w:color w:val="auto"/>
              </w:rPr>
            </w:pPr>
          </w:p>
        </w:tc>
      </w:tr>
      <w:tr>
        <w:trPr>
          <w:trHeight w:val="147"/>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Goodwill</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(2,909)</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(2,904)</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(2,904)</w:t>
            </w:r>
          </w:p>
        </w:tc>
        <w:tc>
          <w:tcPr>
            <w:tcW w:w="0" w:type="dxa"/>
            <w:vAlign w:val="bottom"/>
          </w:tcPr>
          <w:p>
            <w:pPr>
              <w:spacing w:after="0"/>
              <w:rPr>
                <w:sz w:val="1"/>
                <w:szCs w:val="1"/>
                <w:color w:val="auto"/>
              </w:rPr>
            </w:pPr>
          </w:p>
        </w:tc>
      </w:tr>
      <w:tr>
        <w:trPr>
          <w:trHeight w:val="147"/>
        </w:trPr>
        <w:tc>
          <w:tcPr>
            <w:tcW w:w="7400" w:type="dxa"/>
            <w:vAlign w:val="bottom"/>
            <w:gridSpan w:val="2"/>
          </w:tcPr>
          <w:p>
            <w:pPr>
              <w:spacing w:after="0"/>
              <w:rPr>
                <w:sz w:val="20"/>
                <w:szCs w:val="20"/>
                <w:color w:val="auto"/>
              </w:rPr>
            </w:pPr>
            <w:r>
              <w:rPr>
                <w:rFonts w:ascii="Arial" w:cs="Arial" w:eastAsia="Arial" w:hAnsi="Arial"/>
                <w:sz w:val="12"/>
                <w:szCs w:val="12"/>
                <w:color w:val="auto"/>
              </w:rPr>
              <w:t>Core deposit and other intangible assets</w:t>
            </w:r>
          </w:p>
        </w:tc>
        <w:tc>
          <w:tcPr>
            <w:tcW w:w="14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2"/>
                <w:szCs w:val="12"/>
                <w:color w:val="auto"/>
              </w:rPr>
              <w:t>(250)</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(108)</w:t>
            </w: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(166)</w:t>
            </w:r>
          </w:p>
        </w:tc>
        <w:tc>
          <w:tcPr>
            <w:tcW w:w="0" w:type="dxa"/>
            <w:vAlign w:val="bottom"/>
          </w:tcPr>
          <w:p>
            <w:pPr>
              <w:spacing w:after="0"/>
              <w:rPr>
                <w:sz w:val="1"/>
                <w:szCs w:val="1"/>
                <w:color w:val="auto"/>
              </w:rPr>
            </w:pPr>
          </w:p>
        </w:tc>
      </w:tr>
      <w:tr>
        <w:trPr>
          <w:trHeight w:val="147"/>
        </w:trPr>
        <w:tc>
          <w:tcPr>
            <w:tcW w:w="7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Deferred taxes</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42</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64</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ind w:left="120"/>
              <w:spacing w:after="0"/>
              <w:rPr>
                <w:sz w:val="20"/>
                <w:szCs w:val="20"/>
                <w:color w:val="auto"/>
              </w:rPr>
            </w:pPr>
            <w:r>
              <w:rPr>
                <w:rFonts w:ascii="Arial" w:cs="Arial" w:eastAsia="Arial" w:hAnsi="Arial"/>
                <w:sz w:val="12"/>
                <w:szCs w:val="12"/>
                <w:color w:val="auto"/>
              </w:rPr>
              <w:t>Total tangible equity</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400" w:type="dxa"/>
            <w:vAlign w:val="bottom"/>
            <w:gridSpan w:val="2"/>
            <w:vMerge w:val="continue"/>
          </w:tcPr>
          <w:p>
            <w:pPr>
              <w:spacing w:after="0"/>
              <w:rPr>
                <w:sz w:val="13"/>
                <w:szCs w:val="13"/>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3,152</w:t>
            </w:r>
          </w:p>
        </w:tc>
        <w:tc>
          <w:tcPr>
            <w:tcW w:w="220" w:type="dxa"/>
            <w:vAlign w:val="bottom"/>
          </w:tcPr>
          <w:p>
            <w:pPr>
              <w:spacing w:after="0"/>
              <w:rPr>
                <w:sz w:val="13"/>
                <w:szCs w:val="13"/>
                <w:color w:val="auto"/>
              </w:rPr>
            </w:pP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2,906</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2,724</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6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40"/>
        <w:spacing w:after="0"/>
        <w:rPr>
          <w:sz w:val="20"/>
          <w:szCs w:val="20"/>
          <w:color w:val="auto"/>
        </w:rPr>
      </w:pPr>
      <w:r>
        <w:rPr>
          <w:rFonts w:ascii="Arial" w:cs="Arial" w:eastAsia="Arial" w:hAnsi="Arial"/>
          <w:sz w:val="13"/>
          <w:szCs w:val="13"/>
          <w:i w:val="1"/>
          <w:iCs w:val="1"/>
          <w:color w:val="auto"/>
        </w:rPr>
        <w:t>(a)  After any related tax effect.</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Net Interest Income/Lending and Funding Activities</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Reflecting growth in average earning assets that was largely offset by a narrowing of the net interest margin, taxable-equivalent net interest income increased 1% to</w:t>
      </w:r>
    </w:p>
    <w:p>
      <w:pPr>
        <w:spacing w:after="0" w:line="18" w:lineRule="exact"/>
        <w:rPr>
          <w:sz w:val="20"/>
          <w:szCs w:val="20"/>
          <w:color w:val="auto"/>
        </w:rPr>
      </w:pPr>
    </w:p>
    <w:p>
      <w:pPr>
        <w:ind w:left="680" w:right="140"/>
        <w:spacing w:after="0" w:line="249" w:lineRule="auto"/>
        <w:rPr>
          <w:sz w:val="20"/>
          <w:szCs w:val="20"/>
          <w:color w:val="auto"/>
        </w:rPr>
      </w:pPr>
      <w:r>
        <w:rPr>
          <w:rFonts w:ascii="Arial" w:cs="Arial" w:eastAsia="Arial" w:hAnsi="Arial"/>
          <w:sz w:val="14"/>
          <w:szCs w:val="14"/>
          <w:color w:val="auto"/>
        </w:rPr>
        <w:t>$1.84 billion in 2006 from $1.81 billion in 2005. Average earning assets increased 3% to $49.7 billion in 2006 from $48.1 billion in 2005. That growth resulted from a 5% increase in average outstanding balances of loans and leases of $1.9 billion, offset in part by a 5% decline in average outstanding balances of investment securities of $441 million. The positive impact of higher average earning assets on taxable-equivalent net interest income was largely offset by a narrowing of the Company’s net interest margin, which declined to 3.70% in 2006 from 3.77% in 2005.</w:t>
      </w:r>
    </w:p>
    <w:p>
      <w:pPr>
        <w:jc w:val="both"/>
        <w:ind w:left="680" w:right="40" w:firstLine="599"/>
        <w:spacing w:after="0" w:line="268" w:lineRule="auto"/>
        <w:rPr>
          <w:sz w:val="20"/>
          <w:szCs w:val="20"/>
          <w:color w:val="auto"/>
        </w:rPr>
      </w:pPr>
      <w:r>
        <w:rPr>
          <w:rFonts w:ascii="Arial" w:cs="Arial" w:eastAsia="Arial" w:hAnsi="Arial"/>
          <w:sz w:val="13"/>
          <w:szCs w:val="13"/>
          <w:color w:val="auto"/>
        </w:rPr>
        <w:t>Average loans and leases outstanding aggregated $41.4 billion in 2006, up 5% from $39.5 billion in 2005. The higher average outstanding loan balances were the result of growth in commercial loans and leases, commercial real estate loans and residential real estate loans. Average commercial loans and leases rose 8% to $11.3 billion in 2006 from $10.5 billion in 2005. Commercial real estate loans averaged $15.1 billion during 2006, 5% higher than $14.3 billion in 2005, reflecting a $336 million rise in construction loans to developers of residential real estate properties. The Company’s residential real estate loan portfolio averaged $5.0 billion in 2006, up 28% from</w:t>
      </w:r>
    </w:p>
    <w:p>
      <w:pPr>
        <w:spacing w:after="0" w:line="1" w:lineRule="exact"/>
        <w:rPr>
          <w:sz w:val="20"/>
          <w:szCs w:val="20"/>
          <w:color w:val="auto"/>
        </w:rPr>
      </w:pPr>
    </w:p>
    <w:p>
      <w:pPr>
        <w:ind w:left="680" w:right="100"/>
        <w:spacing w:after="0" w:line="251" w:lineRule="auto"/>
        <w:rPr>
          <w:sz w:val="20"/>
          <w:szCs w:val="20"/>
          <w:color w:val="auto"/>
        </w:rPr>
      </w:pPr>
      <w:r>
        <w:rPr>
          <w:rFonts w:ascii="Arial" w:cs="Arial" w:eastAsia="Arial" w:hAnsi="Arial"/>
          <w:sz w:val="14"/>
          <w:szCs w:val="14"/>
          <w:color w:val="auto"/>
        </w:rPr>
        <w:t>$3.9 billion in 2005. Included in that portfolio were loans held for sale, which averaged $1.5 billion in 2006, 19% above the $1.2 billion averaged in 2005. Excluding such loans, average residential real estate loans increased $861 million from 2005 to 2006. That increase was largely the result of the Company’s decision to retain higher levels of residential real estate loans having certain characteristics, due to narrowing margins available in the marketplace when selling such loans and the lack of availability of investment securities to acquire that met the Company’s desired characteristics and provided suitable returns. Consumer loans and leases averaged $10.0 billion in 2006, down 7% from $10.8 billion in 2005. That decline was the result of lower average balances of automobile loans and leases, which decreased 22% to $2.9 billion in 2006 from $3.7 billion in 2005, reflecting the Company’s decision to allow such balances to decline rather than matching interest rates offered by competitors. During late 2006, the interest rate environment relating to the Company’s automobile lending business improved and from September 30 to December 31, outstanding balances of such loans increased slightly.</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3</w:t>
      </w:r>
    </w:p>
    <w:p>
      <w:pPr>
        <w:spacing w:after="0" w:line="95" w:lineRule="exact"/>
        <w:rPr>
          <w:sz w:val="20"/>
          <w:szCs w:val="20"/>
          <w:color w:val="auto"/>
        </w:rPr>
      </w:pPr>
    </w:p>
    <w:p>
      <w:pPr>
        <w:ind w:left="3380"/>
        <w:spacing w:after="0"/>
        <w:rPr>
          <w:sz w:val="20"/>
          <w:szCs w:val="20"/>
          <w:color w:val="auto"/>
        </w:rPr>
      </w:pPr>
      <w:r>
        <w:rPr>
          <w:rFonts w:ascii="Arial" w:cs="Arial" w:eastAsia="Arial" w:hAnsi="Arial"/>
          <w:sz w:val="14"/>
          <w:szCs w:val="14"/>
          <w:b w:val="1"/>
          <w:bCs w:val="1"/>
          <w:color w:val="auto"/>
        </w:rPr>
        <w:t>AVERAGE BALANCE SHEETS AND TAXABLE-EQUIVALENT RATES</w:t>
      </w:r>
    </w:p>
    <w:p>
      <w:pPr>
        <w:spacing w:after="0" w:line="112" w:lineRule="exact"/>
        <w:rPr>
          <w:sz w:val="20"/>
          <w:szCs w:val="20"/>
          <w:color w:val="auto"/>
        </w:rPr>
      </w:pPr>
    </w:p>
    <w:tbl>
      <w:tblPr>
        <w:tblLayout w:type="fixed"/>
        <w:tblInd w:w="680" w:type="dxa"/>
        <w:tblCellMar>
          <w:top w:w="0" w:type="dxa"/>
          <w:left w:w="0" w:type="dxa"/>
          <w:bottom w:w="0" w:type="dxa"/>
          <w:right w:w="0" w:type="dxa"/>
        </w:tblCellMar>
      </w:tblPr>
      <w:tr>
        <w:trPr>
          <w:trHeight w:val="98"/>
        </w:trPr>
        <w:tc>
          <w:tcPr>
            <w:tcW w:w="8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121"/>
              <w:spacing w:after="0"/>
              <w:rPr>
                <w:sz w:val="20"/>
                <w:szCs w:val="20"/>
                <w:color w:val="auto"/>
              </w:rPr>
            </w:pPr>
            <w:r>
              <w:rPr>
                <w:rFonts w:ascii="Arial" w:cs="Arial" w:eastAsia="Arial" w:hAnsi="Arial"/>
                <w:sz w:val="8"/>
                <w:szCs w:val="8"/>
                <w:b w:val="1"/>
                <w:bCs w:val="1"/>
                <w:color w:val="auto"/>
                <w:w w:val="89"/>
              </w:rPr>
              <w:t>2006</w:t>
            </w: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121"/>
              <w:spacing w:after="0"/>
              <w:rPr>
                <w:sz w:val="20"/>
                <w:szCs w:val="20"/>
                <w:color w:val="auto"/>
              </w:rPr>
            </w:pPr>
            <w:r>
              <w:rPr>
                <w:rFonts w:ascii="Arial" w:cs="Arial" w:eastAsia="Arial" w:hAnsi="Arial"/>
                <w:sz w:val="8"/>
                <w:szCs w:val="8"/>
                <w:b w:val="1"/>
                <w:bCs w:val="1"/>
                <w:color w:val="auto"/>
              </w:rPr>
              <w:t>2005</w:t>
            </w:r>
          </w:p>
        </w:tc>
        <w:tc>
          <w:tcPr>
            <w:tcW w:w="1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121"/>
              <w:spacing w:after="0"/>
              <w:rPr>
                <w:sz w:val="20"/>
                <w:szCs w:val="20"/>
                <w:color w:val="auto"/>
              </w:rPr>
            </w:pPr>
            <w:r>
              <w:rPr>
                <w:rFonts w:ascii="Arial" w:cs="Arial" w:eastAsia="Arial" w:hAnsi="Arial"/>
                <w:sz w:val="8"/>
                <w:szCs w:val="8"/>
                <w:b w:val="1"/>
                <w:bCs w:val="1"/>
                <w:color w:val="auto"/>
              </w:rPr>
              <w:t>2004</w:t>
            </w:r>
          </w:p>
        </w:tc>
        <w:tc>
          <w:tcPr>
            <w:tcW w:w="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101"/>
              <w:spacing w:after="0"/>
              <w:rPr>
                <w:sz w:val="20"/>
                <w:szCs w:val="20"/>
                <w:color w:val="auto"/>
              </w:rPr>
            </w:pPr>
            <w:r>
              <w:rPr>
                <w:rFonts w:ascii="Arial" w:cs="Arial" w:eastAsia="Arial" w:hAnsi="Arial"/>
                <w:sz w:val="8"/>
                <w:szCs w:val="8"/>
                <w:b w:val="1"/>
                <w:bCs w:val="1"/>
                <w:color w:val="auto"/>
              </w:rPr>
              <w:t>2003</w:t>
            </w:r>
          </w:p>
        </w:tc>
        <w:tc>
          <w:tcPr>
            <w:tcW w:w="1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161"/>
              <w:spacing w:after="0"/>
              <w:rPr>
                <w:sz w:val="20"/>
                <w:szCs w:val="20"/>
                <w:color w:val="auto"/>
              </w:rPr>
            </w:pPr>
            <w:r>
              <w:rPr>
                <w:rFonts w:ascii="Arial" w:cs="Arial" w:eastAsia="Arial" w:hAnsi="Arial"/>
                <w:sz w:val="8"/>
                <w:szCs w:val="8"/>
                <w:b w:val="1"/>
                <w:bCs w:val="1"/>
                <w:color w:val="auto"/>
                <w:w w:val="89"/>
              </w:rPr>
              <w:t>2002</w:t>
            </w:r>
          </w:p>
        </w:tc>
        <w:tc>
          <w:tcPr>
            <w:tcW w:w="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69"/>
        </w:trPr>
        <w:tc>
          <w:tcPr>
            <w:tcW w:w="800" w:type="dxa"/>
            <w:vAlign w:val="bottom"/>
          </w:tcPr>
          <w:p>
            <w:pPr>
              <w:spacing w:after="0"/>
              <w:rPr>
                <w:sz w:val="6"/>
                <w:szCs w:val="6"/>
                <w:color w:val="auto"/>
              </w:rPr>
            </w:pPr>
          </w:p>
        </w:tc>
        <w:tc>
          <w:tcPr>
            <w:tcW w:w="2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gridSpan w:val="2"/>
          </w:tcPr>
          <w:p>
            <w:pPr>
              <w:jc w:val="right"/>
              <w:ind w:right="180"/>
              <w:spacing w:after="0" w:line="69" w:lineRule="exact"/>
              <w:rPr>
                <w:sz w:val="20"/>
                <w:szCs w:val="20"/>
                <w:color w:val="auto"/>
              </w:rPr>
            </w:pPr>
            <w:r>
              <w:rPr>
                <w:rFonts w:ascii="Arial" w:cs="Arial" w:eastAsia="Arial" w:hAnsi="Arial"/>
                <w:sz w:val="8"/>
                <w:szCs w:val="8"/>
                <w:b w:val="1"/>
                <w:bCs w:val="1"/>
                <w:color w:val="auto"/>
                <w:w w:val="82"/>
              </w:rPr>
              <w:t>Average</w:t>
            </w: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jc w:val="center"/>
              <w:spacing w:after="0" w:line="69" w:lineRule="exact"/>
              <w:rPr>
                <w:sz w:val="20"/>
                <w:szCs w:val="20"/>
                <w:color w:val="auto"/>
              </w:rPr>
            </w:pPr>
            <w:r>
              <w:rPr>
                <w:rFonts w:ascii="Arial" w:cs="Arial" w:eastAsia="Arial" w:hAnsi="Arial"/>
                <w:sz w:val="8"/>
                <w:szCs w:val="8"/>
                <w:b w:val="1"/>
                <w:bCs w:val="1"/>
                <w:color w:val="auto"/>
                <w:w w:val="82"/>
              </w:rPr>
              <w:t>Average</w:t>
            </w:r>
          </w:p>
        </w:tc>
        <w:tc>
          <w:tcPr>
            <w:tcW w:w="160" w:type="dxa"/>
            <w:vAlign w:val="bottom"/>
          </w:tcPr>
          <w:p>
            <w:pPr>
              <w:spacing w:after="0"/>
              <w:rPr>
                <w:sz w:val="6"/>
                <w:szCs w:val="6"/>
                <w:color w:val="auto"/>
              </w:rPr>
            </w:pPr>
          </w:p>
        </w:tc>
        <w:tc>
          <w:tcPr>
            <w:tcW w:w="500" w:type="dxa"/>
            <w:vAlign w:val="bottom"/>
            <w:gridSpan w:val="2"/>
          </w:tcPr>
          <w:p>
            <w:pPr>
              <w:jc w:val="right"/>
              <w:ind w:right="180"/>
              <w:spacing w:after="0" w:line="69" w:lineRule="exact"/>
              <w:rPr>
                <w:sz w:val="20"/>
                <w:szCs w:val="20"/>
                <w:color w:val="auto"/>
              </w:rPr>
            </w:pPr>
            <w:r>
              <w:rPr>
                <w:rFonts w:ascii="Arial" w:cs="Arial" w:eastAsia="Arial" w:hAnsi="Arial"/>
                <w:sz w:val="8"/>
                <w:szCs w:val="8"/>
                <w:b w:val="1"/>
                <w:bCs w:val="1"/>
                <w:color w:val="auto"/>
                <w:w w:val="94"/>
              </w:rPr>
              <w:t>Average</w:t>
            </w: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jc w:val="center"/>
              <w:spacing w:after="0" w:line="69" w:lineRule="exact"/>
              <w:rPr>
                <w:sz w:val="20"/>
                <w:szCs w:val="20"/>
                <w:color w:val="auto"/>
              </w:rPr>
            </w:pPr>
            <w:r>
              <w:rPr>
                <w:rFonts w:ascii="Arial" w:cs="Arial" w:eastAsia="Arial" w:hAnsi="Arial"/>
                <w:sz w:val="8"/>
                <w:szCs w:val="8"/>
                <w:b w:val="1"/>
                <w:bCs w:val="1"/>
                <w:color w:val="auto"/>
                <w:w w:val="82"/>
              </w:rPr>
              <w:t>Average</w:t>
            </w:r>
          </w:p>
        </w:tc>
        <w:tc>
          <w:tcPr>
            <w:tcW w:w="160" w:type="dxa"/>
            <w:vAlign w:val="bottom"/>
          </w:tcPr>
          <w:p>
            <w:pPr>
              <w:spacing w:after="0"/>
              <w:rPr>
                <w:sz w:val="6"/>
                <w:szCs w:val="6"/>
                <w:color w:val="auto"/>
              </w:rPr>
            </w:pPr>
          </w:p>
        </w:tc>
        <w:tc>
          <w:tcPr>
            <w:tcW w:w="500" w:type="dxa"/>
            <w:vAlign w:val="bottom"/>
            <w:gridSpan w:val="2"/>
          </w:tcPr>
          <w:p>
            <w:pPr>
              <w:jc w:val="right"/>
              <w:ind w:right="180"/>
              <w:spacing w:after="0" w:line="69" w:lineRule="exact"/>
              <w:rPr>
                <w:sz w:val="20"/>
                <w:szCs w:val="20"/>
                <w:color w:val="auto"/>
              </w:rPr>
            </w:pPr>
            <w:r>
              <w:rPr>
                <w:rFonts w:ascii="Arial" w:cs="Arial" w:eastAsia="Arial" w:hAnsi="Arial"/>
                <w:sz w:val="8"/>
                <w:szCs w:val="8"/>
                <w:b w:val="1"/>
                <w:bCs w:val="1"/>
                <w:color w:val="auto"/>
                <w:w w:val="94"/>
              </w:rPr>
              <w:t>Average</w:t>
            </w: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jc w:val="right"/>
              <w:spacing w:after="0" w:line="69" w:lineRule="exact"/>
              <w:rPr>
                <w:sz w:val="20"/>
                <w:szCs w:val="20"/>
                <w:color w:val="auto"/>
              </w:rPr>
            </w:pPr>
            <w:r>
              <w:rPr>
                <w:rFonts w:ascii="Arial" w:cs="Arial" w:eastAsia="Arial" w:hAnsi="Arial"/>
                <w:sz w:val="8"/>
                <w:szCs w:val="8"/>
                <w:b w:val="1"/>
                <w:bCs w:val="1"/>
                <w:color w:val="auto"/>
                <w:w w:val="82"/>
              </w:rPr>
              <w:t>Average</w:t>
            </w:r>
          </w:p>
        </w:tc>
        <w:tc>
          <w:tcPr>
            <w:tcW w:w="180" w:type="dxa"/>
            <w:vAlign w:val="bottom"/>
          </w:tcPr>
          <w:p>
            <w:pPr>
              <w:spacing w:after="0"/>
              <w:rPr>
                <w:sz w:val="6"/>
                <w:szCs w:val="6"/>
                <w:color w:val="auto"/>
              </w:rPr>
            </w:pPr>
          </w:p>
        </w:tc>
        <w:tc>
          <w:tcPr>
            <w:tcW w:w="460" w:type="dxa"/>
            <w:vAlign w:val="bottom"/>
            <w:gridSpan w:val="2"/>
          </w:tcPr>
          <w:p>
            <w:pPr>
              <w:jc w:val="right"/>
              <w:ind w:right="180"/>
              <w:spacing w:after="0" w:line="69" w:lineRule="exact"/>
              <w:rPr>
                <w:sz w:val="20"/>
                <w:szCs w:val="20"/>
                <w:color w:val="auto"/>
              </w:rPr>
            </w:pPr>
            <w:r>
              <w:rPr>
                <w:rFonts w:ascii="Arial" w:cs="Arial" w:eastAsia="Arial" w:hAnsi="Arial"/>
                <w:sz w:val="8"/>
                <w:szCs w:val="8"/>
                <w:b w:val="1"/>
                <w:bCs w:val="1"/>
                <w:color w:val="auto"/>
                <w:w w:val="82"/>
              </w:rPr>
              <w:t>Average</w:t>
            </w: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jc w:val="right"/>
              <w:spacing w:after="0" w:line="69" w:lineRule="exact"/>
              <w:rPr>
                <w:sz w:val="20"/>
                <w:szCs w:val="20"/>
                <w:color w:val="auto"/>
              </w:rPr>
            </w:pPr>
            <w:r>
              <w:rPr>
                <w:rFonts w:ascii="Arial" w:cs="Arial" w:eastAsia="Arial" w:hAnsi="Arial"/>
                <w:sz w:val="8"/>
                <w:szCs w:val="8"/>
                <w:b w:val="1"/>
                <w:bCs w:val="1"/>
                <w:color w:val="auto"/>
                <w:w w:val="82"/>
              </w:rPr>
              <w:t>Average</w:t>
            </w:r>
          </w:p>
        </w:tc>
        <w:tc>
          <w:tcPr>
            <w:tcW w:w="160" w:type="dxa"/>
            <w:vAlign w:val="bottom"/>
          </w:tcPr>
          <w:p>
            <w:pPr>
              <w:spacing w:after="0"/>
              <w:rPr>
                <w:sz w:val="6"/>
                <w:szCs w:val="6"/>
                <w:color w:val="auto"/>
              </w:rPr>
            </w:pPr>
          </w:p>
        </w:tc>
        <w:tc>
          <w:tcPr>
            <w:tcW w:w="480" w:type="dxa"/>
            <w:vAlign w:val="bottom"/>
            <w:gridSpan w:val="2"/>
          </w:tcPr>
          <w:p>
            <w:pPr>
              <w:jc w:val="right"/>
              <w:ind w:right="160"/>
              <w:spacing w:after="0" w:line="69" w:lineRule="exact"/>
              <w:rPr>
                <w:sz w:val="20"/>
                <w:szCs w:val="20"/>
                <w:color w:val="auto"/>
              </w:rPr>
            </w:pPr>
            <w:r>
              <w:rPr>
                <w:rFonts w:ascii="Arial" w:cs="Arial" w:eastAsia="Arial" w:hAnsi="Arial"/>
                <w:sz w:val="8"/>
                <w:szCs w:val="8"/>
                <w:b w:val="1"/>
                <w:bCs w:val="1"/>
                <w:color w:val="auto"/>
                <w:w w:val="94"/>
              </w:rPr>
              <w:t>Average</w:t>
            </w: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jc w:val="right"/>
              <w:spacing w:after="0" w:line="69" w:lineRule="exact"/>
              <w:rPr>
                <w:sz w:val="20"/>
                <w:szCs w:val="20"/>
                <w:color w:val="auto"/>
              </w:rPr>
            </w:pPr>
            <w:r>
              <w:rPr>
                <w:rFonts w:ascii="Arial" w:cs="Arial" w:eastAsia="Arial" w:hAnsi="Arial"/>
                <w:sz w:val="8"/>
                <w:szCs w:val="8"/>
                <w:b w:val="1"/>
                <w:bCs w:val="1"/>
                <w:color w:val="auto"/>
                <w:w w:val="82"/>
              </w:rPr>
              <w:t>Average</w:t>
            </w:r>
          </w:p>
        </w:tc>
        <w:tc>
          <w:tcPr>
            <w:tcW w:w="60" w:type="dxa"/>
            <w:vAlign w:val="bottom"/>
          </w:tcPr>
          <w:p>
            <w:pPr>
              <w:spacing w:after="0"/>
              <w:rPr>
                <w:sz w:val="6"/>
                <w:szCs w:val="6"/>
                <w:color w:val="auto"/>
              </w:rPr>
            </w:pPr>
          </w:p>
        </w:tc>
      </w:tr>
      <w:tr>
        <w:trPr>
          <w:trHeight w:val="98"/>
        </w:trPr>
        <w:tc>
          <w:tcPr>
            <w:tcW w:w="800" w:type="dxa"/>
            <w:vAlign w:val="bottom"/>
          </w:tcPr>
          <w:p>
            <w:pPr>
              <w:spacing w:after="0"/>
              <w:rPr>
                <w:sz w:val="8"/>
                <w:szCs w:val="8"/>
                <w:color w:val="auto"/>
              </w:rPr>
            </w:pPr>
          </w:p>
        </w:tc>
        <w:tc>
          <w:tcPr>
            <w:tcW w:w="21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1"/>
              <w:spacing w:after="0"/>
              <w:rPr>
                <w:sz w:val="20"/>
                <w:szCs w:val="20"/>
                <w:color w:val="auto"/>
              </w:rPr>
            </w:pPr>
            <w:r>
              <w:rPr>
                <w:rFonts w:ascii="Arial" w:cs="Arial" w:eastAsia="Arial" w:hAnsi="Arial"/>
                <w:sz w:val="8"/>
                <w:szCs w:val="8"/>
                <w:b w:val="1"/>
                <w:bCs w:val="1"/>
                <w:color w:val="auto"/>
                <w:w w:val="84"/>
              </w:rPr>
              <w:t>Balance</w:t>
            </w:r>
          </w:p>
        </w:tc>
        <w:tc>
          <w:tcPr>
            <w:tcW w:w="1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41"/>
              <w:spacing w:after="0"/>
              <w:rPr>
                <w:sz w:val="20"/>
                <w:szCs w:val="20"/>
                <w:color w:val="auto"/>
              </w:rPr>
            </w:pPr>
            <w:r>
              <w:rPr>
                <w:rFonts w:ascii="Arial" w:cs="Arial" w:eastAsia="Arial" w:hAnsi="Arial"/>
                <w:sz w:val="8"/>
                <w:szCs w:val="8"/>
                <w:b w:val="1"/>
                <w:bCs w:val="1"/>
                <w:color w:val="auto"/>
                <w:w w:val="82"/>
              </w:rPr>
              <w:t>Interest</w:t>
            </w:r>
          </w:p>
        </w:tc>
        <w:tc>
          <w:tcPr>
            <w:tcW w:w="120" w:type="dxa"/>
            <w:vAlign w:val="bottom"/>
          </w:tcPr>
          <w:p>
            <w:pPr>
              <w:spacing w:after="0"/>
              <w:rPr>
                <w:sz w:val="8"/>
                <w:szCs w:val="8"/>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2"/>
              </w:rPr>
              <w:t>Rate</w:t>
            </w:r>
          </w:p>
        </w:tc>
        <w:tc>
          <w:tcPr>
            <w:tcW w:w="160" w:type="dxa"/>
            <w:vAlign w:val="bottom"/>
          </w:tcPr>
          <w:p>
            <w:pPr>
              <w:spacing w:after="0"/>
              <w:rPr>
                <w:sz w:val="8"/>
                <w:szCs w:val="8"/>
                <w:color w:val="auto"/>
              </w:rPr>
            </w:pPr>
          </w:p>
        </w:tc>
        <w:tc>
          <w:tcPr>
            <w:tcW w:w="360" w:type="dxa"/>
            <w:vAlign w:val="bottom"/>
            <w:tcBorders>
              <w:bottom w:val="single" w:sz="8" w:color="auto"/>
            </w:tcBorders>
          </w:tcPr>
          <w:p>
            <w:pPr>
              <w:jc w:val="right"/>
              <w:ind w:right="1"/>
              <w:spacing w:after="0"/>
              <w:rPr>
                <w:sz w:val="20"/>
                <w:szCs w:val="20"/>
                <w:color w:val="auto"/>
              </w:rPr>
            </w:pPr>
            <w:r>
              <w:rPr>
                <w:rFonts w:ascii="Arial" w:cs="Arial" w:eastAsia="Arial" w:hAnsi="Arial"/>
                <w:sz w:val="8"/>
                <w:szCs w:val="8"/>
                <w:b w:val="1"/>
                <w:bCs w:val="1"/>
                <w:color w:val="auto"/>
                <w:w w:val="97"/>
              </w:rPr>
              <w:t>Balance</w:t>
            </w:r>
          </w:p>
        </w:tc>
        <w:tc>
          <w:tcPr>
            <w:tcW w:w="140" w:type="dxa"/>
            <w:vAlign w:val="bottom"/>
          </w:tcPr>
          <w:p>
            <w:pPr>
              <w:spacing w:after="0"/>
              <w:rPr>
                <w:sz w:val="8"/>
                <w:szCs w:val="8"/>
                <w:color w:val="auto"/>
              </w:rPr>
            </w:pPr>
          </w:p>
        </w:tc>
        <w:tc>
          <w:tcPr>
            <w:tcW w:w="38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b w:val="1"/>
                <w:bCs w:val="1"/>
                <w:color w:val="auto"/>
              </w:rPr>
              <w:t>Interest</w:t>
            </w:r>
          </w:p>
        </w:tc>
        <w:tc>
          <w:tcPr>
            <w:tcW w:w="140" w:type="dxa"/>
            <w:vAlign w:val="bottom"/>
          </w:tcPr>
          <w:p>
            <w:pPr>
              <w:spacing w:after="0"/>
              <w:rPr>
                <w:sz w:val="8"/>
                <w:szCs w:val="8"/>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2"/>
              </w:rPr>
              <w:t>Rate</w:t>
            </w:r>
          </w:p>
        </w:tc>
        <w:tc>
          <w:tcPr>
            <w:tcW w:w="160" w:type="dxa"/>
            <w:vAlign w:val="bottom"/>
          </w:tcPr>
          <w:p>
            <w:pPr>
              <w:spacing w:after="0"/>
              <w:rPr>
                <w:sz w:val="8"/>
                <w:szCs w:val="8"/>
                <w:color w:val="auto"/>
              </w:rPr>
            </w:pPr>
          </w:p>
        </w:tc>
        <w:tc>
          <w:tcPr>
            <w:tcW w:w="360" w:type="dxa"/>
            <w:vAlign w:val="bottom"/>
            <w:tcBorders>
              <w:bottom w:val="single" w:sz="8" w:color="auto"/>
            </w:tcBorders>
          </w:tcPr>
          <w:p>
            <w:pPr>
              <w:jc w:val="right"/>
              <w:ind w:right="1"/>
              <w:spacing w:after="0"/>
              <w:rPr>
                <w:sz w:val="20"/>
                <w:szCs w:val="20"/>
                <w:color w:val="auto"/>
              </w:rPr>
            </w:pPr>
            <w:r>
              <w:rPr>
                <w:rFonts w:ascii="Arial" w:cs="Arial" w:eastAsia="Arial" w:hAnsi="Arial"/>
                <w:sz w:val="8"/>
                <w:szCs w:val="8"/>
                <w:b w:val="1"/>
                <w:bCs w:val="1"/>
                <w:color w:val="auto"/>
                <w:w w:val="97"/>
              </w:rPr>
              <w:t>Balance</w:t>
            </w:r>
          </w:p>
        </w:tc>
        <w:tc>
          <w:tcPr>
            <w:tcW w:w="140" w:type="dxa"/>
            <w:vAlign w:val="bottom"/>
          </w:tcPr>
          <w:p>
            <w:pPr>
              <w:spacing w:after="0"/>
              <w:rPr>
                <w:sz w:val="8"/>
                <w:szCs w:val="8"/>
                <w:color w:val="auto"/>
              </w:rPr>
            </w:pPr>
          </w:p>
        </w:tc>
        <w:tc>
          <w:tcPr>
            <w:tcW w:w="38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b w:val="1"/>
                <w:bCs w:val="1"/>
                <w:color w:val="auto"/>
              </w:rPr>
              <w:t>Interest</w:t>
            </w:r>
          </w:p>
        </w:tc>
        <w:tc>
          <w:tcPr>
            <w:tcW w:w="140" w:type="dxa"/>
            <w:vAlign w:val="bottom"/>
          </w:tcPr>
          <w:p>
            <w:pPr>
              <w:spacing w:after="0"/>
              <w:rPr>
                <w:sz w:val="8"/>
                <w:szCs w:val="8"/>
                <w:color w:val="auto"/>
              </w:rPr>
            </w:pPr>
          </w:p>
        </w:tc>
        <w:tc>
          <w:tcPr>
            <w:tcW w:w="28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b w:val="1"/>
                <w:bCs w:val="1"/>
                <w:color w:val="auto"/>
              </w:rPr>
              <w:t>Rate</w:t>
            </w:r>
          </w:p>
        </w:tc>
        <w:tc>
          <w:tcPr>
            <w:tcW w:w="180" w:type="dxa"/>
            <w:vAlign w:val="bottom"/>
          </w:tcPr>
          <w:p>
            <w:pPr>
              <w:spacing w:after="0"/>
              <w:rPr>
                <w:sz w:val="8"/>
                <w:szCs w:val="8"/>
                <w:color w:val="auto"/>
              </w:rPr>
            </w:pPr>
          </w:p>
        </w:tc>
        <w:tc>
          <w:tcPr>
            <w:tcW w:w="320" w:type="dxa"/>
            <w:vAlign w:val="bottom"/>
            <w:tcBorders>
              <w:bottom w:val="single" w:sz="8" w:color="auto"/>
            </w:tcBorders>
          </w:tcPr>
          <w:p>
            <w:pPr>
              <w:jc w:val="right"/>
              <w:ind w:right="1"/>
              <w:spacing w:after="0"/>
              <w:rPr>
                <w:sz w:val="20"/>
                <w:szCs w:val="20"/>
                <w:color w:val="auto"/>
              </w:rPr>
            </w:pPr>
            <w:r>
              <w:rPr>
                <w:rFonts w:ascii="Arial" w:cs="Arial" w:eastAsia="Arial" w:hAnsi="Arial"/>
                <w:sz w:val="8"/>
                <w:szCs w:val="8"/>
                <w:b w:val="1"/>
                <w:bCs w:val="1"/>
                <w:color w:val="auto"/>
                <w:w w:val="84"/>
              </w:rPr>
              <w:t>Balance</w:t>
            </w:r>
          </w:p>
        </w:tc>
        <w:tc>
          <w:tcPr>
            <w:tcW w:w="140" w:type="dxa"/>
            <w:vAlign w:val="bottom"/>
          </w:tcPr>
          <w:p>
            <w:pPr>
              <w:spacing w:after="0"/>
              <w:rPr>
                <w:sz w:val="8"/>
                <w:szCs w:val="8"/>
                <w:color w:val="auto"/>
              </w:rPr>
            </w:pPr>
          </w:p>
        </w:tc>
        <w:tc>
          <w:tcPr>
            <w:tcW w:w="38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b w:val="1"/>
                <w:bCs w:val="1"/>
                <w:color w:val="auto"/>
              </w:rPr>
              <w:t>Interest</w:t>
            </w:r>
          </w:p>
        </w:tc>
        <w:tc>
          <w:tcPr>
            <w:tcW w:w="140" w:type="dxa"/>
            <w:vAlign w:val="bottom"/>
          </w:tcPr>
          <w:p>
            <w:pPr>
              <w:spacing w:after="0"/>
              <w:rPr>
                <w:sz w:val="8"/>
                <w:szCs w:val="8"/>
                <w:color w:val="auto"/>
              </w:rPr>
            </w:pPr>
          </w:p>
        </w:tc>
        <w:tc>
          <w:tcPr>
            <w:tcW w:w="28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b w:val="1"/>
                <w:bCs w:val="1"/>
                <w:color w:val="auto"/>
              </w:rPr>
              <w:t>Rate</w:t>
            </w:r>
          </w:p>
        </w:tc>
        <w:tc>
          <w:tcPr>
            <w:tcW w:w="160" w:type="dxa"/>
            <w:vAlign w:val="bottom"/>
          </w:tcPr>
          <w:p>
            <w:pPr>
              <w:spacing w:after="0"/>
              <w:rPr>
                <w:sz w:val="8"/>
                <w:szCs w:val="8"/>
                <w:color w:val="auto"/>
              </w:rPr>
            </w:pPr>
          </w:p>
        </w:tc>
        <w:tc>
          <w:tcPr>
            <w:tcW w:w="340" w:type="dxa"/>
            <w:vAlign w:val="bottom"/>
            <w:tcBorders>
              <w:bottom w:val="single" w:sz="8" w:color="auto"/>
            </w:tcBorders>
          </w:tcPr>
          <w:p>
            <w:pPr>
              <w:jc w:val="right"/>
              <w:ind w:right="1"/>
              <w:spacing w:after="0"/>
              <w:rPr>
                <w:sz w:val="20"/>
                <w:szCs w:val="20"/>
                <w:color w:val="auto"/>
              </w:rPr>
            </w:pPr>
            <w:r>
              <w:rPr>
                <w:rFonts w:ascii="Arial" w:cs="Arial" w:eastAsia="Arial" w:hAnsi="Arial"/>
                <w:sz w:val="8"/>
                <w:szCs w:val="8"/>
                <w:b w:val="1"/>
                <w:bCs w:val="1"/>
                <w:color w:val="auto"/>
                <w:w w:val="91"/>
              </w:rPr>
              <w:t>Balance</w:t>
            </w:r>
          </w:p>
        </w:tc>
        <w:tc>
          <w:tcPr>
            <w:tcW w:w="140" w:type="dxa"/>
            <w:vAlign w:val="bottom"/>
          </w:tcPr>
          <w:p>
            <w:pPr>
              <w:spacing w:after="0"/>
              <w:rPr>
                <w:sz w:val="8"/>
                <w:szCs w:val="8"/>
                <w:color w:val="auto"/>
              </w:rPr>
            </w:pPr>
          </w:p>
        </w:tc>
        <w:tc>
          <w:tcPr>
            <w:tcW w:w="38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b w:val="1"/>
                <w:bCs w:val="1"/>
                <w:color w:val="auto"/>
              </w:rPr>
              <w:t>Interest</w:t>
            </w:r>
          </w:p>
        </w:tc>
        <w:tc>
          <w:tcPr>
            <w:tcW w:w="40" w:type="dxa"/>
            <w:vAlign w:val="bottom"/>
          </w:tcPr>
          <w:p>
            <w:pPr>
              <w:spacing w:after="0"/>
              <w:rPr>
                <w:sz w:val="8"/>
                <w:szCs w:val="8"/>
                <w:color w:val="auto"/>
              </w:rPr>
            </w:pPr>
          </w:p>
        </w:tc>
        <w:tc>
          <w:tcPr>
            <w:tcW w:w="280" w:type="dxa"/>
            <w:vAlign w:val="bottom"/>
            <w:tcBorders>
              <w:bottom w:val="single" w:sz="8" w:color="auto"/>
            </w:tcBorders>
          </w:tcPr>
          <w:p>
            <w:pPr>
              <w:jc w:val="right"/>
              <w:ind w:right="21"/>
              <w:spacing w:after="0"/>
              <w:rPr>
                <w:sz w:val="20"/>
                <w:szCs w:val="20"/>
                <w:color w:val="auto"/>
              </w:rPr>
            </w:pPr>
            <w:r>
              <w:rPr>
                <w:rFonts w:ascii="Arial" w:cs="Arial" w:eastAsia="Arial" w:hAnsi="Arial"/>
                <w:sz w:val="8"/>
                <w:szCs w:val="8"/>
                <w:b w:val="1"/>
                <w:bCs w:val="1"/>
                <w:color w:val="auto"/>
              </w:rPr>
              <w:t>Rate</w:t>
            </w:r>
          </w:p>
        </w:tc>
        <w:tc>
          <w:tcPr>
            <w:tcW w:w="60" w:type="dxa"/>
            <w:vAlign w:val="bottom"/>
          </w:tcPr>
          <w:p>
            <w:pPr>
              <w:spacing w:after="0"/>
              <w:rPr>
                <w:sz w:val="8"/>
                <w:szCs w:val="8"/>
                <w:color w:val="auto"/>
              </w:rPr>
            </w:pPr>
          </w:p>
        </w:tc>
      </w:tr>
      <w:tr>
        <w:trPr>
          <w:trHeight w:val="90"/>
        </w:trPr>
        <w:tc>
          <w:tcPr>
            <w:tcW w:w="800" w:type="dxa"/>
            <w:vAlign w:val="bottom"/>
          </w:tcPr>
          <w:p>
            <w:pPr>
              <w:spacing w:after="0"/>
              <w:rPr>
                <w:sz w:val="7"/>
                <w:szCs w:val="7"/>
                <w:color w:val="auto"/>
              </w:rPr>
            </w:pPr>
          </w:p>
        </w:tc>
        <w:tc>
          <w:tcPr>
            <w:tcW w:w="21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900" w:type="dxa"/>
            <w:vAlign w:val="bottom"/>
            <w:gridSpan w:val="8"/>
          </w:tcPr>
          <w:p>
            <w:pPr>
              <w:jc w:val="right"/>
              <w:ind w:right="20"/>
              <w:spacing w:after="0" w:line="90" w:lineRule="exact"/>
              <w:rPr>
                <w:sz w:val="20"/>
                <w:szCs w:val="20"/>
                <w:color w:val="auto"/>
              </w:rPr>
            </w:pPr>
            <w:r>
              <w:rPr>
                <w:rFonts w:ascii="Arial" w:cs="Arial" w:eastAsia="Arial" w:hAnsi="Arial"/>
                <w:sz w:val="8"/>
                <w:szCs w:val="8"/>
                <w:b w:val="1"/>
                <w:bCs w:val="1"/>
                <w:color w:val="auto"/>
                <w:w w:val="94"/>
              </w:rPr>
              <w:t>(Average balance in millions; interest in thousands)</w:t>
            </w: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28"/>
        </w:trPr>
        <w:tc>
          <w:tcPr>
            <w:tcW w:w="8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88"/>
        </w:trPr>
        <w:tc>
          <w:tcPr>
            <w:tcW w:w="2940" w:type="dxa"/>
            <w:vAlign w:val="bottom"/>
            <w:gridSpan w:val="2"/>
            <w:shd w:val="clear" w:color="auto" w:fill="CCEEFF"/>
          </w:tcPr>
          <w:p>
            <w:pPr>
              <w:spacing w:after="0" w:line="89" w:lineRule="exact"/>
              <w:rPr>
                <w:sz w:val="20"/>
                <w:szCs w:val="20"/>
                <w:color w:val="auto"/>
              </w:rPr>
            </w:pPr>
            <w:r>
              <w:rPr>
                <w:rFonts w:ascii="Arial" w:cs="Arial" w:eastAsia="Arial" w:hAnsi="Arial"/>
                <w:sz w:val="8"/>
                <w:szCs w:val="8"/>
                <w:b w:val="1"/>
                <w:bCs w:val="1"/>
                <w:color w:val="auto"/>
              </w:rPr>
              <w:t>A</w:t>
            </w:r>
            <w:r>
              <w:rPr>
                <w:rFonts w:ascii="Arial" w:cs="Arial" w:eastAsia="Arial" w:hAnsi="Arial"/>
                <w:sz w:val="5"/>
                <w:szCs w:val="5"/>
                <w:b w:val="1"/>
                <w:bCs w:val="1"/>
                <w:color w:val="auto"/>
              </w:rPr>
              <w:t>SSETS</w:t>
            </w: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tcBorders>
              <w:right w:val="single" w:sz="8" w:color="CCEEFF"/>
            </w:tcBorders>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r>
      <w:tr>
        <w:trPr>
          <w:trHeight w:val="88"/>
        </w:trPr>
        <w:tc>
          <w:tcPr>
            <w:tcW w:w="2940" w:type="dxa"/>
            <w:vAlign w:val="bottom"/>
            <w:gridSpan w:val="2"/>
          </w:tcPr>
          <w:p>
            <w:pPr>
              <w:spacing w:after="0" w:line="89" w:lineRule="exact"/>
              <w:rPr>
                <w:sz w:val="20"/>
                <w:szCs w:val="20"/>
                <w:color w:val="auto"/>
              </w:rPr>
            </w:pPr>
            <w:r>
              <w:rPr>
                <w:rFonts w:ascii="Arial" w:cs="Arial" w:eastAsia="Arial" w:hAnsi="Arial"/>
                <w:sz w:val="8"/>
                <w:szCs w:val="8"/>
                <w:color w:val="auto"/>
              </w:rPr>
              <w:t>Earning assets</w:t>
            </w: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88"/>
        </w:trPr>
        <w:tc>
          <w:tcPr>
            <w:tcW w:w="2940" w:type="dxa"/>
            <w:vAlign w:val="bottom"/>
            <w:gridSpan w:val="2"/>
            <w:shd w:val="clear" w:color="auto" w:fill="CCEEFF"/>
          </w:tcPr>
          <w:p>
            <w:pPr>
              <w:spacing w:after="0" w:line="89" w:lineRule="exact"/>
              <w:rPr>
                <w:sz w:val="20"/>
                <w:szCs w:val="20"/>
                <w:color w:val="auto"/>
              </w:rPr>
            </w:pPr>
            <w:r>
              <w:rPr>
                <w:rFonts w:ascii="Arial" w:cs="Arial" w:eastAsia="Arial" w:hAnsi="Arial"/>
                <w:sz w:val="8"/>
                <w:szCs w:val="8"/>
                <w:color w:val="auto"/>
              </w:rPr>
              <w:t>Loans and leases, net of unearned discount(a)</w:t>
            </w: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tcBorders>
              <w:right w:val="single" w:sz="8" w:color="CCEEFF"/>
            </w:tcBorders>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r>
      <w:tr>
        <w:trPr>
          <w:trHeight w:val="88"/>
        </w:trPr>
        <w:tc>
          <w:tcPr>
            <w:tcW w:w="2940" w:type="dxa"/>
            <w:vAlign w:val="bottom"/>
            <w:gridSpan w:val="2"/>
          </w:tcPr>
          <w:p>
            <w:pPr>
              <w:ind w:left="80"/>
              <w:spacing w:after="0" w:line="89" w:lineRule="exact"/>
              <w:rPr>
                <w:sz w:val="20"/>
                <w:szCs w:val="20"/>
                <w:color w:val="auto"/>
              </w:rPr>
            </w:pPr>
            <w:r>
              <w:rPr>
                <w:rFonts w:ascii="Arial" w:cs="Arial" w:eastAsia="Arial" w:hAnsi="Arial"/>
                <w:sz w:val="8"/>
                <w:szCs w:val="8"/>
                <w:color w:val="auto"/>
              </w:rPr>
              <w:t>Commercial, financial, etc.</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11,319</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Pr>
          <w:p>
            <w:pPr>
              <w:jc w:val="right"/>
              <w:spacing w:after="0" w:line="89" w:lineRule="exact"/>
              <w:rPr>
                <w:sz w:val="20"/>
                <w:szCs w:val="20"/>
                <w:color w:val="auto"/>
              </w:rPr>
            </w:pPr>
            <w:r>
              <w:rPr>
                <w:rFonts w:ascii="Arial" w:cs="Arial" w:eastAsia="Arial" w:hAnsi="Arial"/>
                <w:sz w:val="8"/>
                <w:szCs w:val="8"/>
                <w:color w:val="auto"/>
              </w:rPr>
              <w:t>802,451</w:t>
            </w:r>
          </w:p>
        </w:tc>
        <w:tc>
          <w:tcPr>
            <w:tcW w:w="120" w:type="dxa"/>
            <w:vAlign w:val="bottom"/>
          </w:tcPr>
          <w:p>
            <w:pPr>
              <w:spacing w:after="0"/>
              <w:rPr>
                <w:sz w:val="7"/>
                <w:szCs w:val="7"/>
                <w:color w:val="auto"/>
              </w:rPr>
            </w:pPr>
          </w:p>
        </w:tc>
        <w:tc>
          <w:tcPr>
            <w:tcW w:w="44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7.09%</w:t>
            </w:r>
          </w:p>
        </w:tc>
        <w:tc>
          <w:tcPr>
            <w:tcW w:w="5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10,455</w:t>
            </w:r>
          </w:p>
        </w:tc>
        <w:tc>
          <w:tcPr>
            <w:tcW w:w="5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589,644</w:t>
            </w:r>
          </w:p>
        </w:tc>
        <w:tc>
          <w:tcPr>
            <w:tcW w:w="420" w:type="dxa"/>
            <w:vAlign w:val="bottom"/>
            <w:gridSpan w:val="2"/>
          </w:tcPr>
          <w:p>
            <w:pPr>
              <w:jc w:val="right"/>
              <w:ind w:right="80"/>
              <w:spacing w:after="0" w:line="89" w:lineRule="exact"/>
              <w:rPr>
                <w:sz w:val="20"/>
                <w:szCs w:val="20"/>
                <w:color w:val="auto"/>
              </w:rPr>
            </w:pPr>
            <w:r>
              <w:rPr>
                <w:rFonts w:ascii="Arial" w:cs="Arial" w:eastAsia="Arial" w:hAnsi="Arial"/>
                <w:sz w:val="8"/>
                <w:szCs w:val="8"/>
                <w:color w:val="auto"/>
              </w:rPr>
              <w:t>5.64%</w:t>
            </w:r>
          </w:p>
        </w:tc>
        <w:tc>
          <w:tcPr>
            <w:tcW w:w="5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9,534</w:t>
            </w:r>
          </w:p>
        </w:tc>
        <w:tc>
          <w:tcPr>
            <w:tcW w:w="5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410,258</w:t>
            </w:r>
          </w:p>
        </w:tc>
        <w:tc>
          <w:tcPr>
            <w:tcW w:w="460" w:type="dxa"/>
            <w:vAlign w:val="bottom"/>
            <w:gridSpan w:val="2"/>
          </w:tcPr>
          <w:p>
            <w:pPr>
              <w:jc w:val="right"/>
              <w:ind w:right="120"/>
              <w:spacing w:after="0" w:line="89" w:lineRule="exact"/>
              <w:rPr>
                <w:sz w:val="20"/>
                <w:szCs w:val="20"/>
                <w:color w:val="auto"/>
              </w:rPr>
            </w:pPr>
            <w:r>
              <w:rPr>
                <w:rFonts w:ascii="Arial" w:cs="Arial" w:eastAsia="Arial" w:hAnsi="Arial"/>
                <w:sz w:val="8"/>
                <w:szCs w:val="8"/>
                <w:color w:val="auto"/>
              </w:rPr>
              <w:t>4.30%</w:t>
            </w:r>
          </w:p>
        </w:tc>
        <w:tc>
          <w:tcPr>
            <w:tcW w:w="46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8,523</w:t>
            </w:r>
          </w:p>
        </w:tc>
        <w:tc>
          <w:tcPr>
            <w:tcW w:w="5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358,629</w:t>
            </w:r>
          </w:p>
        </w:tc>
        <w:tc>
          <w:tcPr>
            <w:tcW w:w="440" w:type="dxa"/>
            <w:vAlign w:val="bottom"/>
            <w:gridSpan w:val="2"/>
          </w:tcPr>
          <w:p>
            <w:pPr>
              <w:jc w:val="right"/>
              <w:ind w:right="100"/>
              <w:spacing w:after="0" w:line="89" w:lineRule="exact"/>
              <w:rPr>
                <w:sz w:val="20"/>
                <w:szCs w:val="20"/>
                <w:color w:val="auto"/>
              </w:rPr>
            </w:pPr>
            <w:r>
              <w:rPr>
                <w:rFonts w:ascii="Arial" w:cs="Arial" w:eastAsia="Arial" w:hAnsi="Arial"/>
                <w:sz w:val="8"/>
                <w:szCs w:val="8"/>
                <w:color w:val="auto"/>
              </w:rPr>
              <w:t>4.21%</w:t>
            </w:r>
          </w:p>
        </w:tc>
        <w:tc>
          <w:tcPr>
            <w:tcW w:w="480" w:type="dxa"/>
            <w:vAlign w:val="bottom"/>
            <w:gridSpan w:val="2"/>
          </w:tcPr>
          <w:p>
            <w:pPr>
              <w:jc w:val="right"/>
              <w:ind w:right="120"/>
              <w:spacing w:after="0" w:line="89" w:lineRule="exact"/>
              <w:rPr>
                <w:sz w:val="20"/>
                <w:szCs w:val="20"/>
                <w:color w:val="auto"/>
              </w:rPr>
            </w:pPr>
            <w:r>
              <w:rPr>
                <w:rFonts w:ascii="Arial" w:cs="Arial" w:eastAsia="Arial" w:hAnsi="Arial"/>
                <w:sz w:val="8"/>
                <w:szCs w:val="8"/>
                <w:color w:val="auto"/>
              </w:rPr>
              <w:t>5,146</w:t>
            </w:r>
          </w:p>
        </w:tc>
        <w:tc>
          <w:tcPr>
            <w:tcW w:w="420" w:type="dxa"/>
            <w:vAlign w:val="bottom"/>
            <w:gridSpan w:val="2"/>
          </w:tcPr>
          <w:p>
            <w:pPr>
              <w:jc w:val="right"/>
              <w:ind w:right="40"/>
              <w:spacing w:after="0" w:line="89" w:lineRule="exact"/>
              <w:rPr>
                <w:sz w:val="20"/>
                <w:szCs w:val="20"/>
                <w:color w:val="auto"/>
              </w:rPr>
            </w:pPr>
            <w:r>
              <w:rPr>
                <w:rFonts w:ascii="Arial" w:cs="Arial" w:eastAsia="Arial" w:hAnsi="Arial"/>
                <w:sz w:val="8"/>
                <w:szCs w:val="8"/>
                <w:color w:val="auto"/>
              </w:rPr>
              <w:t>261,867</w:t>
            </w:r>
          </w:p>
        </w:tc>
        <w:tc>
          <w:tcPr>
            <w:tcW w:w="340" w:type="dxa"/>
            <w:vAlign w:val="bottom"/>
            <w:gridSpan w:val="2"/>
          </w:tcPr>
          <w:p>
            <w:pPr>
              <w:jc w:val="right"/>
              <w:spacing w:after="0" w:line="89" w:lineRule="exact"/>
              <w:rPr>
                <w:sz w:val="20"/>
                <w:szCs w:val="20"/>
                <w:color w:val="auto"/>
              </w:rPr>
            </w:pPr>
            <w:r>
              <w:rPr>
                <w:rFonts w:ascii="Arial" w:cs="Arial" w:eastAsia="Arial" w:hAnsi="Arial"/>
                <w:sz w:val="8"/>
                <w:szCs w:val="8"/>
                <w:color w:val="auto"/>
              </w:rPr>
              <w:t>5.09%</w:t>
            </w:r>
          </w:p>
        </w:tc>
      </w:tr>
      <w:tr>
        <w:trPr>
          <w:trHeight w:val="88"/>
        </w:trPr>
        <w:tc>
          <w:tcPr>
            <w:tcW w:w="2940" w:type="dxa"/>
            <w:vAlign w:val="bottom"/>
            <w:gridSpan w:val="2"/>
            <w:shd w:val="clear" w:color="auto" w:fill="CCEEFF"/>
          </w:tcPr>
          <w:p>
            <w:pPr>
              <w:ind w:left="80"/>
              <w:spacing w:after="0" w:line="89" w:lineRule="exact"/>
              <w:rPr>
                <w:sz w:val="20"/>
                <w:szCs w:val="20"/>
                <w:color w:val="auto"/>
              </w:rPr>
            </w:pPr>
            <w:r>
              <w:rPr>
                <w:rFonts w:ascii="Arial" w:cs="Arial" w:eastAsia="Arial" w:hAnsi="Arial"/>
                <w:sz w:val="8"/>
                <w:szCs w:val="8"/>
                <w:color w:val="auto"/>
              </w:rPr>
              <w:t>Real estate — commercial</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15,096</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w w:val="89"/>
              </w:rPr>
              <w:t>1,104,518</w:t>
            </w:r>
          </w:p>
        </w:tc>
        <w:tc>
          <w:tcPr>
            <w:tcW w:w="12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7.32</w:t>
            </w: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14,341</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941,017</w:t>
            </w:r>
          </w:p>
        </w:tc>
        <w:tc>
          <w:tcPr>
            <w:tcW w:w="4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6.56</w:t>
            </w: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13,264</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763,134</w:t>
            </w:r>
          </w:p>
        </w:tc>
        <w:tc>
          <w:tcPr>
            <w:tcW w:w="460" w:type="dxa"/>
            <w:vAlign w:val="bottom"/>
            <w:tcBorders>
              <w:right w:val="single" w:sz="8" w:color="CCEEFF"/>
            </w:tcBorders>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5.75</w:t>
            </w:r>
          </w:p>
        </w:tc>
        <w:tc>
          <w:tcPr>
            <w:tcW w:w="46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11,573</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706,022</w:t>
            </w: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6.10</w:t>
            </w:r>
          </w:p>
        </w:tc>
        <w:tc>
          <w:tcPr>
            <w:tcW w:w="480" w:type="dxa"/>
            <w:vAlign w:val="bottom"/>
            <w:gridSpan w:val="2"/>
            <w:shd w:val="clear" w:color="auto" w:fill="CCEEFF"/>
          </w:tcPr>
          <w:p>
            <w:pPr>
              <w:jc w:val="right"/>
              <w:ind w:right="120"/>
              <w:spacing w:after="0" w:line="89" w:lineRule="exact"/>
              <w:rPr>
                <w:sz w:val="20"/>
                <w:szCs w:val="20"/>
                <w:color w:val="auto"/>
              </w:rPr>
            </w:pPr>
            <w:r>
              <w:rPr>
                <w:rFonts w:ascii="Arial" w:cs="Arial" w:eastAsia="Arial" w:hAnsi="Arial"/>
                <w:sz w:val="8"/>
                <w:szCs w:val="8"/>
                <w:color w:val="auto"/>
              </w:rPr>
              <w:t>9,498</w:t>
            </w:r>
          </w:p>
        </w:tc>
        <w:tc>
          <w:tcPr>
            <w:tcW w:w="420" w:type="dxa"/>
            <w:vAlign w:val="bottom"/>
            <w:gridSpan w:val="2"/>
            <w:shd w:val="clear" w:color="auto" w:fill="CCEEFF"/>
          </w:tcPr>
          <w:p>
            <w:pPr>
              <w:jc w:val="right"/>
              <w:ind w:right="40"/>
              <w:spacing w:after="0" w:line="89" w:lineRule="exact"/>
              <w:rPr>
                <w:sz w:val="20"/>
                <w:szCs w:val="20"/>
                <w:color w:val="auto"/>
              </w:rPr>
            </w:pPr>
            <w:r>
              <w:rPr>
                <w:rFonts w:ascii="Arial" w:cs="Arial" w:eastAsia="Arial" w:hAnsi="Arial"/>
                <w:sz w:val="8"/>
                <w:szCs w:val="8"/>
                <w:color w:val="auto"/>
              </w:rPr>
              <w:t>661,382</w:t>
            </w:r>
          </w:p>
        </w:tc>
        <w:tc>
          <w:tcPr>
            <w:tcW w:w="34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6.96</w:t>
            </w:r>
          </w:p>
        </w:tc>
      </w:tr>
      <w:tr>
        <w:trPr>
          <w:trHeight w:val="88"/>
        </w:trPr>
        <w:tc>
          <w:tcPr>
            <w:tcW w:w="2940" w:type="dxa"/>
            <w:vAlign w:val="bottom"/>
            <w:gridSpan w:val="2"/>
          </w:tcPr>
          <w:p>
            <w:pPr>
              <w:ind w:left="80"/>
              <w:spacing w:after="0" w:line="89" w:lineRule="exact"/>
              <w:rPr>
                <w:sz w:val="20"/>
                <w:szCs w:val="20"/>
                <w:color w:val="auto"/>
              </w:rPr>
            </w:pPr>
            <w:r>
              <w:rPr>
                <w:rFonts w:ascii="Arial" w:cs="Arial" w:eastAsia="Arial" w:hAnsi="Arial"/>
                <w:sz w:val="8"/>
                <w:szCs w:val="8"/>
                <w:color w:val="auto"/>
              </w:rPr>
              <w:t>Real estate — consumer</w:t>
            </w:r>
          </w:p>
        </w:tc>
        <w:tc>
          <w:tcPr>
            <w:tcW w:w="40" w:type="dxa"/>
            <w:vAlign w:val="bottom"/>
          </w:tcPr>
          <w:p>
            <w:pPr>
              <w:spacing w:after="0"/>
              <w:rPr>
                <w:sz w:val="7"/>
                <w:szCs w:val="7"/>
                <w:color w:val="auto"/>
              </w:rPr>
            </w:pPr>
          </w:p>
        </w:tc>
        <w:tc>
          <w:tcPr>
            <w:tcW w:w="46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5,015</w:t>
            </w:r>
          </w:p>
        </w:tc>
        <w:tc>
          <w:tcPr>
            <w:tcW w:w="60" w:type="dxa"/>
            <w:vAlign w:val="bottom"/>
          </w:tcPr>
          <w:p>
            <w:pPr>
              <w:spacing w:after="0"/>
              <w:rPr>
                <w:sz w:val="7"/>
                <w:szCs w:val="7"/>
                <w:color w:val="auto"/>
              </w:rPr>
            </w:pPr>
          </w:p>
        </w:tc>
        <w:tc>
          <w:tcPr>
            <w:tcW w:w="340" w:type="dxa"/>
            <w:vAlign w:val="bottom"/>
          </w:tcPr>
          <w:p>
            <w:pPr>
              <w:jc w:val="right"/>
              <w:spacing w:after="0" w:line="89" w:lineRule="exact"/>
              <w:rPr>
                <w:sz w:val="20"/>
                <w:szCs w:val="20"/>
                <w:color w:val="auto"/>
              </w:rPr>
            </w:pPr>
            <w:r>
              <w:rPr>
                <w:rFonts w:ascii="Arial" w:cs="Arial" w:eastAsia="Arial" w:hAnsi="Arial"/>
                <w:sz w:val="8"/>
                <w:szCs w:val="8"/>
                <w:color w:val="auto"/>
              </w:rPr>
              <w:t>319,858</w:t>
            </w:r>
          </w:p>
        </w:tc>
        <w:tc>
          <w:tcPr>
            <w:tcW w:w="120" w:type="dxa"/>
            <w:vAlign w:val="bottom"/>
          </w:tcPr>
          <w:p>
            <w:pPr>
              <w:spacing w:after="0"/>
              <w:rPr>
                <w:sz w:val="7"/>
                <w:szCs w:val="7"/>
                <w:color w:val="auto"/>
              </w:rPr>
            </w:pPr>
          </w:p>
        </w:tc>
        <w:tc>
          <w:tcPr>
            <w:tcW w:w="44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6.38</w:t>
            </w:r>
          </w:p>
        </w:tc>
        <w:tc>
          <w:tcPr>
            <w:tcW w:w="5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3,925</w:t>
            </w:r>
          </w:p>
        </w:tc>
        <w:tc>
          <w:tcPr>
            <w:tcW w:w="5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235,364</w:t>
            </w:r>
          </w:p>
        </w:tc>
        <w:tc>
          <w:tcPr>
            <w:tcW w:w="42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6.00</w:t>
            </w:r>
          </w:p>
        </w:tc>
        <w:tc>
          <w:tcPr>
            <w:tcW w:w="5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3,111</w:t>
            </w:r>
          </w:p>
        </w:tc>
        <w:tc>
          <w:tcPr>
            <w:tcW w:w="5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184,125</w:t>
            </w: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5.92</w:t>
            </w:r>
          </w:p>
        </w:tc>
        <w:tc>
          <w:tcPr>
            <w:tcW w:w="46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3,777</w:t>
            </w:r>
          </w:p>
        </w:tc>
        <w:tc>
          <w:tcPr>
            <w:tcW w:w="5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232,454</w:t>
            </w:r>
          </w:p>
        </w:tc>
        <w:tc>
          <w:tcPr>
            <w:tcW w:w="44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6.15</w:t>
            </w:r>
          </w:p>
        </w:tc>
        <w:tc>
          <w:tcPr>
            <w:tcW w:w="480" w:type="dxa"/>
            <w:vAlign w:val="bottom"/>
            <w:gridSpan w:val="2"/>
          </w:tcPr>
          <w:p>
            <w:pPr>
              <w:jc w:val="right"/>
              <w:ind w:right="120"/>
              <w:spacing w:after="0" w:line="89" w:lineRule="exact"/>
              <w:rPr>
                <w:sz w:val="20"/>
                <w:szCs w:val="20"/>
                <w:color w:val="auto"/>
              </w:rPr>
            </w:pPr>
            <w:r>
              <w:rPr>
                <w:rFonts w:ascii="Arial" w:cs="Arial" w:eastAsia="Arial" w:hAnsi="Arial"/>
                <w:sz w:val="8"/>
                <w:szCs w:val="8"/>
                <w:color w:val="auto"/>
              </w:rPr>
              <w:t>4,087</w:t>
            </w:r>
          </w:p>
        </w:tc>
        <w:tc>
          <w:tcPr>
            <w:tcW w:w="420" w:type="dxa"/>
            <w:vAlign w:val="bottom"/>
            <w:gridSpan w:val="2"/>
          </w:tcPr>
          <w:p>
            <w:pPr>
              <w:jc w:val="right"/>
              <w:ind w:right="40"/>
              <w:spacing w:after="0" w:line="89" w:lineRule="exact"/>
              <w:rPr>
                <w:sz w:val="20"/>
                <w:szCs w:val="20"/>
                <w:color w:val="auto"/>
              </w:rPr>
            </w:pPr>
            <w:r>
              <w:rPr>
                <w:rFonts w:ascii="Arial" w:cs="Arial" w:eastAsia="Arial" w:hAnsi="Arial"/>
                <w:sz w:val="8"/>
                <w:szCs w:val="8"/>
                <w:color w:val="auto"/>
              </w:rPr>
              <w:t>285,055</w:t>
            </w:r>
          </w:p>
        </w:tc>
        <w:tc>
          <w:tcPr>
            <w:tcW w:w="34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6.98</w:t>
            </w:r>
          </w:p>
        </w:tc>
      </w:tr>
      <w:tr>
        <w:trPr>
          <w:trHeight w:val="88"/>
        </w:trPr>
        <w:tc>
          <w:tcPr>
            <w:tcW w:w="2940" w:type="dxa"/>
            <w:vAlign w:val="bottom"/>
            <w:gridSpan w:val="2"/>
            <w:shd w:val="clear" w:color="auto" w:fill="CCEEFF"/>
          </w:tcPr>
          <w:p>
            <w:pPr>
              <w:ind w:left="80"/>
              <w:spacing w:after="0" w:line="89" w:lineRule="exact"/>
              <w:rPr>
                <w:sz w:val="20"/>
                <w:szCs w:val="20"/>
                <w:color w:val="auto"/>
              </w:rPr>
            </w:pPr>
            <w:r>
              <w:rPr>
                <w:rFonts w:ascii="Arial" w:cs="Arial" w:eastAsia="Arial" w:hAnsi="Arial"/>
                <w:sz w:val="8"/>
                <w:szCs w:val="8"/>
                <w:color w:val="auto"/>
              </w:rPr>
              <w:t>Consumer</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10,003</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712,484</w:t>
            </w:r>
          </w:p>
        </w:tc>
        <w:tc>
          <w:tcPr>
            <w:tcW w:w="12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7.12</w:t>
            </w: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10,808</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664,509</w:t>
            </w:r>
          </w:p>
        </w:tc>
        <w:tc>
          <w:tcPr>
            <w:tcW w:w="4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6.15</w:t>
            </w: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11,220</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626,255</w:t>
            </w:r>
          </w:p>
        </w:tc>
        <w:tc>
          <w:tcPr>
            <w:tcW w:w="460" w:type="dxa"/>
            <w:vAlign w:val="bottom"/>
            <w:tcBorders>
              <w:right w:val="single" w:sz="8" w:color="CCEEFF"/>
            </w:tcBorders>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5.58</w:t>
            </w:r>
          </w:p>
        </w:tc>
        <w:tc>
          <w:tcPr>
            <w:tcW w:w="46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10,098</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607,909</w:t>
            </w: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6.02</w:t>
            </w:r>
          </w:p>
        </w:tc>
        <w:tc>
          <w:tcPr>
            <w:tcW w:w="480" w:type="dxa"/>
            <w:vAlign w:val="bottom"/>
            <w:gridSpan w:val="2"/>
            <w:shd w:val="clear" w:color="auto" w:fill="CCEEFF"/>
          </w:tcPr>
          <w:p>
            <w:pPr>
              <w:jc w:val="right"/>
              <w:ind w:right="120"/>
              <w:spacing w:after="0" w:line="89" w:lineRule="exact"/>
              <w:rPr>
                <w:sz w:val="20"/>
                <w:szCs w:val="20"/>
                <w:color w:val="auto"/>
              </w:rPr>
            </w:pPr>
            <w:r>
              <w:rPr>
                <w:rFonts w:ascii="Arial" w:cs="Arial" w:eastAsia="Arial" w:hAnsi="Arial"/>
                <w:sz w:val="8"/>
                <w:szCs w:val="8"/>
                <w:color w:val="auto"/>
              </w:rPr>
              <w:t>6,776</w:t>
            </w:r>
          </w:p>
        </w:tc>
        <w:tc>
          <w:tcPr>
            <w:tcW w:w="420" w:type="dxa"/>
            <w:vAlign w:val="bottom"/>
            <w:gridSpan w:val="2"/>
            <w:shd w:val="clear" w:color="auto" w:fill="CCEEFF"/>
          </w:tcPr>
          <w:p>
            <w:pPr>
              <w:jc w:val="right"/>
              <w:ind w:right="40"/>
              <w:spacing w:after="0" w:line="89" w:lineRule="exact"/>
              <w:rPr>
                <w:sz w:val="20"/>
                <w:szCs w:val="20"/>
                <w:color w:val="auto"/>
              </w:rPr>
            </w:pPr>
            <w:r>
              <w:rPr>
                <w:rFonts w:ascii="Arial" w:cs="Arial" w:eastAsia="Arial" w:hAnsi="Arial"/>
                <w:sz w:val="8"/>
                <w:szCs w:val="8"/>
                <w:color w:val="auto"/>
              </w:rPr>
              <w:t>467,167</w:t>
            </w:r>
          </w:p>
        </w:tc>
        <w:tc>
          <w:tcPr>
            <w:tcW w:w="34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6.89</w:t>
            </w:r>
          </w:p>
        </w:tc>
      </w:tr>
      <w:tr>
        <w:trPr>
          <w:trHeight w:val="20"/>
        </w:trPr>
        <w:tc>
          <w:tcPr>
            <w:tcW w:w="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940" w:type="dxa"/>
            <w:vAlign w:val="bottom"/>
            <w:gridSpan w:val="2"/>
          </w:tcPr>
          <w:p>
            <w:pPr>
              <w:ind w:left="180"/>
              <w:spacing w:after="0" w:line="88" w:lineRule="exact"/>
              <w:rPr>
                <w:sz w:val="20"/>
                <w:szCs w:val="20"/>
                <w:color w:val="auto"/>
              </w:rPr>
            </w:pPr>
            <w:r>
              <w:rPr>
                <w:rFonts w:ascii="Arial" w:cs="Arial" w:eastAsia="Arial" w:hAnsi="Arial"/>
                <w:sz w:val="8"/>
                <w:szCs w:val="8"/>
                <w:color w:val="auto"/>
              </w:rPr>
              <w:t>Total loans and leases, net</w:t>
            </w:r>
          </w:p>
        </w:tc>
        <w:tc>
          <w:tcPr>
            <w:tcW w:w="40" w:type="dxa"/>
            <w:vAlign w:val="bottom"/>
          </w:tcPr>
          <w:p>
            <w:pPr>
              <w:spacing w:after="0"/>
              <w:rPr>
                <w:sz w:val="7"/>
                <w:szCs w:val="7"/>
                <w:color w:val="auto"/>
              </w:rPr>
            </w:pPr>
          </w:p>
        </w:tc>
        <w:tc>
          <w:tcPr>
            <w:tcW w:w="46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41,433</w:t>
            </w:r>
          </w:p>
        </w:tc>
        <w:tc>
          <w:tcPr>
            <w:tcW w:w="60" w:type="dxa"/>
            <w:vAlign w:val="bottom"/>
          </w:tcPr>
          <w:p>
            <w:pPr>
              <w:spacing w:after="0"/>
              <w:rPr>
                <w:sz w:val="7"/>
                <w:szCs w:val="7"/>
                <w:color w:val="auto"/>
              </w:rPr>
            </w:pPr>
          </w:p>
        </w:tc>
        <w:tc>
          <w:tcPr>
            <w:tcW w:w="340" w:type="dxa"/>
            <w:vAlign w:val="bottom"/>
          </w:tcPr>
          <w:p>
            <w:pPr>
              <w:jc w:val="right"/>
              <w:spacing w:after="0" w:line="88" w:lineRule="exact"/>
              <w:rPr>
                <w:sz w:val="20"/>
                <w:szCs w:val="20"/>
                <w:color w:val="auto"/>
              </w:rPr>
            </w:pPr>
            <w:r>
              <w:rPr>
                <w:rFonts w:ascii="Arial" w:cs="Arial" w:eastAsia="Arial" w:hAnsi="Arial"/>
                <w:sz w:val="8"/>
                <w:szCs w:val="8"/>
                <w:color w:val="auto"/>
                <w:w w:val="89"/>
              </w:rPr>
              <w:t>2,939,311</w:t>
            </w:r>
          </w:p>
        </w:tc>
        <w:tc>
          <w:tcPr>
            <w:tcW w:w="120" w:type="dxa"/>
            <w:vAlign w:val="bottom"/>
          </w:tcPr>
          <w:p>
            <w:pPr>
              <w:spacing w:after="0"/>
              <w:rPr>
                <w:sz w:val="7"/>
                <w:szCs w:val="7"/>
                <w:color w:val="auto"/>
              </w:rPr>
            </w:pPr>
          </w:p>
        </w:tc>
        <w:tc>
          <w:tcPr>
            <w:tcW w:w="44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7.09</w:t>
            </w:r>
          </w:p>
        </w:tc>
        <w:tc>
          <w:tcPr>
            <w:tcW w:w="50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39,529</w:t>
            </w:r>
          </w:p>
        </w:tc>
        <w:tc>
          <w:tcPr>
            <w:tcW w:w="52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2,430,534</w:t>
            </w:r>
          </w:p>
        </w:tc>
        <w:tc>
          <w:tcPr>
            <w:tcW w:w="42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6.15</w:t>
            </w:r>
          </w:p>
        </w:tc>
        <w:tc>
          <w:tcPr>
            <w:tcW w:w="50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37,129</w:t>
            </w:r>
          </w:p>
        </w:tc>
        <w:tc>
          <w:tcPr>
            <w:tcW w:w="52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1,983,772</w:t>
            </w:r>
          </w:p>
        </w:tc>
        <w:tc>
          <w:tcPr>
            <w:tcW w:w="46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5.34</w:t>
            </w:r>
          </w:p>
        </w:tc>
        <w:tc>
          <w:tcPr>
            <w:tcW w:w="46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33,971</w:t>
            </w:r>
          </w:p>
        </w:tc>
        <w:tc>
          <w:tcPr>
            <w:tcW w:w="52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1,905,014</w:t>
            </w:r>
          </w:p>
        </w:tc>
        <w:tc>
          <w:tcPr>
            <w:tcW w:w="44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5.61</w:t>
            </w:r>
          </w:p>
        </w:tc>
        <w:tc>
          <w:tcPr>
            <w:tcW w:w="480" w:type="dxa"/>
            <w:vAlign w:val="bottom"/>
            <w:gridSpan w:val="2"/>
          </w:tcPr>
          <w:p>
            <w:pPr>
              <w:jc w:val="right"/>
              <w:ind w:right="120"/>
              <w:spacing w:after="0" w:line="88" w:lineRule="exact"/>
              <w:rPr>
                <w:sz w:val="20"/>
                <w:szCs w:val="20"/>
                <w:color w:val="auto"/>
              </w:rPr>
            </w:pPr>
            <w:r>
              <w:rPr>
                <w:rFonts w:ascii="Arial" w:cs="Arial" w:eastAsia="Arial" w:hAnsi="Arial"/>
                <w:sz w:val="8"/>
                <w:szCs w:val="8"/>
                <w:color w:val="auto"/>
              </w:rPr>
              <w:t>25,507</w:t>
            </w:r>
          </w:p>
        </w:tc>
        <w:tc>
          <w:tcPr>
            <w:tcW w:w="420" w:type="dxa"/>
            <w:vAlign w:val="bottom"/>
            <w:gridSpan w:val="2"/>
          </w:tcPr>
          <w:p>
            <w:pPr>
              <w:jc w:val="right"/>
              <w:ind w:right="40"/>
              <w:spacing w:after="0" w:line="88" w:lineRule="exact"/>
              <w:rPr>
                <w:sz w:val="20"/>
                <w:szCs w:val="20"/>
                <w:color w:val="auto"/>
              </w:rPr>
            </w:pPr>
            <w:r>
              <w:rPr>
                <w:rFonts w:ascii="Arial" w:cs="Arial" w:eastAsia="Arial" w:hAnsi="Arial"/>
                <w:sz w:val="8"/>
                <w:szCs w:val="8"/>
                <w:color w:val="auto"/>
              </w:rPr>
              <w:t>1,675,471</w:t>
            </w:r>
          </w:p>
        </w:tc>
        <w:tc>
          <w:tcPr>
            <w:tcW w:w="340" w:type="dxa"/>
            <w:vAlign w:val="bottom"/>
            <w:gridSpan w:val="2"/>
          </w:tcPr>
          <w:p>
            <w:pPr>
              <w:jc w:val="right"/>
              <w:ind w:right="60"/>
              <w:spacing w:after="0" w:line="88" w:lineRule="exact"/>
              <w:rPr>
                <w:sz w:val="20"/>
                <w:szCs w:val="20"/>
                <w:color w:val="auto"/>
              </w:rPr>
            </w:pPr>
            <w:r>
              <w:rPr>
                <w:rFonts w:ascii="Arial" w:cs="Arial" w:eastAsia="Arial" w:hAnsi="Arial"/>
                <w:sz w:val="8"/>
                <w:szCs w:val="8"/>
                <w:color w:val="auto"/>
              </w:rPr>
              <w:t>6.57</w:t>
            </w:r>
          </w:p>
        </w:tc>
      </w:tr>
      <w:tr>
        <w:trPr>
          <w:trHeight w:val="20"/>
        </w:trPr>
        <w:tc>
          <w:tcPr>
            <w:tcW w:w="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940" w:type="dxa"/>
            <w:vAlign w:val="bottom"/>
            <w:gridSpan w:val="2"/>
            <w:shd w:val="clear" w:color="auto" w:fill="CCEEFF"/>
          </w:tcPr>
          <w:p>
            <w:pPr>
              <w:spacing w:after="0" w:line="88" w:lineRule="exact"/>
              <w:rPr>
                <w:sz w:val="20"/>
                <w:szCs w:val="20"/>
                <w:color w:val="auto"/>
              </w:rPr>
            </w:pPr>
            <w:r>
              <w:rPr>
                <w:rFonts w:ascii="Arial" w:cs="Arial" w:eastAsia="Arial" w:hAnsi="Arial"/>
                <w:sz w:val="8"/>
                <w:szCs w:val="8"/>
                <w:color w:val="auto"/>
              </w:rPr>
              <w:t>Interest-bearing deposits at banks</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12</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372</w:t>
            </w:r>
          </w:p>
        </w:tc>
        <w:tc>
          <w:tcPr>
            <w:tcW w:w="12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3.01</w:t>
            </w:r>
          </w:p>
        </w:tc>
        <w:tc>
          <w:tcPr>
            <w:tcW w:w="50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10</w:t>
            </w:r>
          </w:p>
        </w:tc>
        <w:tc>
          <w:tcPr>
            <w:tcW w:w="52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169</w:t>
            </w:r>
          </w:p>
        </w:tc>
        <w:tc>
          <w:tcPr>
            <w:tcW w:w="42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1.64</w:t>
            </w:r>
          </w:p>
        </w:tc>
        <w:tc>
          <w:tcPr>
            <w:tcW w:w="50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13</w:t>
            </w:r>
          </w:p>
        </w:tc>
        <w:tc>
          <w:tcPr>
            <w:tcW w:w="52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65</w:t>
            </w:r>
          </w:p>
        </w:tc>
        <w:tc>
          <w:tcPr>
            <w:tcW w:w="460" w:type="dxa"/>
            <w:vAlign w:val="bottom"/>
            <w:tcBorders>
              <w:right w:val="single" w:sz="8" w:color="CCEEFF"/>
            </w:tcBorders>
            <w:gridSpan w:val="2"/>
            <w:shd w:val="clear" w:color="auto" w:fill="CCEEFF"/>
          </w:tcPr>
          <w:p>
            <w:pPr>
              <w:jc w:val="right"/>
              <w:ind w:right="180"/>
              <w:spacing w:after="0" w:line="88" w:lineRule="exact"/>
              <w:rPr>
                <w:sz w:val="20"/>
                <w:szCs w:val="20"/>
                <w:color w:val="auto"/>
              </w:rPr>
            </w:pPr>
            <w:r>
              <w:rPr>
                <w:rFonts w:ascii="Arial" w:cs="Arial" w:eastAsia="Arial" w:hAnsi="Arial"/>
                <w:sz w:val="8"/>
                <w:szCs w:val="8"/>
                <w:color w:val="auto"/>
              </w:rPr>
              <w:t>.51</w:t>
            </w:r>
          </w:p>
        </w:tc>
        <w:tc>
          <w:tcPr>
            <w:tcW w:w="46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14</w:t>
            </w:r>
          </w:p>
        </w:tc>
        <w:tc>
          <w:tcPr>
            <w:tcW w:w="52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147</w:t>
            </w:r>
          </w:p>
        </w:tc>
        <w:tc>
          <w:tcPr>
            <w:tcW w:w="44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1.03</w:t>
            </w:r>
          </w:p>
        </w:tc>
        <w:tc>
          <w:tcPr>
            <w:tcW w:w="480" w:type="dxa"/>
            <w:vAlign w:val="bottom"/>
            <w:gridSpan w:val="2"/>
            <w:shd w:val="clear" w:color="auto" w:fill="CCEEFF"/>
          </w:tcPr>
          <w:p>
            <w:pPr>
              <w:jc w:val="right"/>
              <w:ind w:right="120"/>
              <w:spacing w:after="0" w:line="88" w:lineRule="exact"/>
              <w:rPr>
                <w:sz w:val="20"/>
                <w:szCs w:val="20"/>
                <w:color w:val="auto"/>
              </w:rPr>
            </w:pPr>
            <w:r>
              <w:rPr>
                <w:rFonts w:ascii="Arial" w:cs="Arial" w:eastAsia="Arial" w:hAnsi="Arial"/>
                <w:sz w:val="8"/>
                <w:szCs w:val="8"/>
                <w:color w:val="auto"/>
              </w:rPr>
              <w:t>6</w:t>
            </w:r>
          </w:p>
        </w:tc>
        <w:tc>
          <w:tcPr>
            <w:tcW w:w="420" w:type="dxa"/>
            <w:vAlign w:val="bottom"/>
            <w:gridSpan w:val="2"/>
            <w:shd w:val="clear" w:color="auto" w:fill="CCEEFF"/>
          </w:tcPr>
          <w:p>
            <w:pPr>
              <w:jc w:val="right"/>
              <w:ind w:right="40"/>
              <w:spacing w:after="0" w:line="88" w:lineRule="exact"/>
              <w:rPr>
                <w:sz w:val="20"/>
                <w:szCs w:val="20"/>
                <w:color w:val="auto"/>
              </w:rPr>
            </w:pPr>
            <w:r>
              <w:rPr>
                <w:rFonts w:ascii="Arial" w:cs="Arial" w:eastAsia="Arial" w:hAnsi="Arial"/>
                <w:sz w:val="8"/>
                <w:szCs w:val="8"/>
                <w:color w:val="auto"/>
              </w:rPr>
              <w:t>76</w:t>
            </w:r>
          </w:p>
        </w:tc>
        <w:tc>
          <w:tcPr>
            <w:tcW w:w="340" w:type="dxa"/>
            <w:vAlign w:val="bottom"/>
            <w:gridSpan w:val="2"/>
            <w:shd w:val="clear" w:color="auto" w:fill="CCEEFF"/>
          </w:tcPr>
          <w:p>
            <w:pPr>
              <w:jc w:val="right"/>
              <w:ind w:right="60"/>
              <w:spacing w:after="0" w:line="88" w:lineRule="exact"/>
              <w:rPr>
                <w:sz w:val="20"/>
                <w:szCs w:val="20"/>
                <w:color w:val="auto"/>
              </w:rPr>
            </w:pPr>
            <w:r>
              <w:rPr>
                <w:rFonts w:ascii="Arial" w:cs="Arial" w:eastAsia="Arial" w:hAnsi="Arial"/>
                <w:sz w:val="8"/>
                <w:szCs w:val="8"/>
                <w:color w:val="auto"/>
              </w:rPr>
              <w:t>1.32</w:t>
            </w:r>
          </w:p>
        </w:tc>
      </w:tr>
      <w:tr>
        <w:trPr>
          <w:trHeight w:val="88"/>
        </w:trPr>
        <w:tc>
          <w:tcPr>
            <w:tcW w:w="2940" w:type="dxa"/>
            <w:vAlign w:val="bottom"/>
            <w:gridSpan w:val="2"/>
          </w:tcPr>
          <w:p>
            <w:pPr>
              <w:spacing w:after="0" w:line="89" w:lineRule="exact"/>
              <w:rPr>
                <w:sz w:val="20"/>
                <w:szCs w:val="20"/>
                <w:color w:val="auto"/>
              </w:rPr>
            </w:pPr>
            <w:r>
              <w:rPr>
                <w:rFonts w:ascii="Arial" w:cs="Arial" w:eastAsia="Arial" w:hAnsi="Arial"/>
                <w:sz w:val="8"/>
                <w:szCs w:val="8"/>
                <w:color w:val="auto"/>
              </w:rPr>
              <w:t>Federal funds sold and agreements to resell securities</w:t>
            </w:r>
          </w:p>
        </w:tc>
        <w:tc>
          <w:tcPr>
            <w:tcW w:w="40" w:type="dxa"/>
            <w:vAlign w:val="bottom"/>
          </w:tcPr>
          <w:p>
            <w:pPr>
              <w:spacing w:after="0"/>
              <w:rPr>
                <w:sz w:val="7"/>
                <w:szCs w:val="7"/>
                <w:color w:val="auto"/>
              </w:rPr>
            </w:pPr>
          </w:p>
        </w:tc>
        <w:tc>
          <w:tcPr>
            <w:tcW w:w="46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81</w:t>
            </w:r>
          </w:p>
        </w:tc>
        <w:tc>
          <w:tcPr>
            <w:tcW w:w="60" w:type="dxa"/>
            <w:vAlign w:val="bottom"/>
          </w:tcPr>
          <w:p>
            <w:pPr>
              <w:spacing w:after="0"/>
              <w:rPr>
                <w:sz w:val="7"/>
                <w:szCs w:val="7"/>
                <w:color w:val="auto"/>
              </w:rPr>
            </w:pPr>
          </w:p>
        </w:tc>
        <w:tc>
          <w:tcPr>
            <w:tcW w:w="340" w:type="dxa"/>
            <w:vAlign w:val="bottom"/>
          </w:tcPr>
          <w:p>
            <w:pPr>
              <w:jc w:val="right"/>
              <w:spacing w:after="0" w:line="89" w:lineRule="exact"/>
              <w:rPr>
                <w:sz w:val="20"/>
                <w:szCs w:val="20"/>
                <w:color w:val="auto"/>
              </w:rPr>
            </w:pPr>
            <w:r>
              <w:rPr>
                <w:rFonts w:ascii="Arial" w:cs="Arial" w:eastAsia="Arial" w:hAnsi="Arial"/>
                <w:sz w:val="8"/>
                <w:szCs w:val="8"/>
                <w:color w:val="auto"/>
              </w:rPr>
              <w:t>5,597</w:t>
            </w:r>
          </w:p>
        </w:tc>
        <w:tc>
          <w:tcPr>
            <w:tcW w:w="120" w:type="dxa"/>
            <w:vAlign w:val="bottom"/>
          </w:tcPr>
          <w:p>
            <w:pPr>
              <w:spacing w:after="0"/>
              <w:rPr>
                <w:sz w:val="7"/>
                <w:szCs w:val="7"/>
                <w:color w:val="auto"/>
              </w:rPr>
            </w:pPr>
          </w:p>
        </w:tc>
        <w:tc>
          <w:tcPr>
            <w:tcW w:w="44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6.91</w:t>
            </w:r>
          </w:p>
        </w:tc>
        <w:tc>
          <w:tcPr>
            <w:tcW w:w="5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23</w:t>
            </w:r>
          </w:p>
        </w:tc>
        <w:tc>
          <w:tcPr>
            <w:tcW w:w="5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808</w:t>
            </w:r>
          </w:p>
        </w:tc>
        <w:tc>
          <w:tcPr>
            <w:tcW w:w="42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3.55</w:t>
            </w:r>
          </w:p>
        </w:tc>
        <w:tc>
          <w:tcPr>
            <w:tcW w:w="5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8</w:t>
            </w:r>
          </w:p>
        </w:tc>
        <w:tc>
          <w:tcPr>
            <w:tcW w:w="5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134</w:t>
            </w: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1.60</w:t>
            </w:r>
          </w:p>
        </w:tc>
        <w:tc>
          <w:tcPr>
            <w:tcW w:w="46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147</w:t>
            </w:r>
          </w:p>
        </w:tc>
        <w:tc>
          <w:tcPr>
            <w:tcW w:w="5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1,875</w:t>
            </w:r>
          </w:p>
        </w:tc>
        <w:tc>
          <w:tcPr>
            <w:tcW w:w="44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1.28</w:t>
            </w:r>
          </w:p>
        </w:tc>
        <w:tc>
          <w:tcPr>
            <w:tcW w:w="480" w:type="dxa"/>
            <w:vAlign w:val="bottom"/>
            <w:gridSpan w:val="2"/>
          </w:tcPr>
          <w:p>
            <w:pPr>
              <w:jc w:val="right"/>
              <w:ind w:right="120"/>
              <w:spacing w:after="0" w:line="89" w:lineRule="exact"/>
              <w:rPr>
                <w:sz w:val="20"/>
                <w:szCs w:val="20"/>
                <w:color w:val="auto"/>
              </w:rPr>
            </w:pPr>
            <w:r>
              <w:rPr>
                <w:rFonts w:ascii="Arial" w:cs="Arial" w:eastAsia="Arial" w:hAnsi="Arial"/>
                <w:sz w:val="8"/>
                <w:szCs w:val="8"/>
                <w:color w:val="auto"/>
              </w:rPr>
              <w:t>272</w:t>
            </w:r>
          </w:p>
        </w:tc>
        <w:tc>
          <w:tcPr>
            <w:tcW w:w="420" w:type="dxa"/>
            <w:vAlign w:val="bottom"/>
            <w:gridSpan w:val="2"/>
          </w:tcPr>
          <w:p>
            <w:pPr>
              <w:jc w:val="right"/>
              <w:ind w:right="40"/>
              <w:spacing w:after="0" w:line="89" w:lineRule="exact"/>
              <w:rPr>
                <w:sz w:val="20"/>
                <w:szCs w:val="20"/>
                <w:color w:val="auto"/>
              </w:rPr>
            </w:pPr>
            <w:r>
              <w:rPr>
                <w:rFonts w:ascii="Arial" w:cs="Arial" w:eastAsia="Arial" w:hAnsi="Arial"/>
                <w:sz w:val="8"/>
                <w:szCs w:val="8"/>
                <w:color w:val="auto"/>
              </w:rPr>
              <w:t>4,455</w:t>
            </w:r>
          </w:p>
        </w:tc>
        <w:tc>
          <w:tcPr>
            <w:tcW w:w="34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1.63</w:t>
            </w:r>
          </w:p>
        </w:tc>
      </w:tr>
      <w:tr>
        <w:trPr>
          <w:trHeight w:val="88"/>
        </w:trPr>
        <w:tc>
          <w:tcPr>
            <w:tcW w:w="2940" w:type="dxa"/>
            <w:vAlign w:val="bottom"/>
            <w:gridSpan w:val="2"/>
            <w:shd w:val="clear" w:color="auto" w:fill="CCEEFF"/>
          </w:tcPr>
          <w:p>
            <w:pPr>
              <w:spacing w:after="0" w:line="89" w:lineRule="exact"/>
              <w:rPr>
                <w:sz w:val="20"/>
                <w:szCs w:val="20"/>
                <w:color w:val="auto"/>
              </w:rPr>
            </w:pPr>
            <w:r>
              <w:rPr>
                <w:rFonts w:ascii="Arial" w:cs="Arial" w:eastAsia="Arial" w:hAnsi="Arial"/>
                <w:sz w:val="8"/>
                <w:szCs w:val="8"/>
                <w:color w:val="auto"/>
              </w:rPr>
              <w:t>Trading account</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90</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2,446</w:t>
            </w:r>
          </w:p>
        </w:tc>
        <w:tc>
          <w:tcPr>
            <w:tcW w:w="12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2.71</w:t>
            </w: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80</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1,544</w:t>
            </w:r>
          </w:p>
        </w:tc>
        <w:tc>
          <w:tcPr>
            <w:tcW w:w="4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1.92</w:t>
            </w: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53</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418</w:t>
            </w:r>
          </w:p>
        </w:tc>
        <w:tc>
          <w:tcPr>
            <w:tcW w:w="460" w:type="dxa"/>
            <w:vAlign w:val="bottom"/>
            <w:tcBorders>
              <w:right w:val="single" w:sz="8" w:color="CCEEFF"/>
            </w:tcBorders>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.79</w:t>
            </w:r>
          </w:p>
        </w:tc>
        <w:tc>
          <w:tcPr>
            <w:tcW w:w="46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55</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647</w:t>
            </w: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1.18</w:t>
            </w:r>
          </w:p>
        </w:tc>
        <w:tc>
          <w:tcPr>
            <w:tcW w:w="480" w:type="dxa"/>
            <w:vAlign w:val="bottom"/>
            <w:gridSpan w:val="2"/>
            <w:shd w:val="clear" w:color="auto" w:fill="CCEEFF"/>
          </w:tcPr>
          <w:p>
            <w:pPr>
              <w:jc w:val="right"/>
              <w:ind w:right="120"/>
              <w:spacing w:after="0" w:line="89" w:lineRule="exact"/>
              <w:rPr>
                <w:sz w:val="20"/>
                <w:szCs w:val="20"/>
                <w:color w:val="auto"/>
              </w:rPr>
            </w:pPr>
            <w:r>
              <w:rPr>
                <w:rFonts w:ascii="Arial" w:cs="Arial" w:eastAsia="Arial" w:hAnsi="Arial"/>
                <w:sz w:val="8"/>
                <w:szCs w:val="8"/>
                <w:color w:val="auto"/>
              </w:rPr>
              <w:t>13</w:t>
            </w:r>
          </w:p>
        </w:tc>
        <w:tc>
          <w:tcPr>
            <w:tcW w:w="420" w:type="dxa"/>
            <w:vAlign w:val="bottom"/>
            <w:gridSpan w:val="2"/>
            <w:shd w:val="clear" w:color="auto" w:fill="CCEEFF"/>
          </w:tcPr>
          <w:p>
            <w:pPr>
              <w:jc w:val="right"/>
              <w:ind w:right="40"/>
              <w:spacing w:after="0" w:line="89" w:lineRule="exact"/>
              <w:rPr>
                <w:sz w:val="20"/>
                <w:szCs w:val="20"/>
                <w:color w:val="auto"/>
              </w:rPr>
            </w:pPr>
            <w:r>
              <w:rPr>
                <w:rFonts w:ascii="Arial" w:cs="Arial" w:eastAsia="Arial" w:hAnsi="Arial"/>
                <w:sz w:val="8"/>
                <w:szCs w:val="8"/>
                <w:color w:val="auto"/>
              </w:rPr>
              <w:t>247</w:t>
            </w:r>
          </w:p>
        </w:tc>
        <w:tc>
          <w:tcPr>
            <w:tcW w:w="34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1.86</w:t>
            </w:r>
          </w:p>
        </w:tc>
      </w:tr>
      <w:tr>
        <w:trPr>
          <w:trHeight w:val="88"/>
        </w:trPr>
        <w:tc>
          <w:tcPr>
            <w:tcW w:w="2940" w:type="dxa"/>
            <w:vAlign w:val="bottom"/>
            <w:gridSpan w:val="2"/>
          </w:tcPr>
          <w:p>
            <w:pPr>
              <w:spacing w:after="0" w:line="89" w:lineRule="exact"/>
              <w:rPr>
                <w:sz w:val="20"/>
                <w:szCs w:val="20"/>
                <w:color w:val="auto"/>
              </w:rPr>
            </w:pPr>
            <w:r>
              <w:rPr>
                <w:rFonts w:ascii="Arial" w:cs="Arial" w:eastAsia="Arial" w:hAnsi="Arial"/>
                <w:sz w:val="8"/>
                <w:szCs w:val="8"/>
                <w:color w:val="auto"/>
              </w:rPr>
              <w:t>Investment securities(b)</w:t>
            </w: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88"/>
        </w:trPr>
        <w:tc>
          <w:tcPr>
            <w:tcW w:w="2940" w:type="dxa"/>
            <w:vAlign w:val="bottom"/>
            <w:gridSpan w:val="2"/>
            <w:shd w:val="clear" w:color="auto" w:fill="CCEEFF"/>
          </w:tcPr>
          <w:p>
            <w:pPr>
              <w:ind w:left="80"/>
              <w:spacing w:after="0" w:line="89" w:lineRule="exact"/>
              <w:rPr>
                <w:sz w:val="20"/>
                <w:szCs w:val="20"/>
                <w:color w:val="auto"/>
              </w:rPr>
            </w:pPr>
            <w:r>
              <w:rPr>
                <w:rFonts w:ascii="Arial" w:cs="Arial" w:eastAsia="Arial" w:hAnsi="Arial"/>
                <w:sz w:val="8"/>
                <w:szCs w:val="8"/>
                <w:color w:val="auto"/>
              </w:rPr>
              <w:t>U.S. Treasury and federal agencies</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2,884</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121,669</w:t>
            </w:r>
          </w:p>
        </w:tc>
        <w:tc>
          <w:tcPr>
            <w:tcW w:w="12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4.22</w:t>
            </w: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3,479</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134,528</w:t>
            </w:r>
          </w:p>
        </w:tc>
        <w:tc>
          <w:tcPr>
            <w:tcW w:w="4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3.87</w:t>
            </w: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4,169</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158,953</w:t>
            </w:r>
          </w:p>
        </w:tc>
        <w:tc>
          <w:tcPr>
            <w:tcW w:w="460" w:type="dxa"/>
            <w:vAlign w:val="bottom"/>
            <w:tcBorders>
              <w:right w:val="single" w:sz="8" w:color="CCEEFF"/>
            </w:tcBorders>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3.81</w:t>
            </w:r>
          </w:p>
        </w:tc>
        <w:tc>
          <w:tcPr>
            <w:tcW w:w="46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2,599</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106,209</w:t>
            </w: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4.09</w:t>
            </w:r>
          </w:p>
        </w:tc>
        <w:tc>
          <w:tcPr>
            <w:tcW w:w="480" w:type="dxa"/>
            <w:vAlign w:val="bottom"/>
            <w:gridSpan w:val="2"/>
            <w:shd w:val="clear" w:color="auto" w:fill="CCEEFF"/>
          </w:tcPr>
          <w:p>
            <w:pPr>
              <w:jc w:val="right"/>
              <w:ind w:right="120"/>
              <w:spacing w:after="0" w:line="89" w:lineRule="exact"/>
              <w:rPr>
                <w:sz w:val="20"/>
                <w:szCs w:val="20"/>
                <w:color w:val="auto"/>
              </w:rPr>
            </w:pPr>
            <w:r>
              <w:rPr>
                <w:rFonts w:ascii="Arial" w:cs="Arial" w:eastAsia="Arial" w:hAnsi="Arial"/>
                <w:sz w:val="8"/>
                <w:szCs w:val="8"/>
                <w:color w:val="auto"/>
              </w:rPr>
              <w:t>1,292</w:t>
            </w:r>
          </w:p>
        </w:tc>
        <w:tc>
          <w:tcPr>
            <w:tcW w:w="420" w:type="dxa"/>
            <w:vAlign w:val="bottom"/>
            <w:gridSpan w:val="2"/>
            <w:shd w:val="clear" w:color="auto" w:fill="CCEEFF"/>
          </w:tcPr>
          <w:p>
            <w:pPr>
              <w:jc w:val="right"/>
              <w:ind w:right="40"/>
              <w:spacing w:after="0" w:line="89" w:lineRule="exact"/>
              <w:rPr>
                <w:sz w:val="20"/>
                <w:szCs w:val="20"/>
                <w:color w:val="auto"/>
              </w:rPr>
            </w:pPr>
            <w:r>
              <w:rPr>
                <w:rFonts w:ascii="Arial" w:cs="Arial" w:eastAsia="Arial" w:hAnsi="Arial"/>
                <w:sz w:val="8"/>
                <w:szCs w:val="8"/>
                <w:color w:val="auto"/>
              </w:rPr>
              <w:t>81,412</w:t>
            </w:r>
          </w:p>
        </w:tc>
        <w:tc>
          <w:tcPr>
            <w:tcW w:w="34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6.30</w:t>
            </w:r>
          </w:p>
        </w:tc>
      </w:tr>
      <w:tr>
        <w:trPr>
          <w:trHeight w:val="88"/>
        </w:trPr>
        <w:tc>
          <w:tcPr>
            <w:tcW w:w="2940" w:type="dxa"/>
            <w:vAlign w:val="bottom"/>
            <w:gridSpan w:val="2"/>
          </w:tcPr>
          <w:p>
            <w:pPr>
              <w:ind w:left="80"/>
              <w:spacing w:after="0" w:line="89" w:lineRule="exact"/>
              <w:rPr>
                <w:sz w:val="20"/>
                <w:szCs w:val="20"/>
                <w:color w:val="auto"/>
              </w:rPr>
            </w:pPr>
            <w:r>
              <w:rPr>
                <w:rFonts w:ascii="Arial" w:cs="Arial" w:eastAsia="Arial" w:hAnsi="Arial"/>
                <w:sz w:val="8"/>
                <w:szCs w:val="8"/>
                <w:color w:val="auto"/>
              </w:rPr>
              <w:t>Obligations of states and political subdivisions</w:t>
            </w:r>
          </w:p>
        </w:tc>
        <w:tc>
          <w:tcPr>
            <w:tcW w:w="40" w:type="dxa"/>
            <w:vAlign w:val="bottom"/>
          </w:tcPr>
          <w:p>
            <w:pPr>
              <w:spacing w:after="0"/>
              <w:rPr>
                <w:sz w:val="7"/>
                <w:szCs w:val="7"/>
                <w:color w:val="auto"/>
              </w:rPr>
            </w:pPr>
          </w:p>
        </w:tc>
        <w:tc>
          <w:tcPr>
            <w:tcW w:w="46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157</w:t>
            </w:r>
          </w:p>
        </w:tc>
        <w:tc>
          <w:tcPr>
            <w:tcW w:w="60" w:type="dxa"/>
            <w:vAlign w:val="bottom"/>
          </w:tcPr>
          <w:p>
            <w:pPr>
              <w:spacing w:after="0"/>
              <w:rPr>
                <w:sz w:val="7"/>
                <w:szCs w:val="7"/>
                <w:color w:val="auto"/>
              </w:rPr>
            </w:pPr>
          </w:p>
        </w:tc>
        <w:tc>
          <w:tcPr>
            <w:tcW w:w="340" w:type="dxa"/>
            <w:vAlign w:val="bottom"/>
          </w:tcPr>
          <w:p>
            <w:pPr>
              <w:jc w:val="right"/>
              <w:spacing w:after="0" w:line="89" w:lineRule="exact"/>
              <w:rPr>
                <w:sz w:val="20"/>
                <w:szCs w:val="20"/>
                <w:color w:val="auto"/>
              </w:rPr>
            </w:pPr>
            <w:r>
              <w:rPr>
                <w:rFonts w:ascii="Arial" w:cs="Arial" w:eastAsia="Arial" w:hAnsi="Arial"/>
                <w:sz w:val="8"/>
                <w:szCs w:val="8"/>
                <w:color w:val="auto"/>
              </w:rPr>
              <w:t>10,223</w:t>
            </w:r>
          </w:p>
        </w:tc>
        <w:tc>
          <w:tcPr>
            <w:tcW w:w="120" w:type="dxa"/>
            <w:vAlign w:val="bottom"/>
          </w:tcPr>
          <w:p>
            <w:pPr>
              <w:spacing w:after="0"/>
              <w:rPr>
                <w:sz w:val="7"/>
                <w:szCs w:val="7"/>
                <w:color w:val="auto"/>
              </w:rPr>
            </w:pPr>
          </w:p>
        </w:tc>
        <w:tc>
          <w:tcPr>
            <w:tcW w:w="44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6.53</w:t>
            </w:r>
          </w:p>
        </w:tc>
        <w:tc>
          <w:tcPr>
            <w:tcW w:w="5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180</w:t>
            </w:r>
          </w:p>
        </w:tc>
        <w:tc>
          <w:tcPr>
            <w:tcW w:w="5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10,860</w:t>
            </w:r>
          </w:p>
        </w:tc>
        <w:tc>
          <w:tcPr>
            <w:tcW w:w="42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6.04</w:t>
            </w:r>
          </w:p>
        </w:tc>
        <w:tc>
          <w:tcPr>
            <w:tcW w:w="5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218</w:t>
            </w:r>
          </w:p>
        </w:tc>
        <w:tc>
          <w:tcPr>
            <w:tcW w:w="5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15,017</w:t>
            </w: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6.90</w:t>
            </w:r>
          </w:p>
        </w:tc>
        <w:tc>
          <w:tcPr>
            <w:tcW w:w="46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251</w:t>
            </w:r>
          </w:p>
        </w:tc>
        <w:tc>
          <w:tcPr>
            <w:tcW w:w="5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15,827</w:t>
            </w:r>
          </w:p>
        </w:tc>
        <w:tc>
          <w:tcPr>
            <w:tcW w:w="44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6.30</w:t>
            </w:r>
          </w:p>
        </w:tc>
        <w:tc>
          <w:tcPr>
            <w:tcW w:w="480" w:type="dxa"/>
            <w:vAlign w:val="bottom"/>
            <w:gridSpan w:val="2"/>
          </w:tcPr>
          <w:p>
            <w:pPr>
              <w:jc w:val="right"/>
              <w:ind w:right="120"/>
              <w:spacing w:after="0" w:line="89" w:lineRule="exact"/>
              <w:rPr>
                <w:sz w:val="20"/>
                <w:szCs w:val="20"/>
                <w:color w:val="auto"/>
              </w:rPr>
            </w:pPr>
            <w:r>
              <w:rPr>
                <w:rFonts w:ascii="Arial" w:cs="Arial" w:eastAsia="Arial" w:hAnsi="Arial"/>
                <w:sz w:val="8"/>
                <w:szCs w:val="8"/>
                <w:color w:val="auto"/>
              </w:rPr>
              <w:t>279</w:t>
            </w:r>
          </w:p>
        </w:tc>
        <w:tc>
          <w:tcPr>
            <w:tcW w:w="420" w:type="dxa"/>
            <w:vAlign w:val="bottom"/>
            <w:gridSpan w:val="2"/>
          </w:tcPr>
          <w:p>
            <w:pPr>
              <w:jc w:val="right"/>
              <w:ind w:right="40"/>
              <w:spacing w:after="0" w:line="89" w:lineRule="exact"/>
              <w:rPr>
                <w:sz w:val="20"/>
                <w:szCs w:val="20"/>
                <w:color w:val="auto"/>
              </w:rPr>
            </w:pPr>
            <w:r>
              <w:rPr>
                <w:rFonts w:ascii="Arial" w:cs="Arial" w:eastAsia="Arial" w:hAnsi="Arial"/>
                <w:sz w:val="8"/>
                <w:szCs w:val="8"/>
                <w:color w:val="auto"/>
              </w:rPr>
              <w:t>17,828</w:t>
            </w:r>
          </w:p>
        </w:tc>
        <w:tc>
          <w:tcPr>
            <w:tcW w:w="34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6.40</w:t>
            </w:r>
          </w:p>
        </w:tc>
      </w:tr>
      <w:tr>
        <w:trPr>
          <w:trHeight w:val="88"/>
        </w:trPr>
        <w:tc>
          <w:tcPr>
            <w:tcW w:w="2940" w:type="dxa"/>
            <w:vAlign w:val="bottom"/>
            <w:gridSpan w:val="2"/>
            <w:shd w:val="clear" w:color="auto" w:fill="CCEEFF"/>
          </w:tcPr>
          <w:p>
            <w:pPr>
              <w:ind w:left="80"/>
              <w:spacing w:after="0" w:line="89" w:lineRule="exact"/>
              <w:rPr>
                <w:sz w:val="20"/>
                <w:szCs w:val="20"/>
                <w:color w:val="auto"/>
              </w:rPr>
            </w:pPr>
            <w:r>
              <w:rPr>
                <w:rFonts w:ascii="Arial" w:cs="Arial" w:eastAsia="Arial" w:hAnsi="Arial"/>
                <w:sz w:val="8"/>
                <w:szCs w:val="8"/>
                <w:color w:val="auto"/>
              </w:rPr>
              <w:t>Other</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4,995</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254,142</w:t>
            </w:r>
          </w:p>
        </w:tc>
        <w:tc>
          <w:tcPr>
            <w:tcW w:w="12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5.09</w:t>
            </w: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4,817</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227,562</w:t>
            </w:r>
          </w:p>
        </w:tc>
        <w:tc>
          <w:tcPr>
            <w:tcW w:w="4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4.72</w:t>
            </w: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3,610</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157,703</w:t>
            </w:r>
          </w:p>
        </w:tc>
        <w:tc>
          <w:tcPr>
            <w:tcW w:w="460" w:type="dxa"/>
            <w:vAlign w:val="bottom"/>
            <w:tcBorders>
              <w:right w:val="single" w:sz="8" w:color="CCEEFF"/>
            </w:tcBorders>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4.37</w:t>
            </w:r>
          </w:p>
        </w:tc>
        <w:tc>
          <w:tcPr>
            <w:tcW w:w="46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2,494</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113,159</w:t>
            </w: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4.54</w:t>
            </w:r>
          </w:p>
        </w:tc>
        <w:tc>
          <w:tcPr>
            <w:tcW w:w="480" w:type="dxa"/>
            <w:vAlign w:val="bottom"/>
            <w:gridSpan w:val="2"/>
            <w:shd w:val="clear" w:color="auto" w:fill="CCEEFF"/>
          </w:tcPr>
          <w:p>
            <w:pPr>
              <w:jc w:val="right"/>
              <w:ind w:right="120"/>
              <w:spacing w:after="0" w:line="89" w:lineRule="exact"/>
              <w:rPr>
                <w:sz w:val="20"/>
                <w:szCs w:val="20"/>
                <w:color w:val="auto"/>
              </w:rPr>
            </w:pPr>
            <w:r>
              <w:rPr>
                <w:rFonts w:ascii="Arial" w:cs="Arial" w:eastAsia="Arial" w:hAnsi="Arial"/>
                <w:sz w:val="8"/>
                <w:szCs w:val="8"/>
                <w:color w:val="auto"/>
              </w:rPr>
              <w:t>1,552</w:t>
            </w:r>
          </w:p>
        </w:tc>
        <w:tc>
          <w:tcPr>
            <w:tcW w:w="420" w:type="dxa"/>
            <w:vAlign w:val="bottom"/>
            <w:gridSpan w:val="2"/>
            <w:shd w:val="clear" w:color="auto" w:fill="CCEEFF"/>
          </w:tcPr>
          <w:p>
            <w:pPr>
              <w:jc w:val="right"/>
              <w:ind w:right="40"/>
              <w:spacing w:after="0" w:line="89" w:lineRule="exact"/>
              <w:rPr>
                <w:sz w:val="20"/>
                <w:szCs w:val="20"/>
                <w:color w:val="auto"/>
              </w:rPr>
            </w:pPr>
            <w:r>
              <w:rPr>
                <w:rFonts w:ascii="Arial" w:cs="Arial" w:eastAsia="Arial" w:hAnsi="Arial"/>
                <w:sz w:val="8"/>
                <w:szCs w:val="8"/>
                <w:color w:val="auto"/>
              </w:rPr>
              <w:t>76,659</w:t>
            </w:r>
          </w:p>
        </w:tc>
        <w:tc>
          <w:tcPr>
            <w:tcW w:w="34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4.94</w:t>
            </w:r>
          </w:p>
        </w:tc>
      </w:tr>
      <w:tr>
        <w:trPr>
          <w:trHeight w:val="20"/>
        </w:trPr>
        <w:tc>
          <w:tcPr>
            <w:tcW w:w="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940" w:type="dxa"/>
            <w:vAlign w:val="bottom"/>
            <w:gridSpan w:val="2"/>
          </w:tcPr>
          <w:p>
            <w:pPr>
              <w:ind w:left="180"/>
              <w:spacing w:after="0" w:line="88" w:lineRule="exact"/>
              <w:rPr>
                <w:sz w:val="20"/>
                <w:szCs w:val="20"/>
                <w:color w:val="auto"/>
              </w:rPr>
            </w:pPr>
            <w:r>
              <w:rPr>
                <w:rFonts w:ascii="Arial" w:cs="Arial" w:eastAsia="Arial" w:hAnsi="Arial"/>
                <w:sz w:val="8"/>
                <w:szCs w:val="8"/>
                <w:color w:val="auto"/>
              </w:rPr>
              <w:t>Total investment securities</w:t>
            </w:r>
          </w:p>
        </w:tc>
        <w:tc>
          <w:tcPr>
            <w:tcW w:w="40" w:type="dxa"/>
            <w:vAlign w:val="bottom"/>
          </w:tcPr>
          <w:p>
            <w:pPr>
              <w:spacing w:after="0"/>
              <w:rPr>
                <w:sz w:val="7"/>
                <w:szCs w:val="7"/>
                <w:color w:val="auto"/>
              </w:rPr>
            </w:pPr>
          </w:p>
        </w:tc>
        <w:tc>
          <w:tcPr>
            <w:tcW w:w="46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8,036</w:t>
            </w:r>
          </w:p>
        </w:tc>
        <w:tc>
          <w:tcPr>
            <w:tcW w:w="60" w:type="dxa"/>
            <w:vAlign w:val="bottom"/>
          </w:tcPr>
          <w:p>
            <w:pPr>
              <w:spacing w:after="0"/>
              <w:rPr>
                <w:sz w:val="7"/>
                <w:szCs w:val="7"/>
                <w:color w:val="auto"/>
              </w:rPr>
            </w:pPr>
          </w:p>
        </w:tc>
        <w:tc>
          <w:tcPr>
            <w:tcW w:w="340" w:type="dxa"/>
            <w:vAlign w:val="bottom"/>
          </w:tcPr>
          <w:p>
            <w:pPr>
              <w:jc w:val="right"/>
              <w:spacing w:after="0" w:line="88" w:lineRule="exact"/>
              <w:rPr>
                <w:sz w:val="20"/>
                <w:szCs w:val="20"/>
                <w:color w:val="auto"/>
              </w:rPr>
            </w:pPr>
            <w:r>
              <w:rPr>
                <w:rFonts w:ascii="Arial" w:cs="Arial" w:eastAsia="Arial" w:hAnsi="Arial"/>
                <w:sz w:val="8"/>
                <w:szCs w:val="8"/>
                <w:color w:val="auto"/>
              </w:rPr>
              <w:t>386,034</w:t>
            </w:r>
          </w:p>
        </w:tc>
        <w:tc>
          <w:tcPr>
            <w:tcW w:w="120" w:type="dxa"/>
            <w:vAlign w:val="bottom"/>
          </w:tcPr>
          <w:p>
            <w:pPr>
              <w:spacing w:after="0"/>
              <w:rPr>
                <w:sz w:val="7"/>
                <w:szCs w:val="7"/>
                <w:color w:val="auto"/>
              </w:rPr>
            </w:pPr>
          </w:p>
        </w:tc>
        <w:tc>
          <w:tcPr>
            <w:tcW w:w="44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4.80</w:t>
            </w:r>
          </w:p>
        </w:tc>
        <w:tc>
          <w:tcPr>
            <w:tcW w:w="50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8,476</w:t>
            </w:r>
          </w:p>
        </w:tc>
        <w:tc>
          <w:tcPr>
            <w:tcW w:w="52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372,950</w:t>
            </w:r>
          </w:p>
        </w:tc>
        <w:tc>
          <w:tcPr>
            <w:tcW w:w="42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4.40</w:t>
            </w:r>
          </w:p>
        </w:tc>
        <w:tc>
          <w:tcPr>
            <w:tcW w:w="50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7,997</w:t>
            </w:r>
          </w:p>
        </w:tc>
        <w:tc>
          <w:tcPr>
            <w:tcW w:w="52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331,673</w:t>
            </w:r>
          </w:p>
        </w:tc>
        <w:tc>
          <w:tcPr>
            <w:tcW w:w="46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4.15</w:t>
            </w:r>
          </w:p>
        </w:tc>
        <w:tc>
          <w:tcPr>
            <w:tcW w:w="46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5,344</w:t>
            </w:r>
          </w:p>
        </w:tc>
        <w:tc>
          <w:tcPr>
            <w:tcW w:w="52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235,195</w:t>
            </w:r>
          </w:p>
        </w:tc>
        <w:tc>
          <w:tcPr>
            <w:tcW w:w="44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4.40</w:t>
            </w:r>
          </w:p>
        </w:tc>
        <w:tc>
          <w:tcPr>
            <w:tcW w:w="480" w:type="dxa"/>
            <w:vAlign w:val="bottom"/>
            <w:gridSpan w:val="2"/>
          </w:tcPr>
          <w:p>
            <w:pPr>
              <w:jc w:val="right"/>
              <w:ind w:right="120"/>
              <w:spacing w:after="0" w:line="88" w:lineRule="exact"/>
              <w:rPr>
                <w:sz w:val="20"/>
                <w:szCs w:val="20"/>
                <w:color w:val="auto"/>
              </w:rPr>
            </w:pPr>
            <w:r>
              <w:rPr>
                <w:rFonts w:ascii="Arial" w:cs="Arial" w:eastAsia="Arial" w:hAnsi="Arial"/>
                <w:sz w:val="8"/>
                <w:szCs w:val="8"/>
                <w:color w:val="auto"/>
              </w:rPr>
              <w:t>3,123</w:t>
            </w:r>
          </w:p>
        </w:tc>
        <w:tc>
          <w:tcPr>
            <w:tcW w:w="420" w:type="dxa"/>
            <w:vAlign w:val="bottom"/>
            <w:gridSpan w:val="2"/>
          </w:tcPr>
          <w:p>
            <w:pPr>
              <w:jc w:val="right"/>
              <w:ind w:right="40"/>
              <w:spacing w:after="0" w:line="88" w:lineRule="exact"/>
              <w:rPr>
                <w:sz w:val="20"/>
                <w:szCs w:val="20"/>
                <w:color w:val="auto"/>
              </w:rPr>
            </w:pPr>
            <w:r>
              <w:rPr>
                <w:rFonts w:ascii="Arial" w:cs="Arial" w:eastAsia="Arial" w:hAnsi="Arial"/>
                <w:sz w:val="8"/>
                <w:szCs w:val="8"/>
                <w:color w:val="auto"/>
              </w:rPr>
              <w:t>175,899</w:t>
            </w:r>
          </w:p>
        </w:tc>
        <w:tc>
          <w:tcPr>
            <w:tcW w:w="340" w:type="dxa"/>
            <w:vAlign w:val="bottom"/>
            <w:gridSpan w:val="2"/>
          </w:tcPr>
          <w:p>
            <w:pPr>
              <w:jc w:val="right"/>
              <w:ind w:right="60"/>
              <w:spacing w:after="0" w:line="88" w:lineRule="exact"/>
              <w:rPr>
                <w:sz w:val="20"/>
                <w:szCs w:val="20"/>
                <w:color w:val="auto"/>
              </w:rPr>
            </w:pPr>
            <w:r>
              <w:rPr>
                <w:rFonts w:ascii="Arial" w:cs="Arial" w:eastAsia="Arial" w:hAnsi="Arial"/>
                <w:sz w:val="8"/>
                <w:szCs w:val="8"/>
                <w:color w:val="auto"/>
              </w:rPr>
              <w:t>5.63</w:t>
            </w:r>
          </w:p>
        </w:tc>
      </w:tr>
      <w:tr>
        <w:trPr>
          <w:trHeight w:val="20"/>
        </w:trPr>
        <w:tc>
          <w:tcPr>
            <w:tcW w:w="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940" w:type="dxa"/>
            <w:vAlign w:val="bottom"/>
            <w:gridSpan w:val="2"/>
            <w:shd w:val="clear" w:color="auto" w:fill="CCEEFF"/>
          </w:tcPr>
          <w:p>
            <w:pPr>
              <w:ind w:left="180"/>
              <w:spacing w:after="0" w:line="88" w:lineRule="exact"/>
              <w:rPr>
                <w:sz w:val="20"/>
                <w:szCs w:val="20"/>
                <w:color w:val="auto"/>
              </w:rPr>
            </w:pPr>
            <w:r>
              <w:rPr>
                <w:rFonts w:ascii="Arial" w:cs="Arial" w:eastAsia="Arial" w:hAnsi="Arial"/>
                <w:sz w:val="8"/>
                <w:szCs w:val="8"/>
                <w:i w:val="1"/>
                <w:iCs w:val="1"/>
                <w:color w:val="auto"/>
              </w:rPr>
              <w:t>Total earning assets</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49,652</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w w:val="89"/>
              </w:rPr>
              <w:t>3,333,760</w:t>
            </w:r>
          </w:p>
        </w:tc>
        <w:tc>
          <w:tcPr>
            <w:tcW w:w="12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6.71</w:t>
            </w:r>
          </w:p>
        </w:tc>
        <w:tc>
          <w:tcPr>
            <w:tcW w:w="50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48,118</w:t>
            </w:r>
          </w:p>
        </w:tc>
        <w:tc>
          <w:tcPr>
            <w:tcW w:w="52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2,806,005</w:t>
            </w:r>
          </w:p>
        </w:tc>
        <w:tc>
          <w:tcPr>
            <w:tcW w:w="42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5.83</w:t>
            </w:r>
          </w:p>
        </w:tc>
        <w:tc>
          <w:tcPr>
            <w:tcW w:w="50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45,200</w:t>
            </w:r>
          </w:p>
        </w:tc>
        <w:tc>
          <w:tcPr>
            <w:tcW w:w="52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2,316,062</w:t>
            </w:r>
          </w:p>
        </w:tc>
        <w:tc>
          <w:tcPr>
            <w:tcW w:w="460" w:type="dxa"/>
            <w:vAlign w:val="bottom"/>
            <w:tcBorders>
              <w:right w:val="single" w:sz="8" w:color="CCEEFF"/>
            </w:tcBorders>
            <w:gridSpan w:val="2"/>
            <w:shd w:val="clear" w:color="auto" w:fill="CCEEFF"/>
          </w:tcPr>
          <w:p>
            <w:pPr>
              <w:jc w:val="right"/>
              <w:ind w:right="180"/>
              <w:spacing w:after="0" w:line="88" w:lineRule="exact"/>
              <w:rPr>
                <w:sz w:val="20"/>
                <w:szCs w:val="20"/>
                <w:color w:val="auto"/>
              </w:rPr>
            </w:pPr>
            <w:r>
              <w:rPr>
                <w:rFonts w:ascii="Arial" w:cs="Arial" w:eastAsia="Arial" w:hAnsi="Arial"/>
                <w:sz w:val="8"/>
                <w:szCs w:val="8"/>
                <w:color w:val="auto"/>
              </w:rPr>
              <w:t>5.13</w:t>
            </w:r>
          </w:p>
        </w:tc>
        <w:tc>
          <w:tcPr>
            <w:tcW w:w="46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39,531</w:t>
            </w:r>
          </w:p>
        </w:tc>
        <w:tc>
          <w:tcPr>
            <w:tcW w:w="52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2,142,878</w:t>
            </w:r>
          </w:p>
        </w:tc>
        <w:tc>
          <w:tcPr>
            <w:tcW w:w="44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5.42</w:t>
            </w:r>
          </w:p>
        </w:tc>
        <w:tc>
          <w:tcPr>
            <w:tcW w:w="480" w:type="dxa"/>
            <w:vAlign w:val="bottom"/>
            <w:gridSpan w:val="2"/>
            <w:shd w:val="clear" w:color="auto" w:fill="CCEEFF"/>
          </w:tcPr>
          <w:p>
            <w:pPr>
              <w:jc w:val="right"/>
              <w:ind w:right="120"/>
              <w:spacing w:after="0" w:line="88" w:lineRule="exact"/>
              <w:rPr>
                <w:sz w:val="20"/>
                <w:szCs w:val="20"/>
                <w:color w:val="auto"/>
              </w:rPr>
            </w:pPr>
            <w:r>
              <w:rPr>
                <w:rFonts w:ascii="Arial" w:cs="Arial" w:eastAsia="Arial" w:hAnsi="Arial"/>
                <w:sz w:val="8"/>
                <w:szCs w:val="8"/>
                <w:color w:val="auto"/>
              </w:rPr>
              <w:t>28,921</w:t>
            </w:r>
          </w:p>
        </w:tc>
        <w:tc>
          <w:tcPr>
            <w:tcW w:w="420" w:type="dxa"/>
            <w:vAlign w:val="bottom"/>
            <w:gridSpan w:val="2"/>
            <w:shd w:val="clear" w:color="auto" w:fill="CCEEFF"/>
          </w:tcPr>
          <w:p>
            <w:pPr>
              <w:jc w:val="right"/>
              <w:ind w:right="40"/>
              <w:spacing w:after="0" w:line="88" w:lineRule="exact"/>
              <w:rPr>
                <w:sz w:val="20"/>
                <w:szCs w:val="20"/>
                <w:color w:val="auto"/>
              </w:rPr>
            </w:pPr>
            <w:r>
              <w:rPr>
                <w:rFonts w:ascii="Arial" w:cs="Arial" w:eastAsia="Arial" w:hAnsi="Arial"/>
                <w:sz w:val="8"/>
                <w:szCs w:val="8"/>
                <w:color w:val="auto"/>
              </w:rPr>
              <w:t>1,856,148</w:t>
            </w:r>
          </w:p>
        </w:tc>
        <w:tc>
          <w:tcPr>
            <w:tcW w:w="340" w:type="dxa"/>
            <w:vAlign w:val="bottom"/>
            <w:gridSpan w:val="2"/>
            <w:shd w:val="clear" w:color="auto" w:fill="CCEEFF"/>
          </w:tcPr>
          <w:p>
            <w:pPr>
              <w:jc w:val="right"/>
              <w:ind w:right="60"/>
              <w:spacing w:after="0" w:line="88" w:lineRule="exact"/>
              <w:rPr>
                <w:sz w:val="20"/>
                <w:szCs w:val="20"/>
                <w:color w:val="auto"/>
              </w:rPr>
            </w:pPr>
            <w:r>
              <w:rPr>
                <w:rFonts w:ascii="Arial" w:cs="Arial" w:eastAsia="Arial" w:hAnsi="Arial"/>
                <w:sz w:val="8"/>
                <w:szCs w:val="8"/>
                <w:color w:val="auto"/>
              </w:rPr>
              <w:t>6.42</w:t>
            </w:r>
          </w:p>
        </w:tc>
      </w:tr>
      <w:tr>
        <w:trPr>
          <w:trHeight w:val="20"/>
        </w:trPr>
        <w:tc>
          <w:tcPr>
            <w:tcW w:w="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940" w:type="dxa"/>
            <w:vAlign w:val="bottom"/>
            <w:gridSpan w:val="2"/>
          </w:tcPr>
          <w:p>
            <w:pPr>
              <w:spacing w:after="0" w:line="88" w:lineRule="exact"/>
              <w:rPr>
                <w:sz w:val="20"/>
                <w:szCs w:val="20"/>
                <w:color w:val="auto"/>
              </w:rPr>
            </w:pPr>
            <w:r>
              <w:rPr>
                <w:rFonts w:ascii="Arial" w:cs="Arial" w:eastAsia="Arial" w:hAnsi="Arial"/>
                <w:sz w:val="8"/>
                <w:szCs w:val="8"/>
                <w:color w:val="auto"/>
              </w:rPr>
              <w:t>Allowance for credit losses</w:t>
            </w:r>
          </w:p>
        </w:tc>
        <w:tc>
          <w:tcPr>
            <w:tcW w:w="40" w:type="dxa"/>
            <w:vAlign w:val="bottom"/>
          </w:tcPr>
          <w:p>
            <w:pPr>
              <w:spacing w:after="0"/>
              <w:rPr>
                <w:sz w:val="7"/>
                <w:szCs w:val="7"/>
                <w:color w:val="auto"/>
              </w:rPr>
            </w:pPr>
          </w:p>
        </w:tc>
        <w:tc>
          <w:tcPr>
            <w:tcW w:w="460" w:type="dxa"/>
            <w:vAlign w:val="bottom"/>
            <w:gridSpan w:val="2"/>
          </w:tcPr>
          <w:p>
            <w:pPr>
              <w:jc w:val="right"/>
              <w:ind w:right="120"/>
              <w:spacing w:after="0" w:line="88" w:lineRule="exact"/>
              <w:rPr>
                <w:sz w:val="20"/>
                <w:szCs w:val="20"/>
                <w:color w:val="auto"/>
              </w:rPr>
            </w:pPr>
            <w:r>
              <w:rPr>
                <w:rFonts w:ascii="Arial" w:cs="Arial" w:eastAsia="Arial" w:hAnsi="Arial"/>
                <w:sz w:val="8"/>
                <w:szCs w:val="8"/>
                <w:color w:val="auto"/>
              </w:rPr>
              <w:t>(646)</w:t>
            </w: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gridSpan w:val="2"/>
          </w:tcPr>
          <w:p>
            <w:pPr>
              <w:jc w:val="right"/>
              <w:ind w:right="120"/>
              <w:spacing w:after="0" w:line="88" w:lineRule="exact"/>
              <w:rPr>
                <w:sz w:val="20"/>
                <w:szCs w:val="20"/>
                <w:color w:val="auto"/>
              </w:rPr>
            </w:pPr>
            <w:r>
              <w:rPr>
                <w:rFonts w:ascii="Arial" w:cs="Arial" w:eastAsia="Arial" w:hAnsi="Arial"/>
                <w:sz w:val="8"/>
                <w:szCs w:val="8"/>
                <w:color w:val="auto"/>
              </w:rPr>
              <w:t>(638)</w:t>
            </w: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gridSpan w:val="2"/>
          </w:tcPr>
          <w:p>
            <w:pPr>
              <w:jc w:val="right"/>
              <w:ind w:right="120"/>
              <w:spacing w:after="0" w:line="88" w:lineRule="exact"/>
              <w:rPr>
                <w:sz w:val="20"/>
                <w:szCs w:val="20"/>
                <w:color w:val="auto"/>
              </w:rPr>
            </w:pPr>
            <w:r>
              <w:rPr>
                <w:rFonts w:ascii="Arial" w:cs="Arial" w:eastAsia="Arial" w:hAnsi="Arial"/>
                <w:sz w:val="8"/>
                <w:szCs w:val="8"/>
                <w:color w:val="auto"/>
              </w:rPr>
              <w:t>(626)</w:t>
            </w: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(574)</w:t>
            </w: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(438)</w:t>
            </w: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88"/>
        </w:trPr>
        <w:tc>
          <w:tcPr>
            <w:tcW w:w="2940" w:type="dxa"/>
            <w:vAlign w:val="bottom"/>
            <w:gridSpan w:val="2"/>
            <w:shd w:val="clear" w:color="auto" w:fill="CCEEFF"/>
          </w:tcPr>
          <w:p>
            <w:pPr>
              <w:spacing w:after="0" w:line="89" w:lineRule="exact"/>
              <w:rPr>
                <w:sz w:val="20"/>
                <w:szCs w:val="20"/>
                <w:color w:val="auto"/>
              </w:rPr>
            </w:pPr>
            <w:r>
              <w:rPr>
                <w:rFonts w:ascii="Arial" w:cs="Arial" w:eastAsia="Arial" w:hAnsi="Arial"/>
                <w:sz w:val="8"/>
                <w:szCs w:val="8"/>
                <w:color w:val="auto"/>
              </w:rPr>
              <w:t>Cash and due from banks</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1,346</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1,400</w:t>
            </w: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1,599</w:t>
            </w: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tcBorders>
              <w:right w:val="single" w:sz="8" w:color="CCEEFF"/>
            </w:tcBorders>
            <w:shd w:val="clear" w:color="auto" w:fill="CCEEFF"/>
          </w:tcPr>
          <w:p>
            <w:pPr>
              <w:spacing w:after="0"/>
              <w:rPr>
                <w:sz w:val="7"/>
                <w:szCs w:val="7"/>
                <w:color w:val="auto"/>
              </w:rPr>
            </w:pPr>
          </w:p>
        </w:tc>
        <w:tc>
          <w:tcPr>
            <w:tcW w:w="46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1,542</w:t>
            </w: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20"/>
              <w:spacing w:after="0" w:line="89" w:lineRule="exact"/>
              <w:rPr>
                <w:sz w:val="20"/>
                <w:szCs w:val="20"/>
                <w:color w:val="auto"/>
              </w:rPr>
            </w:pPr>
            <w:r>
              <w:rPr>
                <w:rFonts w:ascii="Arial" w:cs="Arial" w:eastAsia="Arial" w:hAnsi="Arial"/>
                <w:sz w:val="8"/>
                <w:szCs w:val="8"/>
                <w:color w:val="auto"/>
              </w:rPr>
              <w:t>732</w:t>
            </w: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r>
      <w:tr>
        <w:trPr>
          <w:trHeight w:val="88"/>
        </w:trPr>
        <w:tc>
          <w:tcPr>
            <w:tcW w:w="2940" w:type="dxa"/>
            <w:vAlign w:val="bottom"/>
            <w:gridSpan w:val="2"/>
          </w:tcPr>
          <w:p>
            <w:pPr>
              <w:spacing w:after="0" w:line="89" w:lineRule="exact"/>
              <w:rPr>
                <w:sz w:val="20"/>
                <w:szCs w:val="20"/>
                <w:color w:val="auto"/>
              </w:rPr>
            </w:pPr>
            <w:r>
              <w:rPr>
                <w:rFonts w:ascii="Arial" w:cs="Arial" w:eastAsia="Arial" w:hAnsi="Arial"/>
                <w:sz w:val="8"/>
                <w:szCs w:val="8"/>
                <w:color w:val="auto"/>
              </w:rPr>
              <w:t>Other assets</w:t>
            </w:r>
          </w:p>
        </w:tc>
        <w:tc>
          <w:tcPr>
            <w:tcW w:w="40" w:type="dxa"/>
            <w:vAlign w:val="bottom"/>
          </w:tcPr>
          <w:p>
            <w:pPr>
              <w:spacing w:after="0"/>
              <w:rPr>
                <w:sz w:val="7"/>
                <w:szCs w:val="7"/>
                <w:color w:val="auto"/>
              </w:rPr>
            </w:pPr>
          </w:p>
        </w:tc>
        <w:tc>
          <w:tcPr>
            <w:tcW w:w="46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5,487</w:t>
            </w: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5,255</w:t>
            </w: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5,344</w:t>
            </w: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4,850</w:t>
            </w: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gridSpan w:val="2"/>
          </w:tcPr>
          <w:p>
            <w:pPr>
              <w:jc w:val="right"/>
              <w:ind w:right="120"/>
              <w:spacing w:after="0" w:line="89" w:lineRule="exact"/>
              <w:rPr>
                <w:sz w:val="20"/>
                <w:szCs w:val="20"/>
                <w:color w:val="auto"/>
              </w:rPr>
            </w:pPr>
            <w:r>
              <w:rPr>
                <w:rFonts w:ascii="Arial" w:cs="Arial" w:eastAsia="Arial" w:hAnsi="Arial"/>
                <w:sz w:val="8"/>
                <w:szCs w:val="8"/>
                <w:color w:val="auto"/>
              </w:rPr>
              <w:t>2,720</w:t>
            </w: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20"/>
        </w:trPr>
        <w:tc>
          <w:tcPr>
            <w:tcW w:w="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8"/>
        </w:trPr>
        <w:tc>
          <w:tcPr>
            <w:tcW w:w="2940" w:type="dxa"/>
            <w:vAlign w:val="bottom"/>
            <w:gridSpan w:val="2"/>
            <w:shd w:val="clear" w:color="auto" w:fill="CCEEFF"/>
          </w:tcPr>
          <w:p>
            <w:pPr>
              <w:ind w:left="180"/>
              <w:spacing w:after="0" w:line="88" w:lineRule="exact"/>
              <w:rPr>
                <w:sz w:val="20"/>
                <w:szCs w:val="20"/>
                <w:color w:val="auto"/>
              </w:rPr>
            </w:pPr>
            <w:r>
              <w:rPr>
                <w:rFonts w:ascii="Arial" w:cs="Arial" w:eastAsia="Arial" w:hAnsi="Arial"/>
                <w:sz w:val="8"/>
                <w:szCs w:val="8"/>
                <w:color w:val="auto"/>
              </w:rPr>
              <w:t>Total assets</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55,839</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54,135</w:t>
            </w: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51,517</w:t>
            </w: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46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45,349</w:t>
            </w: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88" w:lineRule="exact"/>
              <w:rPr>
                <w:sz w:val="20"/>
                <w:szCs w:val="20"/>
                <w:color w:val="auto"/>
              </w:rPr>
            </w:pPr>
            <w:r>
              <w:rPr>
                <w:rFonts w:ascii="Arial" w:cs="Arial" w:eastAsia="Arial" w:hAnsi="Arial"/>
                <w:sz w:val="8"/>
                <w:szCs w:val="8"/>
                <w:color w:val="auto"/>
              </w:rPr>
              <w:t>31,935</w:t>
            </w: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8"/>
                <w:szCs w:val="8"/>
                <w:b w:val="1"/>
                <w:bCs w:val="1"/>
                <w:color w:val="auto"/>
              </w:rPr>
              <w:t>L</w:t>
            </w:r>
            <w:r>
              <w:rPr>
                <w:rFonts w:ascii="Arial" w:cs="Arial" w:eastAsia="Arial" w:hAnsi="Arial"/>
                <w:sz w:val="5"/>
                <w:szCs w:val="5"/>
                <w:b w:val="1"/>
                <w:bCs w:val="1"/>
                <w:color w:val="auto"/>
              </w:rPr>
              <w:t>IABILITIES AND</w:t>
            </w:r>
            <w:r>
              <w:rPr>
                <w:rFonts w:ascii="Arial" w:cs="Arial" w:eastAsia="Arial" w:hAnsi="Arial"/>
                <w:sz w:val="8"/>
                <w:szCs w:val="8"/>
                <w:b w:val="1"/>
                <w:bCs w:val="1"/>
                <w:color w:val="auto"/>
              </w:rPr>
              <w:t xml:space="preserve"> S</w:t>
            </w:r>
            <w:r>
              <w:rPr>
                <w:rFonts w:ascii="Arial" w:cs="Arial" w:eastAsia="Arial" w:hAnsi="Arial"/>
                <w:sz w:val="5"/>
                <w:szCs w:val="5"/>
                <w:b w:val="1"/>
                <w:bCs w:val="1"/>
                <w:color w:val="auto"/>
              </w:rPr>
              <w:t>TOCKHOLDERS</w:t>
            </w:r>
            <w:r>
              <w:rPr>
                <w:rFonts w:ascii="Arial" w:cs="Arial" w:eastAsia="Arial" w:hAnsi="Arial"/>
                <w:sz w:val="8"/>
                <w:szCs w:val="8"/>
                <w:b w:val="1"/>
                <w:bCs w:val="1"/>
                <w:color w:val="auto"/>
              </w:rPr>
              <w:t>’ E</w:t>
            </w:r>
            <w:r>
              <w:rPr>
                <w:rFonts w:ascii="Arial" w:cs="Arial" w:eastAsia="Arial" w:hAnsi="Arial"/>
                <w:sz w:val="5"/>
                <w:szCs w:val="5"/>
                <w:b w:val="1"/>
                <w:bCs w:val="1"/>
                <w:color w:val="auto"/>
              </w:rPr>
              <w:t>QUITY</w:t>
            </w:r>
          </w:p>
        </w:tc>
        <w:tc>
          <w:tcPr>
            <w:tcW w:w="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88"/>
        </w:trPr>
        <w:tc>
          <w:tcPr>
            <w:tcW w:w="2940" w:type="dxa"/>
            <w:vAlign w:val="bottom"/>
            <w:gridSpan w:val="2"/>
            <w:shd w:val="clear" w:color="auto" w:fill="CCEEFF"/>
          </w:tcPr>
          <w:p>
            <w:pPr>
              <w:spacing w:after="0" w:line="89" w:lineRule="exact"/>
              <w:rPr>
                <w:sz w:val="20"/>
                <w:szCs w:val="20"/>
                <w:color w:val="auto"/>
              </w:rPr>
            </w:pPr>
            <w:r>
              <w:rPr>
                <w:rFonts w:ascii="Arial" w:cs="Arial" w:eastAsia="Arial" w:hAnsi="Arial"/>
                <w:sz w:val="8"/>
                <w:szCs w:val="8"/>
                <w:color w:val="auto"/>
              </w:rPr>
              <w:t>Interest-bearing liabilities</w:t>
            </w: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tcBorders>
              <w:right w:val="single" w:sz="8" w:color="CCEEFF"/>
            </w:tcBorders>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r>
      <w:tr>
        <w:trPr>
          <w:trHeight w:val="88"/>
        </w:trPr>
        <w:tc>
          <w:tcPr>
            <w:tcW w:w="2940" w:type="dxa"/>
            <w:vAlign w:val="bottom"/>
            <w:gridSpan w:val="2"/>
          </w:tcPr>
          <w:p>
            <w:pPr>
              <w:spacing w:after="0" w:line="89" w:lineRule="exact"/>
              <w:rPr>
                <w:sz w:val="20"/>
                <w:szCs w:val="20"/>
                <w:color w:val="auto"/>
              </w:rPr>
            </w:pPr>
            <w:r>
              <w:rPr>
                <w:rFonts w:ascii="Arial" w:cs="Arial" w:eastAsia="Arial" w:hAnsi="Arial"/>
                <w:sz w:val="8"/>
                <w:szCs w:val="8"/>
                <w:color w:val="auto"/>
              </w:rPr>
              <w:t>Interest-bearing deposits</w:t>
            </w: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88"/>
        </w:trPr>
        <w:tc>
          <w:tcPr>
            <w:tcW w:w="2940" w:type="dxa"/>
            <w:vAlign w:val="bottom"/>
            <w:gridSpan w:val="2"/>
            <w:shd w:val="clear" w:color="auto" w:fill="CCEEFF"/>
          </w:tcPr>
          <w:p>
            <w:pPr>
              <w:ind w:left="80"/>
              <w:spacing w:after="0" w:line="89" w:lineRule="exact"/>
              <w:rPr>
                <w:sz w:val="20"/>
                <w:szCs w:val="20"/>
                <w:color w:val="auto"/>
              </w:rPr>
            </w:pPr>
            <w:r>
              <w:rPr>
                <w:rFonts w:ascii="Arial" w:cs="Arial" w:eastAsia="Arial" w:hAnsi="Arial"/>
                <w:sz w:val="8"/>
                <w:szCs w:val="8"/>
                <w:color w:val="auto"/>
              </w:rPr>
              <w:t>NOW accounts</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435</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3,461</w:t>
            </w:r>
          </w:p>
        </w:tc>
        <w:tc>
          <w:tcPr>
            <w:tcW w:w="12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.79</w:t>
            </w: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400</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2,182</w:t>
            </w:r>
          </w:p>
        </w:tc>
        <w:tc>
          <w:tcPr>
            <w:tcW w:w="4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.55</w:t>
            </w: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550</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1,802</w:t>
            </w:r>
          </w:p>
        </w:tc>
        <w:tc>
          <w:tcPr>
            <w:tcW w:w="460" w:type="dxa"/>
            <w:vAlign w:val="bottom"/>
            <w:tcBorders>
              <w:right w:val="single" w:sz="8" w:color="CCEEFF"/>
            </w:tcBorders>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.33</w:t>
            </w:r>
          </w:p>
        </w:tc>
        <w:tc>
          <w:tcPr>
            <w:tcW w:w="46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1,021</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3,613</w:t>
            </w: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.35</w:t>
            </w:r>
          </w:p>
        </w:tc>
        <w:tc>
          <w:tcPr>
            <w:tcW w:w="480" w:type="dxa"/>
            <w:vAlign w:val="bottom"/>
            <w:gridSpan w:val="2"/>
            <w:shd w:val="clear" w:color="auto" w:fill="CCEEFF"/>
          </w:tcPr>
          <w:p>
            <w:pPr>
              <w:jc w:val="right"/>
              <w:ind w:right="120"/>
              <w:spacing w:after="0" w:line="89" w:lineRule="exact"/>
              <w:rPr>
                <w:sz w:val="20"/>
                <w:szCs w:val="20"/>
                <w:color w:val="auto"/>
              </w:rPr>
            </w:pPr>
            <w:r>
              <w:rPr>
                <w:rFonts w:ascii="Arial" w:cs="Arial" w:eastAsia="Arial" w:hAnsi="Arial"/>
                <w:sz w:val="8"/>
                <w:szCs w:val="8"/>
                <w:color w:val="auto"/>
              </w:rPr>
              <w:t>761</w:t>
            </w:r>
          </w:p>
        </w:tc>
        <w:tc>
          <w:tcPr>
            <w:tcW w:w="420" w:type="dxa"/>
            <w:vAlign w:val="bottom"/>
            <w:gridSpan w:val="2"/>
            <w:shd w:val="clear" w:color="auto" w:fill="CCEEFF"/>
          </w:tcPr>
          <w:p>
            <w:pPr>
              <w:jc w:val="right"/>
              <w:ind w:right="40"/>
              <w:spacing w:after="0" w:line="89" w:lineRule="exact"/>
              <w:rPr>
                <w:sz w:val="20"/>
                <w:szCs w:val="20"/>
                <w:color w:val="auto"/>
              </w:rPr>
            </w:pPr>
            <w:r>
              <w:rPr>
                <w:rFonts w:ascii="Arial" w:cs="Arial" w:eastAsia="Arial" w:hAnsi="Arial"/>
                <w:sz w:val="8"/>
                <w:szCs w:val="8"/>
                <w:color w:val="auto"/>
              </w:rPr>
              <w:t>3,900</w:t>
            </w:r>
          </w:p>
        </w:tc>
        <w:tc>
          <w:tcPr>
            <w:tcW w:w="34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.51</w:t>
            </w:r>
          </w:p>
        </w:tc>
      </w:tr>
      <w:tr>
        <w:trPr>
          <w:trHeight w:val="88"/>
        </w:trPr>
        <w:tc>
          <w:tcPr>
            <w:tcW w:w="2940" w:type="dxa"/>
            <w:vAlign w:val="bottom"/>
            <w:gridSpan w:val="2"/>
          </w:tcPr>
          <w:p>
            <w:pPr>
              <w:ind w:left="80"/>
              <w:spacing w:after="0" w:line="89" w:lineRule="exact"/>
              <w:rPr>
                <w:sz w:val="20"/>
                <w:szCs w:val="20"/>
                <w:color w:val="auto"/>
              </w:rPr>
            </w:pPr>
            <w:r>
              <w:rPr>
                <w:rFonts w:ascii="Arial" w:cs="Arial" w:eastAsia="Arial" w:hAnsi="Arial"/>
                <w:sz w:val="8"/>
                <w:szCs w:val="8"/>
                <w:color w:val="auto"/>
              </w:rPr>
              <w:t>Savings deposits</w:t>
            </w:r>
          </w:p>
        </w:tc>
        <w:tc>
          <w:tcPr>
            <w:tcW w:w="40" w:type="dxa"/>
            <w:vAlign w:val="bottom"/>
          </w:tcPr>
          <w:p>
            <w:pPr>
              <w:spacing w:after="0"/>
              <w:rPr>
                <w:sz w:val="7"/>
                <w:szCs w:val="7"/>
                <w:color w:val="auto"/>
              </w:rPr>
            </w:pPr>
          </w:p>
        </w:tc>
        <w:tc>
          <w:tcPr>
            <w:tcW w:w="46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14,401</w:t>
            </w:r>
          </w:p>
        </w:tc>
        <w:tc>
          <w:tcPr>
            <w:tcW w:w="60" w:type="dxa"/>
            <w:vAlign w:val="bottom"/>
          </w:tcPr>
          <w:p>
            <w:pPr>
              <w:spacing w:after="0"/>
              <w:rPr>
                <w:sz w:val="7"/>
                <w:szCs w:val="7"/>
                <w:color w:val="auto"/>
              </w:rPr>
            </w:pPr>
          </w:p>
        </w:tc>
        <w:tc>
          <w:tcPr>
            <w:tcW w:w="340" w:type="dxa"/>
            <w:vAlign w:val="bottom"/>
          </w:tcPr>
          <w:p>
            <w:pPr>
              <w:jc w:val="right"/>
              <w:spacing w:after="0" w:line="89" w:lineRule="exact"/>
              <w:rPr>
                <w:sz w:val="20"/>
                <w:szCs w:val="20"/>
                <w:color w:val="auto"/>
              </w:rPr>
            </w:pPr>
            <w:r>
              <w:rPr>
                <w:rFonts w:ascii="Arial" w:cs="Arial" w:eastAsia="Arial" w:hAnsi="Arial"/>
                <w:sz w:val="8"/>
                <w:szCs w:val="8"/>
                <w:color w:val="auto"/>
              </w:rPr>
              <w:t>201,543</w:t>
            </w:r>
          </w:p>
        </w:tc>
        <w:tc>
          <w:tcPr>
            <w:tcW w:w="120" w:type="dxa"/>
            <w:vAlign w:val="bottom"/>
          </w:tcPr>
          <w:p>
            <w:pPr>
              <w:spacing w:after="0"/>
              <w:rPr>
                <w:sz w:val="7"/>
                <w:szCs w:val="7"/>
                <w:color w:val="auto"/>
              </w:rPr>
            </w:pPr>
          </w:p>
        </w:tc>
        <w:tc>
          <w:tcPr>
            <w:tcW w:w="44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1.40</w:t>
            </w:r>
          </w:p>
        </w:tc>
        <w:tc>
          <w:tcPr>
            <w:tcW w:w="5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14,889</w:t>
            </w:r>
          </w:p>
        </w:tc>
        <w:tc>
          <w:tcPr>
            <w:tcW w:w="5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139,445</w:t>
            </w:r>
          </w:p>
        </w:tc>
        <w:tc>
          <w:tcPr>
            <w:tcW w:w="42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.94</w:t>
            </w:r>
          </w:p>
        </w:tc>
        <w:tc>
          <w:tcPr>
            <w:tcW w:w="5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15,305</w:t>
            </w:r>
          </w:p>
        </w:tc>
        <w:tc>
          <w:tcPr>
            <w:tcW w:w="5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92,064</w:t>
            </w: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.60</w:t>
            </w:r>
          </w:p>
        </w:tc>
        <w:tc>
          <w:tcPr>
            <w:tcW w:w="46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13,278</w:t>
            </w:r>
          </w:p>
        </w:tc>
        <w:tc>
          <w:tcPr>
            <w:tcW w:w="5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102,190</w:t>
            </w:r>
          </w:p>
        </w:tc>
        <w:tc>
          <w:tcPr>
            <w:tcW w:w="44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.77</w:t>
            </w:r>
          </w:p>
        </w:tc>
        <w:tc>
          <w:tcPr>
            <w:tcW w:w="480" w:type="dxa"/>
            <w:vAlign w:val="bottom"/>
            <w:gridSpan w:val="2"/>
          </w:tcPr>
          <w:p>
            <w:pPr>
              <w:jc w:val="right"/>
              <w:ind w:right="120"/>
              <w:spacing w:after="0" w:line="89" w:lineRule="exact"/>
              <w:rPr>
                <w:sz w:val="20"/>
                <w:szCs w:val="20"/>
                <w:color w:val="auto"/>
              </w:rPr>
            </w:pPr>
            <w:r>
              <w:rPr>
                <w:rFonts w:ascii="Arial" w:cs="Arial" w:eastAsia="Arial" w:hAnsi="Arial"/>
                <w:sz w:val="8"/>
                <w:szCs w:val="8"/>
                <w:color w:val="auto"/>
              </w:rPr>
              <w:t>8,899</w:t>
            </w:r>
          </w:p>
        </w:tc>
        <w:tc>
          <w:tcPr>
            <w:tcW w:w="420" w:type="dxa"/>
            <w:vAlign w:val="bottom"/>
            <w:gridSpan w:val="2"/>
          </w:tcPr>
          <w:p>
            <w:pPr>
              <w:jc w:val="right"/>
              <w:ind w:right="40"/>
              <w:spacing w:after="0" w:line="89" w:lineRule="exact"/>
              <w:rPr>
                <w:sz w:val="20"/>
                <w:szCs w:val="20"/>
                <w:color w:val="auto"/>
              </w:rPr>
            </w:pPr>
            <w:r>
              <w:rPr>
                <w:rFonts w:ascii="Arial" w:cs="Arial" w:eastAsia="Arial" w:hAnsi="Arial"/>
                <w:sz w:val="8"/>
                <w:szCs w:val="8"/>
                <w:color w:val="auto"/>
              </w:rPr>
              <w:t>107,281</w:t>
            </w:r>
          </w:p>
        </w:tc>
        <w:tc>
          <w:tcPr>
            <w:tcW w:w="34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1.21</w:t>
            </w:r>
          </w:p>
        </w:tc>
      </w:tr>
      <w:tr>
        <w:trPr>
          <w:trHeight w:val="88"/>
        </w:trPr>
        <w:tc>
          <w:tcPr>
            <w:tcW w:w="2940" w:type="dxa"/>
            <w:vAlign w:val="bottom"/>
            <w:gridSpan w:val="2"/>
            <w:shd w:val="clear" w:color="auto" w:fill="CCEEFF"/>
          </w:tcPr>
          <w:p>
            <w:pPr>
              <w:ind w:left="80"/>
              <w:spacing w:after="0" w:line="89" w:lineRule="exact"/>
              <w:rPr>
                <w:sz w:val="20"/>
                <w:szCs w:val="20"/>
                <w:color w:val="auto"/>
              </w:rPr>
            </w:pPr>
            <w:r>
              <w:rPr>
                <w:rFonts w:ascii="Arial" w:cs="Arial" w:eastAsia="Arial" w:hAnsi="Arial"/>
                <w:sz w:val="8"/>
                <w:szCs w:val="8"/>
                <w:color w:val="auto"/>
              </w:rPr>
              <w:t>Time deposits</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12,420</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551,514</w:t>
            </w:r>
          </w:p>
        </w:tc>
        <w:tc>
          <w:tcPr>
            <w:tcW w:w="12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4.44</w:t>
            </w: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9,158</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294,782</w:t>
            </w:r>
          </w:p>
        </w:tc>
        <w:tc>
          <w:tcPr>
            <w:tcW w:w="4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3.22</w:t>
            </w: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6,948</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154,722</w:t>
            </w:r>
          </w:p>
        </w:tc>
        <w:tc>
          <w:tcPr>
            <w:tcW w:w="460" w:type="dxa"/>
            <w:vAlign w:val="bottom"/>
            <w:tcBorders>
              <w:right w:val="single" w:sz="8" w:color="CCEEFF"/>
            </w:tcBorders>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2.23</w:t>
            </w:r>
          </w:p>
        </w:tc>
        <w:tc>
          <w:tcPr>
            <w:tcW w:w="46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6,638</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159,700</w:t>
            </w: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2.41</w:t>
            </w:r>
          </w:p>
        </w:tc>
        <w:tc>
          <w:tcPr>
            <w:tcW w:w="480" w:type="dxa"/>
            <w:vAlign w:val="bottom"/>
            <w:gridSpan w:val="2"/>
            <w:shd w:val="clear" w:color="auto" w:fill="CCEEFF"/>
          </w:tcPr>
          <w:p>
            <w:pPr>
              <w:jc w:val="right"/>
              <w:ind w:right="120"/>
              <w:spacing w:after="0" w:line="89" w:lineRule="exact"/>
              <w:rPr>
                <w:sz w:val="20"/>
                <w:szCs w:val="20"/>
                <w:color w:val="auto"/>
              </w:rPr>
            </w:pPr>
            <w:r>
              <w:rPr>
                <w:rFonts w:ascii="Arial" w:cs="Arial" w:eastAsia="Arial" w:hAnsi="Arial"/>
                <w:sz w:val="8"/>
                <w:szCs w:val="8"/>
                <w:color w:val="auto"/>
              </w:rPr>
              <w:t>7,398</w:t>
            </w:r>
          </w:p>
        </w:tc>
        <w:tc>
          <w:tcPr>
            <w:tcW w:w="420" w:type="dxa"/>
            <w:vAlign w:val="bottom"/>
            <w:gridSpan w:val="2"/>
            <w:shd w:val="clear" w:color="auto" w:fill="CCEEFF"/>
          </w:tcPr>
          <w:p>
            <w:pPr>
              <w:jc w:val="right"/>
              <w:ind w:right="40"/>
              <w:spacing w:after="0" w:line="89" w:lineRule="exact"/>
              <w:rPr>
                <w:sz w:val="20"/>
                <w:szCs w:val="20"/>
                <w:color w:val="auto"/>
              </w:rPr>
            </w:pPr>
            <w:r>
              <w:rPr>
                <w:rFonts w:ascii="Arial" w:cs="Arial" w:eastAsia="Arial" w:hAnsi="Arial"/>
                <w:sz w:val="8"/>
                <w:szCs w:val="8"/>
                <w:color w:val="auto"/>
              </w:rPr>
              <w:t>237,001</w:t>
            </w:r>
          </w:p>
        </w:tc>
        <w:tc>
          <w:tcPr>
            <w:tcW w:w="34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3.20</w:t>
            </w:r>
          </w:p>
        </w:tc>
      </w:tr>
      <w:tr>
        <w:trPr>
          <w:trHeight w:val="88"/>
        </w:trPr>
        <w:tc>
          <w:tcPr>
            <w:tcW w:w="2940" w:type="dxa"/>
            <w:vAlign w:val="bottom"/>
            <w:gridSpan w:val="2"/>
          </w:tcPr>
          <w:p>
            <w:pPr>
              <w:ind w:left="80"/>
              <w:spacing w:after="0" w:line="89" w:lineRule="exact"/>
              <w:rPr>
                <w:sz w:val="20"/>
                <w:szCs w:val="20"/>
                <w:color w:val="auto"/>
              </w:rPr>
            </w:pPr>
            <w:r>
              <w:rPr>
                <w:rFonts w:ascii="Arial" w:cs="Arial" w:eastAsia="Arial" w:hAnsi="Arial"/>
                <w:sz w:val="8"/>
                <w:szCs w:val="8"/>
                <w:color w:val="auto"/>
              </w:rPr>
              <w:t>Deposits at foreign office</w:t>
            </w:r>
          </w:p>
        </w:tc>
        <w:tc>
          <w:tcPr>
            <w:tcW w:w="40" w:type="dxa"/>
            <w:vAlign w:val="bottom"/>
          </w:tcPr>
          <w:p>
            <w:pPr>
              <w:spacing w:after="0"/>
              <w:rPr>
                <w:sz w:val="7"/>
                <w:szCs w:val="7"/>
                <w:color w:val="auto"/>
              </w:rPr>
            </w:pPr>
          </w:p>
        </w:tc>
        <w:tc>
          <w:tcPr>
            <w:tcW w:w="46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3,610</w:t>
            </w:r>
          </w:p>
        </w:tc>
        <w:tc>
          <w:tcPr>
            <w:tcW w:w="60" w:type="dxa"/>
            <w:vAlign w:val="bottom"/>
          </w:tcPr>
          <w:p>
            <w:pPr>
              <w:spacing w:after="0"/>
              <w:rPr>
                <w:sz w:val="7"/>
                <w:szCs w:val="7"/>
                <w:color w:val="auto"/>
              </w:rPr>
            </w:pPr>
          </w:p>
        </w:tc>
        <w:tc>
          <w:tcPr>
            <w:tcW w:w="340" w:type="dxa"/>
            <w:vAlign w:val="bottom"/>
          </w:tcPr>
          <w:p>
            <w:pPr>
              <w:jc w:val="right"/>
              <w:spacing w:after="0" w:line="89" w:lineRule="exact"/>
              <w:rPr>
                <w:sz w:val="20"/>
                <w:szCs w:val="20"/>
                <w:color w:val="auto"/>
              </w:rPr>
            </w:pPr>
            <w:r>
              <w:rPr>
                <w:rFonts w:ascii="Arial" w:cs="Arial" w:eastAsia="Arial" w:hAnsi="Arial"/>
                <w:sz w:val="8"/>
                <w:szCs w:val="8"/>
                <w:color w:val="auto"/>
              </w:rPr>
              <w:t>178,348</w:t>
            </w:r>
          </w:p>
        </w:tc>
        <w:tc>
          <w:tcPr>
            <w:tcW w:w="120" w:type="dxa"/>
            <w:vAlign w:val="bottom"/>
          </w:tcPr>
          <w:p>
            <w:pPr>
              <w:spacing w:after="0"/>
              <w:rPr>
                <w:sz w:val="7"/>
                <w:szCs w:val="7"/>
                <w:color w:val="auto"/>
              </w:rPr>
            </w:pPr>
          </w:p>
        </w:tc>
        <w:tc>
          <w:tcPr>
            <w:tcW w:w="44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4.94</w:t>
            </w:r>
          </w:p>
        </w:tc>
        <w:tc>
          <w:tcPr>
            <w:tcW w:w="5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3,819</w:t>
            </w:r>
          </w:p>
        </w:tc>
        <w:tc>
          <w:tcPr>
            <w:tcW w:w="5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120,122</w:t>
            </w:r>
          </w:p>
        </w:tc>
        <w:tc>
          <w:tcPr>
            <w:tcW w:w="42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3.15</w:t>
            </w:r>
          </w:p>
        </w:tc>
        <w:tc>
          <w:tcPr>
            <w:tcW w:w="5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3,136</w:t>
            </w:r>
          </w:p>
        </w:tc>
        <w:tc>
          <w:tcPr>
            <w:tcW w:w="5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43,034</w:t>
            </w:r>
          </w:p>
        </w:tc>
        <w:tc>
          <w:tcPr>
            <w:tcW w:w="460" w:type="dxa"/>
            <w:vAlign w:val="bottom"/>
            <w:gridSpan w:val="2"/>
          </w:tcPr>
          <w:p>
            <w:pPr>
              <w:jc w:val="right"/>
              <w:ind w:right="180"/>
              <w:spacing w:after="0" w:line="89" w:lineRule="exact"/>
              <w:rPr>
                <w:sz w:val="20"/>
                <w:szCs w:val="20"/>
                <w:color w:val="auto"/>
              </w:rPr>
            </w:pPr>
            <w:r>
              <w:rPr>
                <w:rFonts w:ascii="Arial" w:cs="Arial" w:eastAsia="Arial" w:hAnsi="Arial"/>
                <w:sz w:val="8"/>
                <w:szCs w:val="8"/>
                <w:color w:val="auto"/>
              </w:rPr>
              <w:t>1.37</w:t>
            </w:r>
          </w:p>
        </w:tc>
        <w:tc>
          <w:tcPr>
            <w:tcW w:w="46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1,445</w:t>
            </w:r>
          </w:p>
        </w:tc>
        <w:tc>
          <w:tcPr>
            <w:tcW w:w="52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14,991</w:t>
            </w:r>
          </w:p>
        </w:tc>
        <w:tc>
          <w:tcPr>
            <w:tcW w:w="440" w:type="dxa"/>
            <w:vAlign w:val="bottom"/>
            <w:gridSpan w:val="2"/>
          </w:tcPr>
          <w:p>
            <w:pPr>
              <w:jc w:val="right"/>
              <w:ind w:right="160"/>
              <w:spacing w:after="0" w:line="89" w:lineRule="exact"/>
              <w:rPr>
                <w:sz w:val="20"/>
                <w:szCs w:val="20"/>
                <w:color w:val="auto"/>
              </w:rPr>
            </w:pPr>
            <w:r>
              <w:rPr>
                <w:rFonts w:ascii="Arial" w:cs="Arial" w:eastAsia="Arial" w:hAnsi="Arial"/>
                <w:sz w:val="8"/>
                <w:szCs w:val="8"/>
                <w:color w:val="auto"/>
              </w:rPr>
              <w:t>1.04</w:t>
            </w:r>
          </w:p>
        </w:tc>
        <w:tc>
          <w:tcPr>
            <w:tcW w:w="480" w:type="dxa"/>
            <w:vAlign w:val="bottom"/>
            <w:gridSpan w:val="2"/>
          </w:tcPr>
          <w:p>
            <w:pPr>
              <w:jc w:val="right"/>
              <w:ind w:right="120"/>
              <w:spacing w:after="0" w:line="89" w:lineRule="exact"/>
              <w:rPr>
                <w:sz w:val="20"/>
                <w:szCs w:val="20"/>
                <w:color w:val="auto"/>
              </w:rPr>
            </w:pPr>
            <w:r>
              <w:rPr>
                <w:rFonts w:ascii="Arial" w:cs="Arial" w:eastAsia="Arial" w:hAnsi="Arial"/>
                <w:sz w:val="8"/>
                <w:szCs w:val="8"/>
                <w:color w:val="auto"/>
              </w:rPr>
              <w:t>569</w:t>
            </w:r>
          </w:p>
        </w:tc>
        <w:tc>
          <w:tcPr>
            <w:tcW w:w="420" w:type="dxa"/>
            <w:vAlign w:val="bottom"/>
            <w:gridSpan w:val="2"/>
          </w:tcPr>
          <w:p>
            <w:pPr>
              <w:jc w:val="right"/>
              <w:ind w:right="40"/>
              <w:spacing w:after="0" w:line="89" w:lineRule="exact"/>
              <w:rPr>
                <w:sz w:val="20"/>
                <w:szCs w:val="20"/>
                <w:color w:val="auto"/>
              </w:rPr>
            </w:pPr>
            <w:r>
              <w:rPr>
                <w:rFonts w:ascii="Arial" w:cs="Arial" w:eastAsia="Arial" w:hAnsi="Arial"/>
                <w:sz w:val="8"/>
                <w:szCs w:val="8"/>
                <w:color w:val="auto"/>
              </w:rPr>
              <w:t>8,460</w:t>
            </w:r>
          </w:p>
        </w:tc>
        <w:tc>
          <w:tcPr>
            <w:tcW w:w="340" w:type="dxa"/>
            <w:vAlign w:val="bottom"/>
            <w:gridSpan w:val="2"/>
          </w:tcPr>
          <w:p>
            <w:pPr>
              <w:jc w:val="right"/>
              <w:ind w:right="60"/>
              <w:spacing w:after="0" w:line="89" w:lineRule="exact"/>
              <w:rPr>
                <w:sz w:val="20"/>
                <w:szCs w:val="20"/>
                <w:color w:val="auto"/>
              </w:rPr>
            </w:pPr>
            <w:r>
              <w:rPr>
                <w:rFonts w:ascii="Arial" w:cs="Arial" w:eastAsia="Arial" w:hAnsi="Arial"/>
                <w:sz w:val="8"/>
                <w:szCs w:val="8"/>
                <w:color w:val="auto"/>
              </w:rPr>
              <w:t>1.49</w:t>
            </w:r>
          </w:p>
        </w:tc>
      </w:tr>
      <w:tr>
        <w:trPr>
          <w:trHeight w:val="20"/>
        </w:trPr>
        <w:tc>
          <w:tcPr>
            <w:tcW w:w="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940" w:type="dxa"/>
            <w:vAlign w:val="bottom"/>
            <w:gridSpan w:val="2"/>
            <w:shd w:val="clear" w:color="auto" w:fill="CCEEFF"/>
          </w:tcPr>
          <w:p>
            <w:pPr>
              <w:ind w:left="180"/>
              <w:spacing w:after="0" w:line="88" w:lineRule="exact"/>
              <w:rPr>
                <w:sz w:val="20"/>
                <w:szCs w:val="20"/>
                <w:color w:val="auto"/>
              </w:rPr>
            </w:pPr>
            <w:r>
              <w:rPr>
                <w:rFonts w:ascii="Arial" w:cs="Arial" w:eastAsia="Arial" w:hAnsi="Arial"/>
                <w:sz w:val="8"/>
                <w:szCs w:val="8"/>
                <w:color w:val="auto"/>
              </w:rPr>
              <w:t>Total interest-bearing deposits</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30,866</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8" w:lineRule="exact"/>
              <w:rPr>
                <w:sz w:val="20"/>
                <w:szCs w:val="20"/>
                <w:color w:val="auto"/>
              </w:rPr>
            </w:pPr>
            <w:r>
              <w:rPr>
                <w:rFonts w:ascii="Arial" w:cs="Arial" w:eastAsia="Arial" w:hAnsi="Arial"/>
                <w:sz w:val="8"/>
                <w:szCs w:val="8"/>
                <w:color w:val="auto"/>
              </w:rPr>
              <w:t>934,866</w:t>
            </w:r>
          </w:p>
        </w:tc>
        <w:tc>
          <w:tcPr>
            <w:tcW w:w="12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3.03</w:t>
            </w:r>
          </w:p>
        </w:tc>
        <w:tc>
          <w:tcPr>
            <w:tcW w:w="50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28,266</w:t>
            </w:r>
          </w:p>
        </w:tc>
        <w:tc>
          <w:tcPr>
            <w:tcW w:w="52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556,531</w:t>
            </w:r>
          </w:p>
        </w:tc>
        <w:tc>
          <w:tcPr>
            <w:tcW w:w="42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1.97</w:t>
            </w:r>
          </w:p>
        </w:tc>
        <w:tc>
          <w:tcPr>
            <w:tcW w:w="50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25,939</w:t>
            </w:r>
          </w:p>
        </w:tc>
        <w:tc>
          <w:tcPr>
            <w:tcW w:w="52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291,622</w:t>
            </w:r>
          </w:p>
        </w:tc>
        <w:tc>
          <w:tcPr>
            <w:tcW w:w="460" w:type="dxa"/>
            <w:vAlign w:val="bottom"/>
            <w:tcBorders>
              <w:right w:val="single" w:sz="8" w:color="CCEEFF"/>
            </w:tcBorders>
            <w:gridSpan w:val="2"/>
            <w:shd w:val="clear" w:color="auto" w:fill="CCEEFF"/>
          </w:tcPr>
          <w:p>
            <w:pPr>
              <w:jc w:val="right"/>
              <w:ind w:right="180"/>
              <w:spacing w:after="0" w:line="88" w:lineRule="exact"/>
              <w:rPr>
                <w:sz w:val="20"/>
                <w:szCs w:val="20"/>
                <w:color w:val="auto"/>
              </w:rPr>
            </w:pPr>
            <w:r>
              <w:rPr>
                <w:rFonts w:ascii="Arial" w:cs="Arial" w:eastAsia="Arial" w:hAnsi="Arial"/>
                <w:sz w:val="8"/>
                <w:szCs w:val="8"/>
                <w:color w:val="auto"/>
              </w:rPr>
              <w:t>1.12</w:t>
            </w:r>
          </w:p>
        </w:tc>
        <w:tc>
          <w:tcPr>
            <w:tcW w:w="46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22,382</w:t>
            </w:r>
          </w:p>
        </w:tc>
        <w:tc>
          <w:tcPr>
            <w:tcW w:w="52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280,494</w:t>
            </w:r>
          </w:p>
        </w:tc>
        <w:tc>
          <w:tcPr>
            <w:tcW w:w="440" w:type="dxa"/>
            <w:vAlign w:val="bottom"/>
            <w:gridSpan w:val="2"/>
            <w:shd w:val="clear" w:color="auto" w:fill="CCEEFF"/>
          </w:tcPr>
          <w:p>
            <w:pPr>
              <w:jc w:val="right"/>
              <w:ind w:right="160"/>
              <w:spacing w:after="0" w:line="88" w:lineRule="exact"/>
              <w:rPr>
                <w:sz w:val="20"/>
                <w:szCs w:val="20"/>
                <w:color w:val="auto"/>
              </w:rPr>
            </w:pPr>
            <w:r>
              <w:rPr>
                <w:rFonts w:ascii="Arial" w:cs="Arial" w:eastAsia="Arial" w:hAnsi="Arial"/>
                <w:sz w:val="8"/>
                <w:szCs w:val="8"/>
                <w:color w:val="auto"/>
              </w:rPr>
              <w:t>1.25</w:t>
            </w:r>
          </w:p>
        </w:tc>
        <w:tc>
          <w:tcPr>
            <w:tcW w:w="480" w:type="dxa"/>
            <w:vAlign w:val="bottom"/>
            <w:gridSpan w:val="2"/>
            <w:shd w:val="clear" w:color="auto" w:fill="CCEEFF"/>
          </w:tcPr>
          <w:p>
            <w:pPr>
              <w:jc w:val="right"/>
              <w:ind w:right="120"/>
              <w:spacing w:after="0" w:line="88" w:lineRule="exact"/>
              <w:rPr>
                <w:sz w:val="20"/>
                <w:szCs w:val="20"/>
                <w:color w:val="auto"/>
              </w:rPr>
            </w:pPr>
            <w:r>
              <w:rPr>
                <w:rFonts w:ascii="Arial" w:cs="Arial" w:eastAsia="Arial" w:hAnsi="Arial"/>
                <w:sz w:val="8"/>
                <w:szCs w:val="8"/>
                <w:color w:val="auto"/>
              </w:rPr>
              <w:t>17,627</w:t>
            </w:r>
          </w:p>
        </w:tc>
        <w:tc>
          <w:tcPr>
            <w:tcW w:w="420" w:type="dxa"/>
            <w:vAlign w:val="bottom"/>
            <w:gridSpan w:val="2"/>
            <w:shd w:val="clear" w:color="auto" w:fill="CCEEFF"/>
          </w:tcPr>
          <w:p>
            <w:pPr>
              <w:jc w:val="right"/>
              <w:ind w:right="40"/>
              <w:spacing w:after="0" w:line="88" w:lineRule="exact"/>
              <w:rPr>
                <w:sz w:val="20"/>
                <w:szCs w:val="20"/>
                <w:color w:val="auto"/>
              </w:rPr>
            </w:pPr>
            <w:r>
              <w:rPr>
                <w:rFonts w:ascii="Arial" w:cs="Arial" w:eastAsia="Arial" w:hAnsi="Arial"/>
                <w:sz w:val="8"/>
                <w:szCs w:val="8"/>
                <w:color w:val="auto"/>
              </w:rPr>
              <w:t>356,642</w:t>
            </w:r>
          </w:p>
        </w:tc>
        <w:tc>
          <w:tcPr>
            <w:tcW w:w="340" w:type="dxa"/>
            <w:vAlign w:val="bottom"/>
            <w:gridSpan w:val="2"/>
            <w:shd w:val="clear" w:color="auto" w:fill="CCEEFF"/>
          </w:tcPr>
          <w:p>
            <w:pPr>
              <w:jc w:val="right"/>
              <w:ind w:right="60"/>
              <w:spacing w:after="0" w:line="88" w:lineRule="exact"/>
              <w:rPr>
                <w:sz w:val="20"/>
                <w:szCs w:val="20"/>
                <w:color w:val="auto"/>
              </w:rPr>
            </w:pPr>
            <w:r>
              <w:rPr>
                <w:rFonts w:ascii="Arial" w:cs="Arial" w:eastAsia="Arial" w:hAnsi="Arial"/>
                <w:sz w:val="8"/>
                <w:szCs w:val="8"/>
                <w:color w:val="auto"/>
              </w:rPr>
              <w:t>2.02</w:t>
            </w:r>
          </w:p>
        </w:tc>
      </w:tr>
      <w:tr>
        <w:trPr>
          <w:trHeight w:val="20"/>
        </w:trPr>
        <w:tc>
          <w:tcPr>
            <w:tcW w:w="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940" w:type="dxa"/>
            <w:vAlign w:val="bottom"/>
            <w:gridSpan w:val="2"/>
          </w:tcPr>
          <w:p>
            <w:pPr>
              <w:spacing w:after="0" w:line="88" w:lineRule="exact"/>
              <w:rPr>
                <w:sz w:val="20"/>
                <w:szCs w:val="20"/>
                <w:color w:val="auto"/>
              </w:rPr>
            </w:pPr>
            <w:r>
              <w:rPr>
                <w:rFonts w:ascii="Arial" w:cs="Arial" w:eastAsia="Arial" w:hAnsi="Arial"/>
                <w:sz w:val="8"/>
                <w:szCs w:val="8"/>
                <w:color w:val="auto"/>
              </w:rPr>
              <w:t>Short-term borrowings</w:t>
            </w:r>
          </w:p>
        </w:tc>
        <w:tc>
          <w:tcPr>
            <w:tcW w:w="40" w:type="dxa"/>
            <w:vAlign w:val="bottom"/>
          </w:tcPr>
          <w:p>
            <w:pPr>
              <w:spacing w:after="0"/>
              <w:rPr>
                <w:sz w:val="7"/>
                <w:szCs w:val="7"/>
                <w:color w:val="auto"/>
              </w:rPr>
            </w:pPr>
          </w:p>
        </w:tc>
        <w:tc>
          <w:tcPr>
            <w:tcW w:w="46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4,530</w:t>
            </w:r>
          </w:p>
        </w:tc>
        <w:tc>
          <w:tcPr>
            <w:tcW w:w="60" w:type="dxa"/>
            <w:vAlign w:val="bottom"/>
          </w:tcPr>
          <w:p>
            <w:pPr>
              <w:spacing w:after="0"/>
              <w:rPr>
                <w:sz w:val="7"/>
                <w:szCs w:val="7"/>
                <w:color w:val="auto"/>
              </w:rPr>
            </w:pPr>
          </w:p>
        </w:tc>
        <w:tc>
          <w:tcPr>
            <w:tcW w:w="340" w:type="dxa"/>
            <w:vAlign w:val="bottom"/>
          </w:tcPr>
          <w:p>
            <w:pPr>
              <w:jc w:val="right"/>
              <w:spacing w:after="0" w:line="88" w:lineRule="exact"/>
              <w:rPr>
                <w:sz w:val="20"/>
                <w:szCs w:val="20"/>
                <w:color w:val="auto"/>
              </w:rPr>
            </w:pPr>
            <w:r>
              <w:rPr>
                <w:rFonts w:ascii="Arial" w:cs="Arial" w:eastAsia="Arial" w:hAnsi="Arial"/>
                <w:sz w:val="8"/>
                <w:szCs w:val="8"/>
                <w:color w:val="auto"/>
              </w:rPr>
              <w:t>227,850</w:t>
            </w:r>
          </w:p>
        </w:tc>
        <w:tc>
          <w:tcPr>
            <w:tcW w:w="120" w:type="dxa"/>
            <w:vAlign w:val="bottom"/>
          </w:tcPr>
          <w:p>
            <w:pPr>
              <w:spacing w:after="0"/>
              <w:rPr>
                <w:sz w:val="7"/>
                <w:szCs w:val="7"/>
                <w:color w:val="auto"/>
              </w:rPr>
            </w:pPr>
          </w:p>
        </w:tc>
        <w:tc>
          <w:tcPr>
            <w:tcW w:w="44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5.03</w:t>
            </w:r>
          </w:p>
        </w:tc>
        <w:tc>
          <w:tcPr>
            <w:tcW w:w="50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4,890</w:t>
            </w:r>
          </w:p>
        </w:tc>
        <w:tc>
          <w:tcPr>
            <w:tcW w:w="52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157,853</w:t>
            </w:r>
          </w:p>
        </w:tc>
        <w:tc>
          <w:tcPr>
            <w:tcW w:w="42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3.23</w:t>
            </w:r>
          </w:p>
        </w:tc>
        <w:tc>
          <w:tcPr>
            <w:tcW w:w="50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5,142</w:t>
            </w:r>
          </w:p>
        </w:tc>
        <w:tc>
          <w:tcPr>
            <w:tcW w:w="52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71,172</w:t>
            </w:r>
          </w:p>
        </w:tc>
        <w:tc>
          <w:tcPr>
            <w:tcW w:w="46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1.38</w:t>
            </w:r>
          </w:p>
        </w:tc>
        <w:tc>
          <w:tcPr>
            <w:tcW w:w="46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4,331</w:t>
            </w:r>
          </w:p>
        </w:tc>
        <w:tc>
          <w:tcPr>
            <w:tcW w:w="52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49,064</w:t>
            </w:r>
          </w:p>
        </w:tc>
        <w:tc>
          <w:tcPr>
            <w:tcW w:w="44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1.13</w:t>
            </w:r>
          </w:p>
        </w:tc>
        <w:tc>
          <w:tcPr>
            <w:tcW w:w="480" w:type="dxa"/>
            <w:vAlign w:val="bottom"/>
            <w:gridSpan w:val="2"/>
          </w:tcPr>
          <w:p>
            <w:pPr>
              <w:jc w:val="right"/>
              <w:ind w:right="120"/>
              <w:spacing w:after="0" w:line="88" w:lineRule="exact"/>
              <w:rPr>
                <w:sz w:val="20"/>
                <w:szCs w:val="20"/>
                <w:color w:val="auto"/>
              </w:rPr>
            </w:pPr>
            <w:r>
              <w:rPr>
                <w:rFonts w:ascii="Arial" w:cs="Arial" w:eastAsia="Arial" w:hAnsi="Arial"/>
                <w:sz w:val="8"/>
                <w:szCs w:val="8"/>
                <w:color w:val="auto"/>
              </w:rPr>
              <w:t>3,125</w:t>
            </w:r>
          </w:p>
        </w:tc>
        <w:tc>
          <w:tcPr>
            <w:tcW w:w="420" w:type="dxa"/>
            <w:vAlign w:val="bottom"/>
            <w:gridSpan w:val="2"/>
          </w:tcPr>
          <w:p>
            <w:pPr>
              <w:jc w:val="right"/>
              <w:ind w:right="40"/>
              <w:spacing w:after="0" w:line="88" w:lineRule="exact"/>
              <w:rPr>
                <w:sz w:val="20"/>
                <w:szCs w:val="20"/>
                <w:color w:val="auto"/>
              </w:rPr>
            </w:pPr>
            <w:r>
              <w:rPr>
                <w:rFonts w:ascii="Arial" w:cs="Arial" w:eastAsia="Arial" w:hAnsi="Arial"/>
                <w:sz w:val="8"/>
                <w:szCs w:val="8"/>
                <w:color w:val="auto"/>
              </w:rPr>
              <w:t>52,723</w:t>
            </w:r>
          </w:p>
        </w:tc>
        <w:tc>
          <w:tcPr>
            <w:tcW w:w="340" w:type="dxa"/>
            <w:vAlign w:val="bottom"/>
            <w:gridSpan w:val="2"/>
          </w:tcPr>
          <w:p>
            <w:pPr>
              <w:jc w:val="right"/>
              <w:ind w:right="60"/>
              <w:spacing w:after="0" w:line="88" w:lineRule="exact"/>
              <w:rPr>
                <w:sz w:val="20"/>
                <w:szCs w:val="20"/>
                <w:color w:val="auto"/>
              </w:rPr>
            </w:pPr>
            <w:r>
              <w:rPr>
                <w:rFonts w:ascii="Arial" w:cs="Arial" w:eastAsia="Arial" w:hAnsi="Arial"/>
                <w:sz w:val="8"/>
                <w:szCs w:val="8"/>
                <w:color w:val="auto"/>
              </w:rPr>
              <w:t>1.69</w:t>
            </w:r>
          </w:p>
        </w:tc>
      </w:tr>
      <w:tr>
        <w:trPr>
          <w:trHeight w:val="88"/>
        </w:trPr>
        <w:tc>
          <w:tcPr>
            <w:tcW w:w="2940" w:type="dxa"/>
            <w:vAlign w:val="bottom"/>
            <w:gridSpan w:val="2"/>
            <w:shd w:val="clear" w:color="auto" w:fill="CCEEFF"/>
          </w:tcPr>
          <w:p>
            <w:pPr>
              <w:spacing w:after="0" w:line="89" w:lineRule="exact"/>
              <w:rPr>
                <w:sz w:val="20"/>
                <w:szCs w:val="20"/>
                <w:color w:val="auto"/>
              </w:rPr>
            </w:pPr>
            <w:r>
              <w:rPr>
                <w:rFonts w:ascii="Arial" w:cs="Arial" w:eastAsia="Arial" w:hAnsi="Arial"/>
                <w:sz w:val="8"/>
                <w:szCs w:val="8"/>
                <w:color w:val="auto"/>
              </w:rPr>
              <w:t>Long-term borrowings</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6,013</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333,836</w:t>
            </w:r>
          </w:p>
        </w:tc>
        <w:tc>
          <w:tcPr>
            <w:tcW w:w="12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5.55</w:t>
            </w: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6,411</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279,967</w:t>
            </w:r>
          </w:p>
        </w:tc>
        <w:tc>
          <w:tcPr>
            <w:tcW w:w="4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4.37</w:t>
            </w:r>
          </w:p>
        </w:tc>
        <w:tc>
          <w:tcPr>
            <w:tcW w:w="5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5,832</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201,366</w:t>
            </w:r>
          </w:p>
        </w:tc>
        <w:tc>
          <w:tcPr>
            <w:tcW w:w="460" w:type="dxa"/>
            <w:vAlign w:val="bottom"/>
            <w:tcBorders>
              <w:right w:val="single" w:sz="8" w:color="CCEEFF"/>
            </w:tcBorders>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3.45</w:t>
            </w:r>
          </w:p>
        </w:tc>
        <w:tc>
          <w:tcPr>
            <w:tcW w:w="46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6,018</w:t>
            </w:r>
          </w:p>
        </w:tc>
        <w:tc>
          <w:tcPr>
            <w:tcW w:w="52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198,252</w:t>
            </w: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3.29</w:t>
            </w:r>
          </w:p>
        </w:tc>
        <w:tc>
          <w:tcPr>
            <w:tcW w:w="480" w:type="dxa"/>
            <w:vAlign w:val="bottom"/>
            <w:gridSpan w:val="2"/>
            <w:shd w:val="clear" w:color="auto" w:fill="CCEEFF"/>
          </w:tcPr>
          <w:p>
            <w:pPr>
              <w:jc w:val="right"/>
              <w:ind w:right="120"/>
              <w:spacing w:after="0" w:line="89" w:lineRule="exact"/>
              <w:rPr>
                <w:sz w:val="20"/>
                <w:szCs w:val="20"/>
                <w:color w:val="auto"/>
              </w:rPr>
            </w:pPr>
            <w:r>
              <w:rPr>
                <w:rFonts w:ascii="Arial" w:cs="Arial" w:eastAsia="Arial" w:hAnsi="Arial"/>
                <w:sz w:val="8"/>
                <w:szCs w:val="8"/>
                <w:color w:val="auto"/>
              </w:rPr>
              <w:t>4,162</w:t>
            </w:r>
          </w:p>
        </w:tc>
        <w:tc>
          <w:tcPr>
            <w:tcW w:w="420" w:type="dxa"/>
            <w:vAlign w:val="bottom"/>
            <w:gridSpan w:val="2"/>
            <w:shd w:val="clear" w:color="auto" w:fill="CCEEFF"/>
          </w:tcPr>
          <w:p>
            <w:pPr>
              <w:jc w:val="right"/>
              <w:ind w:right="40"/>
              <w:spacing w:after="0" w:line="89" w:lineRule="exact"/>
              <w:rPr>
                <w:sz w:val="20"/>
                <w:szCs w:val="20"/>
                <w:color w:val="auto"/>
              </w:rPr>
            </w:pPr>
            <w:r>
              <w:rPr>
                <w:rFonts w:ascii="Arial" w:cs="Arial" w:eastAsia="Arial" w:hAnsi="Arial"/>
                <w:sz w:val="8"/>
                <w:szCs w:val="8"/>
                <w:color w:val="auto"/>
              </w:rPr>
              <w:t>185,149</w:t>
            </w:r>
          </w:p>
        </w:tc>
        <w:tc>
          <w:tcPr>
            <w:tcW w:w="34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4.45</w:t>
            </w:r>
          </w:p>
        </w:tc>
      </w:tr>
      <w:tr>
        <w:trPr>
          <w:trHeight w:val="20"/>
        </w:trPr>
        <w:tc>
          <w:tcPr>
            <w:tcW w:w="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940" w:type="dxa"/>
            <w:vAlign w:val="bottom"/>
            <w:gridSpan w:val="2"/>
          </w:tcPr>
          <w:p>
            <w:pPr>
              <w:ind w:left="260"/>
              <w:spacing w:after="0" w:line="88" w:lineRule="exact"/>
              <w:rPr>
                <w:sz w:val="20"/>
                <w:szCs w:val="20"/>
                <w:color w:val="auto"/>
              </w:rPr>
            </w:pPr>
            <w:r>
              <w:rPr>
                <w:rFonts w:ascii="Arial" w:cs="Arial" w:eastAsia="Arial" w:hAnsi="Arial"/>
                <w:sz w:val="8"/>
                <w:szCs w:val="8"/>
                <w:i w:val="1"/>
                <w:iCs w:val="1"/>
                <w:color w:val="auto"/>
              </w:rPr>
              <w:t>Total interest-bearing liabilities</w:t>
            </w:r>
          </w:p>
        </w:tc>
        <w:tc>
          <w:tcPr>
            <w:tcW w:w="40" w:type="dxa"/>
            <w:vAlign w:val="bottom"/>
          </w:tcPr>
          <w:p>
            <w:pPr>
              <w:spacing w:after="0"/>
              <w:rPr>
                <w:sz w:val="7"/>
                <w:szCs w:val="7"/>
                <w:color w:val="auto"/>
              </w:rPr>
            </w:pPr>
          </w:p>
        </w:tc>
        <w:tc>
          <w:tcPr>
            <w:tcW w:w="46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41,409</w:t>
            </w:r>
          </w:p>
        </w:tc>
        <w:tc>
          <w:tcPr>
            <w:tcW w:w="60" w:type="dxa"/>
            <w:vAlign w:val="bottom"/>
          </w:tcPr>
          <w:p>
            <w:pPr>
              <w:spacing w:after="0"/>
              <w:rPr>
                <w:sz w:val="7"/>
                <w:szCs w:val="7"/>
                <w:color w:val="auto"/>
              </w:rPr>
            </w:pPr>
          </w:p>
        </w:tc>
        <w:tc>
          <w:tcPr>
            <w:tcW w:w="340" w:type="dxa"/>
            <w:vAlign w:val="bottom"/>
          </w:tcPr>
          <w:p>
            <w:pPr>
              <w:jc w:val="right"/>
              <w:spacing w:after="0" w:line="88" w:lineRule="exact"/>
              <w:rPr>
                <w:sz w:val="20"/>
                <w:szCs w:val="20"/>
                <w:color w:val="auto"/>
              </w:rPr>
            </w:pPr>
            <w:r>
              <w:rPr>
                <w:rFonts w:ascii="Arial" w:cs="Arial" w:eastAsia="Arial" w:hAnsi="Arial"/>
                <w:sz w:val="8"/>
                <w:szCs w:val="8"/>
                <w:color w:val="auto"/>
                <w:w w:val="89"/>
              </w:rPr>
              <w:t>1,496,552</w:t>
            </w:r>
          </w:p>
        </w:tc>
        <w:tc>
          <w:tcPr>
            <w:tcW w:w="120" w:type="dxa"/>
            <w:vAlign w:val="bottom"/>
          </w:tcPr>
          <w:p>
            <w:pPr>
              <w:spacing w:after="0"/>
              <w:rPr>
                <w:sz w:val="7"/>
                <w:szCs w:val="7"/>
                <w:color w:val="auto"/>
              </w:rPr>
            </w:pPr>
          </w:p>
        </w:tc>
        <w:tc>
          <w:tcPr>
            <w:tcW w:w="44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3.61</w:t>
            </w:r>
          </w:p>
        </w:tc>
        <w:tc>
          <w:tcPr>
            <w:tcW w:w="50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39,567</w:t>
            </w:r>
          </w:p>
        </w:tc>
        <w:tc>
          <w:tcPr>
            <w:tcW w:w="52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994,351</w:t>
            </w:r>
          </w:p>
        </w:tc>
        <w:tc>
          <w:tcPr>
            <w:tcW w:w="42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2.51</w:t>
            </w:r>
          </w:p>
        </w:tc>
        <w:tc>
          <w:tcPr>
            <w:tcW w:w="50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36,913</w:t>
            </w:r>
          </w:p>
        </w:tc>
        <w:tc>
          <w:tcPr>
            <w:tcW w:w="52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564,160</w:t>
            </w:r>
          </w:p>
        </w:tc>
        <w:tc>
          <w:tcPr>
            <w:tcW w:w="460" w:type="dxa"/>
            <w:vAlign w:val="bottom"/>
            <w:gridSpan w:val="2"/>
          </w:tcPr>
          <w:p>
            <w:pPr>
              <w:jc w:val="right"/>
              <w:ind w:right="180"/>
              <w:spacing w:after="0" w:line="88" w:lineRule="exact"/>
              <w:rPr>
                <w:sz w:val="20"/>
                <w:szCs w:val="20"/>
                <w:color w:val="auto"/>
              </w:rPr>
            </w:pPr>
            <w:r>
              <w:rPr>
                <w:rFonts w:ascii="Arial" w:cs="Arial" w:eastAsia="Arial" w:hAnsi="Arial"/>
                <w:sz w:val="8"/>
                <w:szCs w:val="8"/>
                <w:color w:val="auto"/>
              </w:rPr>
              <w:t>1.53</w:t>
            </w:r>
          </w:p>
        </w:tc>
        <w:tc>
          <w:tcPr>
            <w:tcW w:w="46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32,731</w:t>
            </w:r>
          </w:p>
        </w:tc>
        <w:tc>
          <w:tcPr>
            <w:tcW w:w="52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527,810</w:t>
            </w:r>
          </w:p>
        </w:tc>
        <w:tc>
          <w:tcPr>
            <w:tcW w:w="440" w:type="dxa"/>
            <w:vAlign w:val="bottom"/>
            <w:gridSpan w:val="2"/>
          </w:tcPr>
          <w:p>
            <w:pPr>
              <w:jc w:val="right"/>
              <w:ind w:right="160"/>
              <w:spacing w:after="0" w:line="88" w:lineRule="exact"/>
              <w:rPr>
                <w:sz w:val="20"/>
                <w:szCs w:val="20"/>
                <w:color w:val="auto"/>
              </w:rPr>
            </w:pPr>
            <w:r>
              <w:rPr>
                <w:rFonts w:ascii="Arial" w:cs="Arial" w:eastAsia="Arial" w:hAnsi="Arial"/>
                <w:sz w:val="8"/>
                <w:szCs w:val="8"/>
                <w:color w:val="auto"/>
              </w:rPr>
              <w:t>1.61</w:t>
            </w:r>
          </w:p>
        </w:tc>
        <w:tc>
          <w:tcPr>
            <w:tcW w:w="480" w:type="dxa"/>
            <w:vAlign w:val="bottom"/>
            <w:gridSpan w:val="2"/>
          </w:tcPr>
          <w:p>
            <w:pPr>
              <w:jc w:val="right"/>
              <w:ind w:right="120"/>
              <w:spacing w:after="0" w:line="88" w:lineRule="exact"/>
              <w:rPr>
                <w:sz w:val="20"/>
                <w:szCs w:val="20"/>
                <w:color w:val="auto"/>
              </w:rPr>
            </w:pPr>
            <w:r>
              <w:rPr>
                <w:rFonts w:ascii="Arial" w:cs="Arial" w:eastAsia="Arial" w:hAnsi="Arial"/>
                <w:sz w:val="8"/>
                <w:szCs w:val="8"/>
                <w:color w:val="auto"/>
              </w:rPr>
              <w:t>24,914</w:t>
            </w:r>
          </w:p>
        </w:tc>
        <w:tc>
          <w:tcPr>
            <w:tcW w:w="420" w:type="dxa"/>
            <w:vAlign w:val="bottom"/>
            <w:gridSpan w:val="2"/>
          </w:tcPr>
          <w:p>
            <w:pPr>
              <w:jc w:val="right"/>
              <w:ind w:right="40"/>
              <w:spacing w:after="0" w:line="88" w:lineRule="exact"/>
              <w:rPr>
                <w:sz w:val="20"/>
                <w:szCs w:val="20"/>
                <w:color w:val="auto"/>
              </w:rPr>
            </w:pPr>
            <w:r>
              <w:rPr>
                <w:rFonts w:ascii="Arial" w:cs="Arial" w:eastAsia="Arial" w:hAnsi="Arial"/>
                <w:sz w:val="8"/>
                <w:szCs w:val="8"/>
                <w:color w:val="auto"/>
              </w:rPr>
              <w:t>594,514</w:t>
            </w:r>
          </w:p>
        </w:tc>
        <w:tc>
          <w:tcPr>
            <w:tcW w:w="340" w:type="dxa"/>
            <w:vAlign w:val="bottom"/>
            <w:gridSpan w:val="2"/>
          </w:tcPr>
          <w:p>
            <w:pPr>
              <w:jc w:val="right"/>
              <w:ind w:right="60"/>
              <w:spacing w:after="0" w:line="88" w:lineRule="exact"/>
              <w:rPr>
                <w:sz w:val="20"/>
                <w:szCs w:val="20"/>
                <w:color w:val="auto"/>
              </w:rPr>
            </w:pPr>
            <w:r>
              <w:rPr>
                <w:rFonts w:ascii="Arial" w:cs="Arial" w:eastAsia="Arial" w:hAnsi="Arial"/>
                <w:sz w:val="8"/>
                <w:szCs w:val="8"/>
                <w:color w:val="auto"/>
              </w:rPr>
              <w:t>2.39</w:t>
            </w:r>
          </w:p>
        </w:tc>
      </w:tr>
      <w:tr>
        <w:trPr>
          <w:trHeight w:val="20"/>
        </w:trPr>
        <w:tc>
          <w:tcPr>
            <w:tcW w:w="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940" w:type="dxa"/>
            <w:vAlign w:val="bottom"/>
            <w:gridSpan w:val="2"/>
            <w:shd w:val="clear" w:color="auto" w:fill="CCEEFF"/>
          </w:tcPr>
          <w:p>
            <w:pPr>
              <w:spacing w:after="0" w:line="88" w:lineRule="exact"/>
              <w:rPr>
                <w:sz w:val="20"/>
                <w:szCs w:val="20"/>
                <w:color w:val="auto"/>
              </w:rPr>
            </w:pPr>
            <w:r>
              <w:rPr>
                <w:rFonts w:ascii="Arial" w:cs="Arial" w:eastAsia="Arial" w:hAnsi="Arial"/>
                <w:sz w:val="8"/>
                <w:szCs w:val="8"/>
                <w:color w:val="auto"/>
              </w:rPr>
              <w:t>Noninterest-bearing deposits</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7,555</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8,050</w:t>
            </w: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8,039</w:t>
            </w: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tcBorders>
              <w:right w:val="single" w:sz="8" w:color="CCEEFF"/>
            </w:tcBorders>
            <w:shd w:val="clear" w:color="auto" w:fill="CCEEFF"/>
          </w:tcPr>
          <w:p>
            <w:pPr>
              <w:spacing w:after="0"/>
              <w:rPr>
                <w:sz w:val="7"/>
                <w:szCs w:val="7"/>
                <w:color w:val="auto"/>
              </w:rPr>
            </w:pPr>
          </w:p>
        </w:tc>
        <w:tc>
          <w:tcPr>
            <w:tcW w:w="46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6,801</w:t>
            </w: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20"/>
              <w:spacing w:after="0" w:line="88" w:lineRule="exact"/>
              <w:rPr>
                <w:sz w:val="20"/>
                <w:szCs w:val="20"/>
                <w:color w:val="auto"/>
              </w:rPr>
            </w:pPr>
            <w:r>
              <w:rPr>
                <w:rFonts w:ascii="Arial" w:cs="Arial" w:eastAsia="Arial" w:hAnsi="Arial"/>
                <w:sz w:val="8"/>
                <w:szCs w:val="8"/>
                <w:color w:val="auto"/>
              </w:rPr>
              <w:t>3,618</w:t>
            </w: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r>
      <w:tr>
        <w:trPr>
          <w:trHeight w:val="88"/>
        </w:trPr>
        <w:tc>
          <w:tcPr>
            <w:tcW w:w="2940" w:type="dxa"/>
            <w:vAlign w:val="bottom"/>
            <w:gridSpan w:val="2"/>
          </w:tcPr>
          <w:p>
            <w:pPr>
              <w:spacing w:after="0" w:line="89" w:lineRule="exact"/>
              <w:rPr>
                <w:sz w:val="20"/>
                <w:szCs w:val="20"/>
                <w:color w:val="auto"/>
              </w:rPr>
            </w:pPr>
            <w:r>
              <w:rPr>
                <w:rFonts w:ascii="Arial" w:cs="Arial" w:eastAsia="Arial" w:hAnsi="Arial"/>
                <w:sz w:val="8"/>
                <w:szCs w:val="8"/>
                <w:color w:val="auto"/>
              </w:rPr>
              <w:t>Other liabilities</w:t>
            </w:r>
          </w:p>
        </w:tc>
        <w:tc>
          <w:tcPr>
            <w:tcW w:w="40" w:type="dxa"/>
            <w:vAlign w:val="bottom"/>
          </w:tcPr>
          <w:p>
            <w:pPr>
              <w:spacing w:after="0"/>
              <w:rPr>
                <w:sz w:val="7"/>
                <w:szCs w:val="7"/>
                <w:color w:val="auto"/>
              </w:rPr>
            </w:pPr>
          </w:p>
        </w:tc>
        <w:tc>
          <w:tcPr>
            <w:tcW w:w="46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834</w:t>
            </w: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720</w:t>
            </w: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864</w:t>
            </w: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gridSpan w:val="2"/>
          </w:tcPr>
          <w:p>
            <w:pPr>
              <w:jc w:val="right"/>
              <w:ind w:right="140"/>
              <w:spacing w:after="0" w:line="89" w:lineRule="exact"/>
              <w:rPr>
                <w:sz w:val="20"/>
                <w:szCs w:val="20"/>
                <w:color w:val="auto"/>
              </w:rPr>
            </w:pPr>
            <w:r>
              <w:rPr>
                <w:rFonts w:ascii="Arial" w:cs="Arial" w:eastAsia="Arial" w:hAnsi="Arial"/>
                <w:sz w:val="8"/>
                <w:szCs w:val="8"/>
                <w:color w:val="auto"/>
              </w:rPr>
              <w:t>876</w:t>
            </w: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gridSpan w:val="2"/>
          </w:tcPr>
          <w:p>
            <w:pPr>
              <w:jc w:val="right"/>
              <w:ind w:right="120"/>
              <w:spacing w:after="0" w:line="89" w:lineRule="exact"/>
              <w:rPr>
                <w:sz w:val="20"/>
                <w:szCs w:val="20"/>
                <w:color w:val="auto"/>
              </w:rPr>
            </w:pPr>
            <w:r>
              <w:rPr>
                <w:rFonts w:ascii="Arial" w:cs="Arial" w:eastAsia="Arial" w:hAnsi="Arial"/>
                <w:sz w:val="8"/>
                <w:szCs w:val="8"/>
                <w:color w:val="auto"/>
              </w:rPr>
              <w:t>377</w:t>
            </w: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20"/>
        </w:trPr>
        <w:tc>
          <w:tcPr>
            <w:tcW w:w="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940" w:type="dxa"/>
            <w:vAlign w:val="bottom"/>
            <w:gridSpan w:val="2"/>
            <w:shd w:val="clear" w:color="auto" w:fill="CCEEFF"/>
          </w:tcPr>
          <w:p>
            <w:pPr>
              <w:ind w:left="180"/>
              <w:spacing w:after="0" w:line="88" w:lineRule="exact"/>
              <w:rPr>
                <w:sz w:val="20"/>
                <w:szCs w:val="20"/>
                <w:color w:val="auto"/>
              </w:rPr>
            </w:pPr>
            <w:r>
              <w:rPr>
                <w:rFonts w:ascii="Arial" w:cs="Arial" w:eastAsia="Arial" w:hAnsi="Arial"/>
                <w:sz w:val="8"/>
                <w:szCs w:val="8"/>
                <w:color w:val="auto"/>
              </w:rPr>
              <w:t>Total liabilities</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49,798</w:t>
            </w: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48,337</w:t>
            </w: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45,816</w:t>
            </w: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tcBorders>
              <w:right w:val="single" w:sz="8" w:color="CCEEFF"/>
            </w:tcBorders>
            <w:shd w:val="clear" w:color="auto" w:fill="CCEEFF"/>
          </w:tcPr>
          <w:p>
            <w:pPr>
              <w:spacing w:after="0"/>
              <w:rPr>
                <w:sz w:val="7"/>
                <w:szCs w:val="7"/>
                <w:color w:val="auto"/>
              </w:rPr>
            </w:pPr>
          </w:p>
        </w:tc>
        <w:tc>
          <w:tcPr>
            <w:tcW w:w="46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40,408</w:t>
            </w: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80" w:type="dxa"/>
            <w:vAlign w:val="bottom"/>
            <w:gridSpan w:val="2"/>
            <w:shd w:val="clear" w:color="auto" w:fill="CCEEFF"/>
          </w:tcPr>
          <w:p>
            <w:pPr>
              <w:jc w:val="right"/>
              <w:ind w:right="120"/>
              <w:spacing w:after="0" w:line="88" w:lineRule="exact"/>
              <w:rPr>
                <w:sz w:val="20"/>
                <w:szCs w:val="20"/>
                <w:color w:val="auto"/>
              </w:rPr>
            </w:pPr>
            <w:r>
              <w:rPr>
                <w:rFonts w:ascii="Arial" w:cs="Arial" w:eastAsia="Arial" w:hAnsi="Arial"/>
                <w:sz w:val="8"/>
                <w:szCs w:val="8"/>
                <w:color w:val="auto"/>
              </w:rPr>
              <w:t>28,909</w:t>
            </w: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r>
      <w:tr>
        <w:trPr>
          <w:trHeight w:val="20"/>
        </w:trPr>
        <w:tc>
          <w:tcPr>
            <w:tcW w:w="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8"/>
        </w:trPr>
        <w:tc>
          <w:tcPr>
            <w:tcW w:w="2940" w:type="dxa"/>
            <w:vAlign w:val="bottom"/>
            <w:gridSpan w:val="2"/>
          </w:tcPr>
          <w:p>
            <w:pPr>
              <w:spacing w:after="0" w:line="88" w:lineRule="exact"/>
              <w:rPr>
                <w:sz w:val="20"/>
                <w:szCs w:val="20"/>
                <w:color w:val="auto"/>
              </w:rPr>
            </w:pPr>
            <w:r>
              <w:rPr>
                <w:rFonts w:ascii="Arial" w:cs="Arial" w:eastAsia="Arial" w:hAnsi="Arial"/>
                <w:sz w:val="8"/>
                <w:szCs w:val="8"/>
                <w:color w:val="auto"/>
              </w:rPr>
              <w:t>Stockholders’ equity</w:t>
            </w:r>
          </w:p>
        </w:tc>
        <w:tc>
          <w:tcPr>
            <w:tcW w:w="40" w:type="dxa"/>
            <w:vAlign w:val="bottom"/>
          </w:tcPr>
          <w:p>
            <w:pPr>
              <w:spacing w:after="0"/>
              <w:rPr>
                <w:sz w:val="7"/>
                <w:szCs w:val="7"/>
                <w:color w:val="auto"/>
              </w:rPr>
            </w:pPr>
          </w:p>
        </w:tc>
        <w:tc>
          <w:tcPr>
            <w:tcW w:w="46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6,041</w:t>
            </w: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5,798</w:t>
            </w: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5,701</w:t>
            </w: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4,941</w:t>
            </w: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gridSpan w:val="2"/>
          </w:tcPr>
          <w:p>
            <w:pPr>
              <w:jc w:val="right"/>
              <w:ind w:right="120"/>
              <w:spacing w:after="0" w:line="88" w:lineRule="exact"/>
              <w:rPr>
                <w:sz w:val="20"/>
                <w:szCs w:val="20"/>
                <w:color w:val="auto"/>
              </w:rPr>
            </w:pPr>
            <w:r>
              <w:rPr>
                <w:rFonts w:ascii="Arial" w:cs="Arial" w:eastAsia="Arial" w:hAnsi="Arial"/>
                <w:sz w:val="8"/>
                <w:szCs w:val="8"/>
                <w:color w:val="auto"/>
              </w:rPr>
              <w:t>3,026</w:t>
            </w: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20"/>
        </w:trPr>
        <w:tc>
          <w:tcPr>
            <w:tcW w:w="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8"/>
        </w:trPr>
        <w:tc>
          <w:tcPr>
            <w:tcW w:w="2940" w:type="dxa"/>
            <w:vAlign w:val="bottom"/>
            <w:gridSpan w:val="2"/>
            <w:shd w:val="clear" w:color="auto" w:fill="CCEEFF"/>
          </w:tcPr>
          <w:p>
            <w:pPr>
              <w:ind w:left="180"/>
              <w:spacing w:after="0" w:line="88" w:lineRule="exact"/>
              <w:rPr>
                <w:sz w:val="20"/>
                <w:szCs w:val="20"/>
                <w:color w:val="auto"/>
              </w:rPr>
            </w:pPr>
            <w:r>
              <w:rPr>
                <w:rFonts w:ascii="Arial" w:cs="Arial" w:eastAsia="Arial" w:hAnsi="Arial"/>
                <w:sz w:val="8"/>
                <w:szCs w:val="8"/>
                <w:color w:val="auto"/>
              </w:rPr>
              <w:t>Total liabilities and stockholders’ equity</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55,839</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54,135</w:t>
            </w: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51,517</w:t>
            </w: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tcBorders>
              <w:right w:val="single" w:sz="8" w:color="CCEEFF"/>
            </w:tcBorders>
            <w:shd w:val="clear" w:color="auto" w:fill="CCEEFF"/>
          </w:tcPr>
          <w:p>
            <w:pPr>
              <w:spacing w:after="0"/>
              <w:rPr>
                <w:sz w:val="8"/>
                <w:szCs w:val="8"/>
                <w:color w:val="auto"/>
              </w:rPr>
            </w:pPr>
          </w:p>
        </w:tc>
        <w:tc>
          <w:tcPr>
            <w:tcW w:w="460" w:type="dxa"/>
            <w:vAlign w:val="bottom"/>
            <w:gridSpan w:val="2"/>
            <w:shd w:val="clear" w:color="auto" w:fill="CCEEFF"/>
          </w:tcPr>
          <w:p>
            <w:pPr>
              <w:jc w:val="right"/>
              <w:ind w:right="140"/>
              <w:spacing w:after="0" w:line="88" w:lineRule="exact"/>
              <w:rPr>
                <w:sz w:val="20"/>
                <w:szCs w:val="20"/>
                <w:color w:val="auto"/>
              </w:rPr>
            </w:pPr>
            <w:r>
              <w:rPr>
                <w:rFonts w:ascii="Arial" w:cs="Arial" w:eastAsia="Arial" w:hAnsi="Arial"/>
                <w:sz w:val="8"/>
                <w:szCs w:val="8"/>
                <w:color w:val="auto"/>
              </w:rPr>
              <w:t>45,349</w:t>
            </w: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20"/>
              <w:spacing w:after="0" w:line="88" w:lineRule="exact"/>
              <w:rPr>
                <w:sz w:val="20"/>
                <w:szCs w:val="20"/>
                <w:color w:val="auto"/>
              </w:rPr>
            </w:pPr>
            <w:r>
              <w:rPr>
                <w:rFonts w:ascii="Arial" w:cs="Arial" w:eastAsia="Arial" w:hAnsi="Arial"/>
                <w:sz w:val="8"/>
                <w:szCs w:val="8"/>
                <w:color w:val="auto"/>
              </w:rPr>
              <w:t>31,935</w:t>
            </w: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r>
      <w:tr>
        <w:trPr>
          <w:trHeight w:val="98"/>
        </w:trPr>
        <w:tc>
          <w:tcPr>
            <w:tcW w:w="2940" w:type="dxa"/>
            <w:vAlign w:val="bottom"/>
            <w:gridSpan w:val="2"/>
          </w:tcPr>
          <w:p>
            <w:pPr>
              <w:spacing w:after="0"/>
              <w:rPr>
                <w:sz w:val="20"/>
                <w:szCs w:val="20"/>
                <w:color w:val="auto"/>
              </w:rPr>
            </w:pPr>
            <w:r>
              <w:rPr>
                <w:rFonts w:ascii="Arial" w:cs="Arial" w:eastAsia="Arial" w:hAnsi="Arial"/>
                <w:sz w:val="8"/>
                <w:szCs w:val="8"/>
                <w:color w:val="auto"/>
              </w:rPr>
              <w:t>Net interest spread</w:t>
            </w:r>
          </w:p>
        </w:tc>
        <w:tc>
          <w:tcPr>
            <w:tcW w:w="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8"/>
                <w:szCs w:val="8"/>
                <w:color w:val="auto"/>
              </w:rPr>
              <w:t>3.10</w:t>
            </w:r>
          </w:p>
        </w:tc>
        <w:tc>
          <w:tcPr>
            <w:tcW w:w="3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8"/>
                <w:szCs w:val="8"/>
                <w:color w:val="auto"/>
              </w:rPr>
              <w:t>3.32</w:t>
            </w:r>
          </w:p>
        </w:tc>
        <w:tc>
          <w:tcPr>
            <w:tcW w:w="3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8"/>
                <w:szCs w:val="8"/>
                <w:color w:val="auto"/>
              </w:rPr>
              <w:t>3.60</w:t>
            </w:r>
          </w:p>
        </w:tc>
        <w:tc>
          <w:tcPr>
            <w:tcW w:w="3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8"/>
                <w:szCs w:val="8"/>
                <w:color w:val="auto"/>
              </w:rPr>
              <w:t>3.81</w:t>
            </w:r>
          </w:p>
        </w:tc>
        <w:tc>
          <w:tcPr>
            <w:tcW w:w="3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8"/>
                <w:szCs w:val="8"/>
                <w:color w:val="auto"/>
              </w:rPr>
              <w:t>4.03</w:t>
            </w:r>
          </w:p>
        </w:tc>
      </w:tr>
      <w:tr>
        <w:trPr>
          <w:trHeight w:val="88"/>
        </w:trPr>
        <w:tc>
          <w:tcPr>
            <w:tcW w:w="2940" w:type="dxa"/>
            <w:vAlign w:val="bottom"/>
            <w:gridSpan w:val="2"/>
            <w:shd w:val="clear" w:color="auto" w:fill="CCEEFF"/>
          </w:tcPr>
          <w:p>
            <w:pPr>
              <w:spacing w:after="0" w:line="89" w:lineRule="exact"/>
              <w:rPr>
                <w:sz w:val="20"/>
                <w:szCs w:val="20"/>
                <w:color w:val="auto"/>
              </w:rPr>
            </w:pPr>
            <w:r>
              <w:rPr>
                <w:rFonts w:ascii="Arial" w:cs="Arial" w:eastAsia="Arial" w:hAnsi="Arial"/>
                <w:sz w:val="8"/>
                <w:szCs w:val="8"/>
                <w:color w:val="auto"/>
              </w:rPr>
              <w:t>Contribution of interest-free funds</w:t>
            </w:r>
          </w:p>
        </w:tc>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.60</w:t>
            </w: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.45</w:t>
            </w: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60" w:type="dxa"/>
            <w:vAlign w:val="bottom"/>
            <w:tcBorders>
              <w:right w:val="single" w:sz="8" w:color="CCEEFF"/>
            </w:tcBorders>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.28</w:t>
            </w:r>
          </w:p>
        </w:tc>
        <w:tc>
          <w:tcPr>
            <w:tcW w:w="3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.28</w:t>
            </w:r>
          </w:p>
        </w:tc>
        <w:tc>
          <w:tcPr>
            <w:tcW w:w="3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.33</w:t>
            </w:r>
          </w:p>
        </w:tc>
      </w:tr>
      <w:tr>
        <w:trPr>
          <w:trHeight w:val="20"/>
        </w:trPr>
        <w:tc>
          <w:tcPr>
            <w:tcW w:w="8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8"/>
        </w:trPr>
        <w:tc>
          <w:tcPr>
            <w:tcW w:w="2940" w:type="dxa"/>
            <w:vAlign w:val="bottom"/>
            <w:gridSpan w:val="2"/>
          </w:tcPr>
          <w:p>
            <w:pPr>
              <w:spacing w:after="0" w:line="88" w:lineRule="exact"/>
              <w:rPr>
                <w:sz w:val="20"/>
                <w:szCs w:val="20"/>
                <w:color w:val="auto"/>
              </w:rPr>
            </w:pPr>
            <w:r>
              <w:rPr>
                <w:rFonts w:ascii="Arial" w:cs="Arial" w:eastAsia="Arial" w:hAnsi="Arial"/>
                <w:sz w:val="8"/>
                <w:szCs w:val="8"/>
                <w:color w:val="auto"/>
              </w:rPr>
              <w:t>Net interest income/margin on earning assets</w:t>
            </w: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Pr>
          <w:p>
            <w:pPr>
              <w:jc w:val="right"/>
              <w:spacing w:after="0" w:line="88" w:lineRule="exact"/>
              <w:rPr>
                <w:sz w:val="20"/>
                <w:szCs w:val="20"/>
                <w:color w:val="auto"/>
              </w:rPr>
            </w:pPr>
            <w:r>
              <w:rPr>
                <w:rFonts w:ascii="Arial" w:cs="Arial" w:eastAsia="Arial" w:hAnsi="Arial"/>
                <w:sz w:val="8"/>
                <w:szCs w:val="8"/>
                <w:color w:val="auto"/>
                <w:w w:val="89"/>
              </w:rPr>
              <w:t>1,837,208</w:t>
            </w:r>
          </w:p>
        </w:tc>
        <w:tc>
          <w:tcPr>
            <w:tcW w:w="120" w:type="dxa"/>
            <w:vAlign w:val="bottom"/>
          </w:tcPr>
          <w:p>
            <w:pPr>
              <w:spacing w:after="0"/>
              <w:rPr>
                <w:sz w:val="8"/>
                <w:szCs w:val="8"/>
                <w:color w:val="auto"/>
              </w:rPr>
            </w:pPr>
          </w:p>
        </w:tc>
        <w:tc>
          <w:tcPr>
            <w:tcW w:w="440" w:type="dxa"/>
            <w:vAlign w:val="bottom"/>
            <w:gridSpan w:val="2"/>
          </w:tcPr>
          <w:p>
            <w:pPr>
              <w:jc w:val="right"/>
              <w:ind w:right="80"/>
              <w:spacing w:after="0" w:line="88" w:lineRule="exact"/>
              <w:rPr>
                <w:sz w:val="20"/>
                <w:szCs w:val="20"/>
                <w:color w:val="auto"/>
              </w:rPr>
            </w:pPr>
            <w:r>
              <w:rPr>
                <w:rFonts w:ascii="Arial" w:cs="Arial" w:eastAsia="Arial" w:hAnsi="Arial"/>
                <w:sz w:val="8"/>
                <w:szCs w:val="8"/>
                <w:color w:val="auto"/>
              </w:rPr>
              <w:t>3.70%</w:t>
            </w: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1,811,654</w:t>
            </w:r>
          </w:p>
        </w:tc>
        <w:tc>
          <w:tcPr>
            <w:tcW w:w="420" w:type="dxa"/>
            <w:vAlign w:val="bottom"/>
            <w:gridSpan w:val="2"/>
          </w:tcPr>
          <w:p>
            <w:pPr>
              <w:jc w:val="right"/>
              <w:ind w:right="80"/>
              <w:spacing w:after="0" w:line="88" w:lineRule="exact"/>
              <w:rPr>
                <w:sz w:val="20"/>
                <w:szCs w:val="20"/>
                <w:color w:val="auto"/>
              </w:rPr>
            </w:pPr>
            <w:r>
              <w:rPr>
                <w:rFonts w:ascii="Arial" w:cs="Arial" w:eastAsia="Arial" w:hAnsi="Arial"/>
                <w:sz w:val="8"/>
                <w:szCs w:val="8"/>
                <w:color w:val="auto"/>
              </w:rPr>
              <w:t>3.77%</w:t>
            </w: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1,751,902</w:t>
            </w:r>
          </w:p>
        </w:tc>
        <w:tc>
          <w:tcPr>
            <w:tcW w:w="460" w:type="dxa"/>
            <w:vAlign w:val="bottom"/>
            <w:gridSpan w:val="2"/>
          </w:tcPr>
          <w:p>
            <w:pPr>
              <w:jc w:val="right"/>
              <w:ind w:right="120"/>
              <w:spacing w:after="0" w:line="88" w:lineRule="exact"/>
              <w:rPr>
                <w:sz w:val="20"/>
                <w:szCs w:val="20"/>
                <w:color w:val="auto"/>
              </w:rPr>
            </w:pPr>
            <w:r>
              <w:rPr>
                <w:rFonts w:ascii="Arial" w:cs="Arial" w:eastAsia="Arial" w:hAnsi="Arial"/>
                <w:sz w:val="8"/>
                <w:szCs w:val="8"/>
                <w:color w:val="auto"/>
              </w:rPr>
              <w:t>3.88%</w:t>
            </w: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gridSpan w:val="2"/>
          </w:tcPr>
          <w:p>
            <w:pPr>
              <w:jc w:val="right"/>
              <w:ind w:right="140"/>
              <w:spacing w:after="0" w:line="88" w:lineRule="exact"/>
              <w:rPr>
                <w:sz w:val="20"/>
                <w:szCs w:val="20"/>
                <w:color w:val="auto"/>
              </w:rPr>
            </w:pPr>
            <w:r>
              <w:rPr>
                <w:rFonts w:ascii="Arial" w:cs="Arial" w:eastAsia="Arial" w:hAnsi="Arial"/>
                <w:sz w:val="8"/>
                <w:szCs w:val="8"/>
                <w:color w:val="auto"/>
              </w:rPr>
              <w:t>1,615,068</w:t>
            </w:r>
          </w:p>
        </w:tc>
        <w:tc>
          <w:tcPr>
            <w:tcW w:w="440" w:type="dxa"/>
            <w:vAlign w:val="bottom"/>
            <w:gridSpan w:val="2"/>
          </w:tcPr>
          <w:p>
            <w:pPr>
              <w:jc w:val="right"/>
              <w:ind w:right="100"/>
              <w:spacing w:after="0" w:line="88" w:lineRule="exact"/>
              <w:rPr>
                <w:sz w:val="20"/>
                <w:szCs w:val="20"/>
                <w:color w:val="auto"/>
              </w:rPr>
            </w:pPr>
            <w:r>
              <w:rPr>
                <w:rFonts w:ascii="Arial" w:cs="Arial" w:eastAsia="Arial" w:hAnsi="Arial"/>
                <w:sz w:val="8"/>
                <w:szCs w:val="8"/>
                <w:color w:val="auto"/>
              </w:rPr>
              <w:t>4.09%</w:t>
            </w: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gridSpan w:val="2"/>
          </w:tcPr>
          <w:p>
            <w:pPr>
              <w:jc w:val="right"/>
              <w:ind w:right="40"/>
              <w:spacing w:after="0" w:line="88" w:lineRule="exact"/>
              <w:rPr>
                <w:sz w:val="20"/>
                <w:szCs w:val="20"/>
                <w:color w:val="auto"/>
              </w:rPr>
            </w:pPr>
            <w:r>
              <w:rPr>
                <w:rFonts w:ascii="Arial" w:cs="Arial" w:eastAsia="Arial" w:hAnsi="Arial"/>
                <w:sz w:val="8"/>
                <w:szCs w:val="8"/>
                <w:color w:val="auto"/>
              </w:rPr>
              <w:t>1,261,634</w:t>
            </w:r>
          </w:p>
        </w:tc>
        <w:tc>
          <w:tcPr>
            <w:tcW w:w="340" w:type="dxa"/>
            <w:vAlign w:val="bottom"/>
            <w:gridSpan w:val="2"/>
          </w:tcPr>
          <w:p>
            <w:pPr>
              <w:jc w:val="right"/>
              <w:spacing w:after="0" w:line="88" w:lineRule="exact"/>
              <w:rPr>
                <w:sz w:val="20"/>
                <w:szCs w:val="20"/>
                <w:color w:val="auto"/>
              </w:rPr>
            </w:pPr>
            <w:r>
              <w:rPr>
                <w:rFonts w:ascii="Arial" w:cs="Arial" w:eastAsia="Arial" w:hAnsi="Arial"/>
                <w:sz w:val="8"/>
                <w:szCs w:val="8"/>
                <w:color w:val="auto"/>
              </w:rPr>
              <w:t>4.36%</w:t>
            </w:r>
          </w:p>
        </w:tc>
      </w:tr>
      <w:tr>
        <w:trPr>
          <w:trHeight w:val="108"/>
        </w:trPr>
        <w:tc>
          <w:tcPr>
            <w:tcW w:w="800" w:type="dxa"/>
            <w:vAlign w:val="bottom"/>
            <w:tcBorders>
              <w:bottom w:val="single" w:sz="8" w:color="auto"/>
            </w:tcBorders>
          </w:tcPr>
          <w:p>
            <w:pPr>
              <w:spacing w:after="0"/>
              <w:rPr>
                <w:sz w:val="9"/>
                <w:szCs w:val="9"/>
                <w:color w:val="auto"/>
              </w:rPr>
            </w:pPr>
          </w:p>
        </w:tc>
        <w:tc>
          <w:tcPr>
            <w:tcW w:w="21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r>
    </w:tbl>
    <w:p>
      <w:pPr>
        <w:spacing w:after="0" w:line="40" w:lineRule="exact"/>
        <w:rPr>
          <w:sz w:val="20"/>
          <w:szCs w:val="20"/>
          <w:color w:val="auto"/>
        </w:rPr>
      </w:pPr>
    </w:p>
    <w:p>
      <w:pPr>
        <w:ind w:left="1000" w:hanging="259"/>
        <w:spacing w:after="0"/>
        <w:tabs>
          <w:tab w:leader="none" w:pos="1000" w:val="left"/>
        </w:tabs>
        <w:numPr>
          <w:ilvl w:val="0"/>
          <w:numId w:val="15"/>
        </w:numPr>
        <w:rPr>
          <w:rFonts w:ascii="Arial" w:cs="Arial" w:eastAsia="Arial" w:hAnsi="Arial"/>
          <w:sz w:val="13"/>
          <w:szCs w:val="13"/>
          <w:i w:val="1"/>
          <w:iCs w:val="1"/>
          <w:color w:val="auto"/>
        </w:rPr>
      </w:pPr>
      <w:r>
        <w:rPr>
          <w:rFonts w:ascii="Arial" w:cs="Arial" w:eastAsia="Arial" w:hAnsi="Arial"/>
          <w:sz w:val="13"/>
          <w:szCs w:val="13"/>
          <w:i w:val="1"/>
          <w:iCs w:val="1"/>
          <w:color w:val="auto"/>
        </w:rPr>
        <w:t>Includes nonaccrual loans.</w:t>
      </w:r>
    </w:p>
    <w:p>
      <w:pPr>
        <w:spacing w:after="0" w:line="15" w:lineRule="exact"/>
        <w:rPr>
          <w:rFonts w:ascii="Arial" w:cs="Arial" w:eastAsia="Arial" w:hAnsi="Arial"/>
          <w:sz w:val="13"/>
          <w:szCs w:val="13"/>
          <w:i w:val="1"/>
          <w:iCs w:val="1"/>
          <w:color w:val="auto"/>
        </w:rPr>
      </w:pPr>
    </w:p>
    <w:p>
      <w:pPr>
        <w:ind w:left="1000" w:hanging="259"/>
        <w:spacing w:after="0"/>
        <w:tabs>
          <w:tab w:leader="none" w:pos="1000" w:val="left"/>
        </w:tabs>
        <w:numPr>
          <w:ilvl w:val="0"/>
          <w:numId w:val="15"/>
        </w:numPr>
        <w:rPr>
          <w:rFonts w:ascii="Arial" w:cs="Arial" w:eastAsia="Arial" w:hAnsi="Arial"/>
          <w:sz w:val="13"/>
          <w:szCs w:val="13"/>
          <w:i w:val="1"/>
          <w:iCs w:val="1"/>
          <w:color w:val="auto"/>
        </w:rPr>
      </w:pPr>
      <w:r>
        <w:rPr>
          <w:rFonts w:ascii="Arial" w:cs="Arial" w:eastAsia="Arial" w:hAnsi="Arial"/>
          <w:sz w:val="13"/>
          <w:szCs w:val="13"/>
          <w:i w:val="1"/>
          <w:iCs w:val="1"/>
          <w:color w:val="auto"/>
        </w:rPr>
        <w:t>Includes available for sale securities at amortized cost.</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right="20" w:firstLine="688"/>
        <w:spacing w:after="0" w:line="270" w:lineRule="auto"/>
        <w:rPr>
          <w:sz w:val="20"/>
          <w:szCs w:val="20"/>
          <w:color w:val="auto"/>
        </w:rPr>
      </w:pPr>
      <w:r>
        <w:rPr>
          <w:rFonts w:ascii="Arial" w:cs="Arial" w:eastAsia="Arial" w:hAnsi="Arial"/>
          <w:sz w:val="13"/>
          <w:szCs w:val="13"/>
          <w:color w:val="auto"/>
        </w:rPr>
        <w:t>Taxable-equivalent net interest income rose 3% to $1.81 billion in 2005 from $1.75 billion in 2004. That improvement reflected a 6% increase in average earning assets to $48.1 billion in 2005 from $45.2 billion in 2004, partially offset by a narrowing of the Company’s net interest margin, which declined to 3.77% in 2005 from 3.88% in 2004. The growth in average earning assets reflects higher average loans and leases outstanding, which rose 6% to $39.5 billion in 2005 from 2004’s average of $37.1 billion, and higher average investment securities balances, which also increased 6% to $8.5 billion in 2005 from $8.0 billion in 2004. The Company experienced growth in most major loan categories during 2005 as compared with 2004. Average commercial loans and leases rose 10% to $10.5 billion in 2005 from $9.5 billion in 2004, reflecting, in part, a $212 million rise in average automobile floor plan loans outstanding. Commercial real estate loans averaged $14.3 billion during 2005, 8% higher than $13.3 billion in 2004. Contributing to that increase were $467 million of higher average balances of construction loans to developers of residential real estate properties. Average residential real estate loan balances rose 26% to $3.9 billion in 2005 from $3.1 billion in 2004. A higher level of loans held for sale was the most significant contributor to that increase. Consumer loans and leases averaged $10.8 billion during 2005, down 4% from $11.2 billion in 2004. Average balances of automobile loans and leases decreased 16% to $3.7 billion in 2005 from $4.4 billion in 2004, largely due to unfavorable rates being offered by competitors. Partially offsetting the drop in automobile loan and lease balances was a 13% rise in average outstanding balances of home equity lines of credit to $4.0 billion in 2005 from $3.5 billion in 2004.</w:t>
      </w:r>
    </w:p>
    <w:p>
      <w:pPr>
        <w:spacing w:after="0" w:line="1"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Table 4 summarizes average loans and leases outstanding in 2006 and percentage changes in the major components of the portfolio over the past two years.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Table 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AVERAGE LOANS AND LEASES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(Net of unearned discount)</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40" w:type="dxa"/>
            <w:vAlign w:val="bottom"/>
            <w:gridSpan w:val="3"/>
          </w:tcPr>
          <w:p>
            <w:pPr>
              <w:ind w:left="760"/>
              <w:spacing w:after="0"/>
              <w:rPr>
                <w:sz w:val="20"/>
                <w:szCs w:val="20"/>
                <w:color w:val="auto"/>
              </w:rPr>
            </w:pPr>
            <w:r>
              <w:rPr>
                <w:rFonts w:ascii="Arial" w:cs="Arial" w:eastAsia="Arial" w:hAnsi="Arial"/>
                <w:sz w:val="10"/>
                <w:szCs w:val="10"/>
                <w:b w:val="1"/>
                <w:bCs w:val="1"/>
                <w:color w:val="auto"/>
                <w:w w:val="94"/>
              </w:rPr>
              <w:t>Percent Increase</w:t>
            </w: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vMerge w:val="restart"/>
          </w:tcPr>
          <w:p>
            <w:pPr>
              <w:jc w:val="right"/>
              <w:ind w:right="612"/>
              <w:spacing w:after="0"/>
              <w:rPr>
                <w:sz w:val="20"/>
                <w:szCs w:val="20"/>
                <w:color w:val="auto"/>
              </w:rPr>
            </w:pPr>
            <w:r>
              <w:rPr>
                <w:rFonts w:ascii="Arial" w:cs="Arial" w:eastAsia="Arial" w:hAnsi="Arial"/>
                <w:sz w:val="10"/>
                <w:szCs w:val="10"/>
                <w:b w:val="1"/>
                <w:bCs w:val="1"/>
                <w:color w:val="auto"/>
              </w:rPr>
              <w:t>2006</w:t>
            </w:r>
          </w:p>
        </w:tc>
        <w:tc>
          <w:tcPr>
            <w:tcW w:w="460" w:type="dxa"/>
            <w:vAlign w:val="bottom"/>
          </w:tcPr>
          <w:p>
            <w:pPr>
              <w:spacing w:after="0"/>
              <w:rPr>
                <w:sz w:val="10"/>
                <w:szCs w:val="10"/>
                <w:color w:val="auto"/>
              </w:rPr>
            </w:pPr>
          </w:p>
        </w:tc>
        <w:tc>
          <w:tcPr>
            <w:tcW w:w="1540" w:type="dxa"/>
            <w:vAlign w:val="bottom"/>
            <w:tcBorders>
              <w:bottom w:val="single" w:sz="8" w:color="auto"/>
            </w:tcBorders>
            <w:gridSpan w:val="3"/>
          </w:tcPr>
          <w:p>
            <w:pPr>
              <w:ind w:left="780"/>
              <w:spacing w:after="0"/>
              <w:rPr>
                <w:sz w:val="20"/>
                <w:szCs w:val="20"/>
                <w:color w:val="auto"/>
              </w:rPr>
            </w:pPr>
            <w:r>
              <w:rPr>
                <w:rFonts w:ascii="Arial" w:cs="Arial" w:eastAsia="Arial" w:hAnsi="Arial"/>
                <w:sz w:val="10"/>
                <w:szCs w:val="10"/>
                <w:b w:val="1"/>
                <w:bCs w:val="1"/>
                <w:color w:val="auto"/>
                <w:w w:val="97"/>
              </w:rPr>
              <w:t>(Decrease) from</w:t>
            </w:r>
          </w:p>
        </w:tc>
        <w:tc>
          <w:tcPr>
            <w:tcW w:w="7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1540" w:type="dxa"/>
            <w:vAlign w:val="bottom"/>
            <w:gridSpan w:val="3"/>
          </w:tcPr>
          <w:p>
            <w:pPr>
              <w:ind w:left="180"/>
              <w:spacing w:after="0" w:line="98" w:lineRule="exact"/>
              <w:rPr>
                <w:sz w:val="20"/>
                <w:szCs w:val="20"/>
                <w:color w:val="auto"/>
              </w:rPr>
            </w:pPr>
            <w:r>
              <w:rPr>
                <w:rFonts w:ascii="Arial" w:cs="Arial" w:eastAsia="Arial" w:hAnsi="Arial"/>
                <w:sz w:val="10"/>
                <w:szCs w:val="10"/>
                <w:b w:val="1"/>
                <w:bCs w:val="1"/>
                <w:color w:val="auto"/>
              </w:rPr>
              <w:t>2005 to 2006</w:t>
            </w:r>
          </w:p>
        </w:tc>
        <w:tc>
          <w:tcPr>
            <w:tcW w:w="740" w:type="dxa"/>
            <w:vAlign w:val="bottom"/>
          </w:tcPr>
          <w:p>
            <w:pPr>
              <w:ind w:left="20"/>
              <w:spacing w:after="0" w:line="98" w:lineRule="exact"/>
              <w:rPr>
                <w:sz w:val="20"/>
                <w:szCs w:val="20"/>
                <w:color w:val="auto"/>
              </w:rPr>
            </w:pPr>
            <w:r>
              <w:rPr>
                <w:rFonts w:ascii="Arial" w:cs="Arial" w:eastAsia="Arial" w:hAnsi="Arial"/>
                <w:sz w:val="10"/>
                <w:szCs w:val="10"/>
                <w:b w:val="1"/>
                <w:bCs w:val="1"/>
                <w:color w:val="auto"/>
              </w:rPr>
              <w:t>2004 to 2005</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70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jc w:val="right"/>
              <w:ind w:right="272"/>
              <w:spacing w:after="0"/>
              <w:rPr>
                <w:sz w:val="20"/>
                <w:szCs w:val="20"/>
                <w:color w:val="auto"/>
              </w:rPr>
            </w:pPr>
            <w:r>
              <w:rPr>
                <w:rFonts w:ascii="Arial" w:cs="Arial" w:eastAsia="Arial" w:hAnsi="Arial"/>
                <w:sz w:val="10"/>
                <w:szCs w:val="10"/>
                <w:b w:val="1"/>
                <w:bCs w:val="1"/>
                <w:color w:val="auto"/>
              </w:rPr>
              <w:t>(Dollars in millions)</w:t>
            </w:r>
          </w:p>
        </w:tc>
        <w:tc>
          <w:tcPr>
            <w:tcW w:w="4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7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Commercial, financial, etc</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11,319</w:t>
            </w:r>
          </w:p>
        </w:tc>
        <w:tc>
          <w:tcPr>
            <w:tcW w:w="460" w:type="dxa"/>
            <w:vAlign w:val="bottom"/>
            <w:tcBorders>
              <w:left w:val="single" w:sz="8" w:color="CCEEFF"/>
            </w:tcBorders>
            <w:shd w:val="clear" w:color="auto" w:fill="CCEEFF"/>
          </w:tcPr>
          <w:p>
            <w:pPr>
              <w:spacing w:after="0"/>
              <w:rPr>
                <w:sz w:val="15"/>
                <w:szCs w:val="15"/>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8%</w:t>
            </w: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7"/>
        </w:trPr>
        <w:tc>
          <w:tcPr>
            <w:tcW w:w="7020" w:type="dxa"/>
            <w:vAlign w:val="bottom"/>
          </w:tcPr>
          <w:p>
            <w:pPr>
              <w:spacing w:after="0"/>
              <w:rPr>
                <w:sz w:val="20"/>
                <w:szCs w:val="20"/>
                <w:color w:val="auto"/>
              </w:rPr>
            </w:pPr>
            <w:r>
              <w:rPr>
                <w:rFonts w:ascii="Arial" w:cs="Arial" w:eastAsia="Arial" w:hAnsi="Arial"/>
                <w:sz w:val="14"/>
                <w:szCs w:val="14"/>
                <w:color w:val="auto"/>
              </w:rPr>
              <w:t>Real estate — commercial</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15,096</w:t>
            </w:r>
          </w:p>
        </w:tc>
        <w:tc>
          <w:tcPr>
            <w:tcW w:w="460" w:type="dxa"/>
            <w:vAlign w:val="bottom"/>
          </w:tcPr>
          <w:p>
            <w:pPr>
              <w:spacing w:after="0"/>
              <w:rPr>
                <w:sz w:val="14"/>
                <w:szCs w:val="14"/>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7"/>
        </w:trPr>
        <w:tc>
          <w:tcPr>
            <w:tcW w:w="7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Real estate — consumer</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5,015</w:t>
            </w:r>
          </w:p>
        </w:tc>
        <w:tc>
          <w:tcPr>
            <w:tcW w:w="460" w:type="dxa"/>
            <w:vAlign w:val="bottom"/>
            <w:tcBorders>
              <w:left w:val="single" w:sz="8" w:color="CCEEFF"/>
            </w:tcBorders>
            <w:shd w:val="clear" w:color="auto" w:fill="CCEEFF"/>
          </w:tcPr>
          <w:p>
            <w:pPr>
              <w:spacing w:after="0"/>
              <w:rPr>
                <w:sz w:val="14"/>
                <w:szCs w:val="14"/>
                <w:color w:val="auto"/>
              </w:rPr>
            </w:pPr>
          </w:p>
        </w:tc>
        <w:tc>
          <w:tcPr>
            <w:tcW w:w="1380" w:type="dxa"/>
            <w:vAlign w:val="bottom"/>
            <w:gridSpan w:val="2"/>
            <w:shd w:val="clear" w:color="auto" w:fill="CCEEFF"/>
          </w:tcPr>
          <w:p>
            <w:pPr>
              <w:jc w:val="right"/>
              <w:ind w:right="480"/>
              <w:spacing w:after="0"/>
              <w:rPr>
                <w:sz w:val="20"/>
                <w:szCs w:val="20"/>
                <w:color w:val="auto"/>
              </w:rPr>
            </w:pPr>
            <w:r>
              <w:rPr>
                <w:rFonts w:ascii="Arial" w:cs="Arial" w:eastAsia="Arial" w:hAnsi="Arial"/>
                <w:sz w:val="14"/>
                <w:szCs w:val="14"/>
                <w:color w:val="auto"/>
              </w:rPr>
              <w:t>28</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7"/>
        </w:trPr>
        <w:tc>
          <w:tcPr>
            <w:tcW w:w="7020" w:type="dxa"/>
            <w:vAlign w:val="bottom"/>
          </w:tcPr>
          <w:p>
            <w:pPr>
              <w:spacing w:after="0"/>
              <w:rPr>
                <w:sz w:val="20"/>
                <w:szCs w:val="20"/>
                <w:color w:val="auto"/>
              </w:rPr>
            </w:pPr>
            <w:r>
              <w:rPr>
                <w:rFonts w:ascii="Arial" w:cs="Arial" w:eastAsia="Arial" w:hAnsi="Arial"/>
                <w:sz w:val="14"/>
                <w:szCs w:val="14"/>
                <w:color w:val="auto"/>
              </w:rPr>
              <w:t>Consumer</w:t>
            </w: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0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Automobile</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2,885</w:t>
            </w:r>
          </w:p>
        </w:tc>
        <w:tc>
          <w:tcPr>
            <w:tcW w:w="460" w:type="dxa"/>
            <w:vAlign w:val="bottom"/>
            <w:tcBorders>
              <w:left w:val="single" w:sz="8" w:color="CCEEFF"/>
            </w:tcBorders>
            <w:shd w:val="clear" w:color="auto" w:fill="CCEEFF"/>
          </w:tcPr>
          <w:p>
            <w:pPr>
              <w:spacing w:after="0"/>
              <w:rPr>
                <w:sz w:val="14"/>
                <w:szCs w:val="14"/>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(22)</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67"/>
        </w:trPr>
        <w:tc>
          <w:tcPr>
            <w:tcW w:w="7020" w:type="dxa"/>
            <w:vAlign w:val="bottom"/>
          </w:tcPr>
          <w:p>
            <w:pPr>
              <w:ind w:left="120"/>
              <w:spacing w:after="0"/>
              <w:rPr>
                <w:sz w:val="20"/>
                <w:szCs w:val="20"/>
                <w:color w:val="auto"/>
              </w:rPr>
            </w:pPr>
            <w:r>
              <w:rPr>
                <w:rFonts w:ascii="Arial" w:cs="Arial" w:eastAsia="Arial" w:hAnsi="Arial"/>
                <w:sz w:val="14"/>
                <w:szCs w:val="14"/>
                <w:color w:val="auto"/>
              </w:rPr>
              <w:t>Home equity lines</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4,202</w:t>
            </w:r>
          </w:p>
        </w:tc>
        <w:tc>
          <w:tcPr>
            <w:tcW w:w="460" w:type="dxa"/>
            <w:vAlign w:val="bottom"/>
          </w:tcPr>
          <w:p>
            <w:pPr>
              <w:spacing w:after="0"/>
              <w:rPr>
                <w:sz w:val="14"/>
                <w:szCs w:val="14"/>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7"/>
        </w:trPr>
        <w:tc>
          <w:tcPr>
            <w:tcW w:w="702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Home equity loans</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w:t>
            </w:r>
          </w:p>
        </w:tc>
        <w:tc>
          <w:tcPr>
            <w:tcW w:w="460" w:type="dxa"/>
            <w:vAlign w:val="bottom"/>
            <w:tcBorders>
              <w:left w:val="single" w:sz="8" w:color="CCEEFF"/>
            </w:tcBorders>
            <w:shd w:val="clear" w:color="auto" w:fill="CCEEFF"/>
          </w:tcPr>
          <w:p>
            <w:pPr>
              <w:spacing w:after="0"/>
              <w:rPr>
                <w:sz w:val="14"/>
                <w:szCs w:val="14"/>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7"/>
        </w:trPr>
        <w:tc>
          <w:tcPr>
            <w:tcW w:w="7020" w:type="dxa"/>
            <w:vAlign w:val="bottom"/>
          </w:tcPr>
          <w:p>
            <w:pPr>
              <w:ind w:left="120"/>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1,708</w:t>
            </w:r>
          </w:p>
        </w:tc>
        <w:tc>
          <w:tcPr>
            <w:tcW w:w="460" w:type="dxa"/>
            <w:vAlign w:val="bottom"/>
          </w:tcPr>
          <w:p>
            <w:pPr>
              <w:spacing w:after="0"/>
              <w:rPr>
                <w:sz w:val="14"/>
                <w:szCs w:val="14"/>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02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consumer</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10,003</w:t>
            </w:r>
          </w:p>
        </w:tc>
        <w:tc>
          <w:tcPr>
            <w:tcW w:w="460" w:type="dxa"/>
            <w:vAlign w:val="bottom"/>
            <w:tcBorders>
              <w:left w:val="single" w:sz="8" w:color="CCEEFF"/>
            </w:tcBorders>
            <w:shd w:val="clear" w:color="auto" w:fill="CCEEFF"/>
          </w:tcPr>
          <w:p>
            <w:pPr>
              <w:spacing w:after="0"/>
              <w:rPr>
                <w:sz w:val="14"/>
                <w:szCs w:val="14"/>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7020" w:type="dxa"/>
            <w:vAlign w:val="bottom"/>
            <w:vMerge w:val="restart"/>
          </w:tcPr>
          <w:p>
            <w:pPr>
              <w:ind w:left="120"/>
              <w:spacing w:after="0"/>
              <w:rPr>
                <w:sz w:val="20"/>
                <w:szCs w:val="20"/>
                <w:color w:val="auto"/>
              </w:rPr>
            </w:pPr>
            <w:r>
              <w:rPr>
                <w:rFonts w:ascii="Arial" w:cs="Arial" w:eastAsia="Arial" w:hAnsi="Arial"/>
                <w:sz w:val="14"/>
                <w:szCs w:val="14"/>
                <w:color w:val="auto"/>
              </w:rPr>
              <w:t>Total</w:t>
            </w: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020" w:type="dxa"/>
            <w:vAlign w:val="bottom"/>
            <w:vMerge w:val="continue"/>
          </w:tcPr>
          <w:p>
            <w:pPr>
              <w:spacing w:after="0"/>
              <w:rPr>
                <w:sz w:val="14"/>
                <w:szCs w:val="14"/>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41,433</w:t>
            </w:r>
          </w:p>
        </w:tc>
        <w:tc>
          <w:tcPr>
            <w:tcW w:w="460" w:type="dxa"/>
            <w:vAlign w:val="bottom"/>
            <w:vMerge w:val="continue"/>
          </w:tcPr>
          <w:p>
            <w:pPr>
              <w:spacing w:after="0"/>
              <w:rPr>
                <w:sz w:val="14"/>
                <w:szCs w:val="14"/>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9"/>
        </w:trPr>
        <w:tc>
          <w:tcPr>
            <w:tcW w:w="702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20" w:firstLine="688"/>
        <w:spacing w:after="0" w:line="255" w:lineRule="auto"/>
        <w:rPr>
          <w:sz w:val="20"/>
          <w:szCs w:val="20"/>
          <w:color w:val="auto"/>
        </w:rPr>
      </w:pPr>
      <w:r>
        <w:rPr>
          <w:rFonts w:ascii="Arial" w:cs="Arial" w:eastAsia="Arial" w:hAnsi="Arial"/>
          <w:sz w:val="14"/>
          <w:szCs w:val="14"/>
          <w:color w:val="auto"/>
        </w:rPr>
        <w:t>Commercial loans and leases, excluding loans secured by real estate, were $11.7 billion at December 31, 2006, representing 27% of total loans and leases. Table 5 presents information on such commercial loans and leases as of December 31, 2006 relating to geographic area, size, and whether the loans are secured by collateral or unsecured. Of the $11.7 billion of commercial loans and leases outstanding at the end of 2006, approximately $9.7 billion, or 83%, were secured, while 49%, 26% and 13% were granted to businesses in New York State, Pennsylvania and Maryland, respectively. The Company provides financing for leases to commercial customers, primarily for equipment. Commercial leases included in total commercial loans and leases at December 31, 2006 aggregated $1.2 billion, of which 41% were secured by collateral located in New York State, 13% were secured by collateral in Maryland and another 13% were secured by collateral in Pennsylvania.</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ind w:left="680" w:right="40" w:firstLine="599"/>
        <w:spacing w:after="0" w:line="285" w:lineRule="auto"/>
        <w:rPr>
          <w:sz w:val="20"/>
          <w:szCs w:val="20"/>
          <w:color w:val="auto"/>
        </w:rPr>
      </w:pPr>
      <w:r>
        <w:rPr>
          <w:rFonts w:ascii="Arial" w:cs="Arial" w:eastAsia="Arial" w:hAnsi="Arial"/>
          <w:sz w:val="13"/>
          <w:szCs w:val="13"/>
          <w:color w:val="auto"/>
        </w:rPr>
        <w:t>International loans included in commercial loans and leases totaled $176 million and $217 million at December 31, 2006 and 2005, respectively. The Company participates in the insurance and guarantee programs of the Export-Import Bank of the United States. These programs provide U.S. government repayment coverage of 90% to 100% on loans supporting foreign borrowers’ purchases of U.S. goods and services. The loans generally range from $500 thousand to $10 million. The outstanding balances of loans under these programs at December 31, 2006 and 2005 were $143 million and $200 million, respectively.</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5</w:t>
      </w:r>
    </w:p>
    <w:p>
      <w:pPr>
        <w:spacing w:after="0" w:line="252" w:lineRule="exact"/>
        <w:rPr>
          <w:sz w:val="20"/>
          <w:szCs w:val="20"/>
          <w:color w:val="auto"/>
        </w:rPr>
      </w:pPr>
    </w:p>
    <w:p>
      <w:pPr>
        <w:jc w:val="center"/>
        <w:ind w:right="-699"/>
        <w:spacing w:after="0"/>
        <w:rPr>
          <w:sz w:val="20"/>
          <w:szCs w:val="20"/>
          <w:color w:val="auto"/>
        </w:rPr>
      </w:pPr>
      <w:r>
        <w:rPr>
          <w:rFonts w:ascii="Arial" w:cs="Arial" w:eastAsia="Arial" w:hAnsi="Arial"/>
          <w:sz w:val="14"/>
          <w:szCs w:val="14"/>
          <w:b w:val="1"/>
          <w:bCs w:val="1"/>
          <w:color w:val="auto"/>
        </w:rPr>
        <w:t>COMMERCIAL LOANS AND LEASES, NET OF UNEARNED DISCOUNT</w:t>
      </w:r>
    </w:p>
    <w:p>
      <w:pPr>
        <w:spacing w:after="0" w:line="22" w:lineRule="exact"/>
        <w:rPr>
          <w:sz w:val="20"/>
          <w:szCs w:val="20"/>
          <w:color w:val="auto"/>
        </w:rPr>
      </w:pPr>
    </w:p>
    <w:p>
      <w:pPr>
        <w:jc w:val="center"/>
        <w:ind w:right="-699"/>
        <w:spacing w:after="0"/>
        <w:rPr>
          <w:sz w:val="20"/>
          <w:szCs w:val="20"/>
          <w:color w:val="auto"/>
        </w:rPr>
      </w:pPr>
      <w:r>
        <w:rPr>
          <w:rFonts w:ascii="Arial" w:cs="Arial" w:eastAsia="Arial" w:hAnsi="Arial"/>
          <w:sz w:val="14"/>
          <w:szCs w:val="14"/>
          <w:b w:val="1"/>
          <w:bCs w:val="1"/>
          <w:i w:val="1"/>
          <w:iCs w:val="1"/>
          <w:color w:val="auto"/>
        </w:rPr>
        <w:t>(Excluding Loans Secured by Real Estate)</w:t>
      </w:r>
    </w:p>
    <w:p>
      <w:pPr>
        <w:spacing w:after="0" w:line="15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December 31, 2006</w:t>
      </w:r>
    </w:p>
    <w:p>
      <w:pPr>
        <w:spacing w:after="0" w:line="10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93"/>
              </w:rPr>
              <w:t>Outstandings</w:t>
            </w:r>
          </w:p>
        </w:tc>
        <w:tc>
          <w:tcPr>
            <w:tcW w:w="3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0"/>
                <w:szCs w:val="10"/>
                <w:b w:val="1"/>
                <w:bCs w:val="1"/>
                <w:color w:val="auto"/>
                <w:w w:val="95"/>
              </w:rPr>
              <w:t>Percent of Dollars Outstanding by Loan Size</w:t>
            </w:r>
          </w:p>
        </w:tc>
        <w:tc>
          <w:tcPr>
            <w:tcW w:w="3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380" w:type="dxa"/>
            <w:vAlign w:val="bottom"/>
          </w:tcPr>
          <w:p>
            <w:pPr>
              <w:jc w:val="right"/>
              <w:ind w:right="35"/>
              <w:spacing w:after="0" w:line="98" w:lineRule="exact"/>
              <w:rPr>
                <w:sz w:val="20"/>
                <w:szCs w:val="20"/>
                <w:color w:val="auto"/>
              </w:rPr>
            </w:pPr>
            <w:r>
              <w:rPr>
                <w:rFonts w:ascii="Arial" w:cs="Arial" w:eastAsia="Arial" w:hAnsi="Arial"/>
                <w:sz w:val="10"/>
                <w:szCs w:val="10"/>
                <w:b w:val="1"/>
                <w:bCs w:val="1"/>
                <w:color w:val="auto"/>
              </w:rPr>
              <w:t>$0-1</w:t>
            </w:r>
          </w:p>
        </w:tc>
        <w:tc>
          <w:tcPr>
            <w:tcW w:w="520" w:type="dxa"/>
            <w:vAlign w:val="bottom"/>
          </w:tcPr>
          <w:p>
            <w:pPr>
              <w:spacing w:after="0"/>
              <w:rPr>
                <w:sz w:val="8"/>
                <w:szCs w:val="8"/>
                <w:color w:val="auto"/>
              </w:rPr>
            </w:pPr>
          </w:p>
        </w:tc>
        <w:tc>
          <w:tcPr>
            <w:tcW w:w="580" w:type="dxa"/>
            <w:vAlign w:val="bottom"/>
          </w:tcPr>
          <w:p>
            <w:pPr>
              <w:jc w:val="right"/>
              <w:ind w:right="116"/>
              <w:spacing w:after="0" w:line="98" w:lineRule="exact"/>
              <w:rPr>
                <w:sz w:val="20"/>
                <w:szCs w:val="20"/>
                <w:color w:val="auto"/>
              </w:rPr>
            </w:pPr>
            <w:r>
              <w:rPr>
                <w:rFonts w:ascii="Arial" w:cs="Arial" w:eastAsia="Arial" w:hAnsi="Arial"/>
                <w:sz w:val="10"/>
                <w:szCs w:val="10"/>
                <w:b w:val="1"/>
                <w:bCs w:val="1"/>
                <w:color w:val="auto"/>
              </w:rPr>
              <w:t>$1-5</w:t>
            </w:r>
          </w:p>
        </w:tc>
        <w:tc>
          <w:tcPr>
            <w:tcW w:w="420" w:type="dxa"/>
            <w:vAlign w:val="bottom"/>
            <w:vMerge w:val="restart"/>
          </w:tcPr>
          <w:p>
            <w:pPr>
              <w:jc w:val="right"/>
              <w:ind w:right="48"/>
              <w:spacing w:after="0"/>
              <w:rPr>
                <w:sz w:val="20"/>
                <w:szCs w:val="20"/>
                <w:color w:val="auto"/>
              </w:rPr>
            </w:pPr>
            <w:r>
              <w:rPr>
                <w:rFonts w:ascii="Arial" w:cs="Arial" w:eastAsia="Arial" w:hAnsi="Arial"/>
                <w:sz w:val="10"/>
                <w:szCs w:val="10"/>
                <w:b w:val="1"/>
                <w:bCs w:val="1"/>
                <w:color w:val="auto"/>
                <w:w w:val="72"/>
              </w:rPr>
              <w:t>millions)</w:t>
            </w:r>
          </w:p>
        </w:tc>
        <w:tc>
          <w:tcPr>
            <w:tcW w:w="400" w:type="dxa"/>
            <w:vAlign w:val="bottom"/>
          </w:tcPr>
          <w:p>
            <w:pPr>
              <w:jc w:val="right"/>
              <w:ind w:right="15"/>
              <w:spacing w:after="0" w:line="98" w:lineRule="exact"/>
              <w:rPr>
                <w:sz w:val="20"/>
                <w:szCs w:val="20"/>
                <w:color w:val="auto"/>
              </w:rPr>
            </w:pPr>
            <w:r>
              <w:rPr>
                <w:rFonts w:ascii="Arial" w:cs="Arial" w:eastAsia="Arial" w:hAnsi="Arial"/>
                <w:sz w:val="10"/>
                <w:szCs w:val="10"/>
                <w:b w:val="1"/>
                <w:bCs w:val="1"/>
                <w:color w:val="auto"/>
              </w:rPr>
              <w:t>$5-10</w:t>
            </w:r>
          </w:p>
        </w:tc>
        <w:tc>
          <w:tcPr>
            <w:tcW w:w="400" w:type="dxa"/>
            <w:vAlign w:val="bottom"/>
          </w:tcPr>
          <w:p>
            <w:pPr>
              <w:spacing w:after="0"/>
              <w:rPr>
                <w:sz w:val="8"/>
                <w:szCs w:val="8"/>
                <w:color w:val="auto"/>
              </w:rPr>
            </w:pPr>
          </w:p>
        </w:tc>
        <w:tc>
          <w:tcPr>
            <w:tcW w:w="400" w:type="dxa"/>
            <w:vAlign w:val="bottom"/>
          </w:tcPr>
          <w:p>
            <w:pPr>
              <w:jc w:val="right"/>
              <w:spacing w:after="0" w:line="98" w:lineRule="exact"/>
              <w:rPr>
                <w:sz w:val="20"/>
                <w:szCs w:val="20"/>
                <w:color w:val="auto"/>
              </w:rPr>
            </w:pPr>
            <w:r>
              <w:rPr>
                <w:rFonts w:ascii="Arial" w:cs="Arial" w:eastAsia="Arial" w:hAnsi="Arial"/>
                <w:sz w:val="10"/>
                <w:szCs w:val="10"/>
                <w:b w:val="1"/>
                <w:bCs w:val="1"/>
                <w:color w:val="auto"/>
              </w:rPr>
              <w:t>$10-15</w:t>
            </w:r>
          </w:p>
        </w:tc>
        <w:tc>
          <w:tcPr>
            <w:tcW w:w="420" w:type="dxa"/>
            <w:vAlign w:val="bottom"/>
          </w:tcPr>
          <w:p>
            <w:pPr>
              <w:spacing w:after="0"/>
              <w:rPr>
                <w:sz w:val="8"/>
                <w:szCs w:val="8"/>
                <w:color w:val="auto"/>
              </w:rPr>
            </w:pPr>
          </w:p>
        </w:tc>
        <w:tc>
          <w:tcPr>
            <w:tcW w:w="380" w:type="dxa"/>
            <w:vAlign w:val="bottom"/>
          </w:tcPr>
          <w:p>
            <w:pPr>
              <w:jc w:val="right"/>
              <w:ind w:right="15"/>
              <w:spacing w:after="0" w:line="98" w:lineRule="exact"/>
              <w:rPr>
                <w:sz w:val="20"/>
                <w:szCs w:val="20"/>
                <w:color w:val="auto"/>
              </w:rPr>
            </w:pPr>
            <w:r>
              <w:rPr>
                <w:rFonts w:ascii="Arial" w:cs="Arial" w:eastAsia="Arial" w:hAnsi="Arial"/>
                <w:sz w:val="10"/>
                <w:szCs w:val="10"/>
                <w:b w:val="1"/>
                <w:bCs w:val="1"/>
                <w:color w:val="auto"/>
              </w:rPr>
              <w:t>$15+</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47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Borders>
              <w:top w:val="single" w:sz="8" w:color="auto"/>
            </w:tcBorders>
          </w:tcPr>
          <w:p>
            <w:pPr>
              <w:jc w:val="right"/>
              <w:ind w:right="36"/>
              <w:spacing w:after="0"/>
              <w:rPr>
                <w:sz w:val="20"/>
                <w:szCs w:val="20"/>
                <w:color w:val="auto"/>
              </w:rPr>
            </w:pPr>
            <w:r>
              <w:rPr>
                <w:rFonts w:ascii="Arial" w:cs="Arial" w:eastAsia="Arial" w:hAnsi="Arial"/>
                <w:sz w:val="10"/>
                <w:szCs w:val="10"/>
                <w:b w:val="1"/>
                <w:bCs w:val="1"/>
                <w:color w:val="auto"/>
                <w:w w:val="93"/>
              </w:rPr>
              <w:t>(Dollars in</w:t>
            </w:r>
          </w:p>
        </w:tc>
        <w:tc>
          <w:tcPr>
            <w:tcW w:w="420" w:type="dxa"/>
            <w:vAlign w:val="bottom"/>
            <w:vMerge w:val="continue"/>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760" w:type="dxa"/>
            <w:vAlign w:val="bottom"/>
            <w:shd w:val="clear" w:color="auto" w:fill="CCEEFF"/>
          </w:tcPr>
          <w:p>
            <w:pPr>
              <w:spacing w:after="0"/>
              <w:rPr>
                <w:sz w:val="20"/>
                <w:szCs w:val="20"/>
                <w:color w:val="auto"/>
              </w:rPr>
            </w:pPr>
            <w:r>
              <w:rPr>
                <w:rFonts w:ascii="Arial" w:cs="Arial" w:eastAsia="Arial" w:hAnsi="Arial"/>
                <w:sz w:val="13"/>
                <w:szCs w:val="13"/>
                <w:color w:val="auto"/>
              </w:rPr>
              <w:t>New York State</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760" w:type="dxa"/>
            <w:vAlign w:val="bottom"/>
          </w:tcPr>
          <w:p>
            <w:pPr>
              <w:ind w:left="140"/>
              <w:spacing w:after="0"/>
              <w:rPr>
                <w:sz w:val="20"/>
                <w:szCs w:val="20"/>
                <w:color w:val="auto"/>
              </w:rPr>
            </w:pPr>
            <w:r>
              <w:rPr>
                <w:rFonts w:ascii="Arial" w:cs="Arial" w:eastAsia="Arial" w:hAnsi="Arial"/>
                <w:sz w:val="13"/>
                <w:szCs w:val="13"/>
                <w:color w:val="auto"/>
              </w:rPr>
              <w:t>Secured</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4,250</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23%</w:t>
            </w:r>
          </w:p>
        </w:tc>
        <w:tc>
          <w:tcPr>
            <w:tcW w:w="1000" w:type="dxa"/>
            <w:vAlign w:val="bottom"/>
            <w:gridSpan w:val="2"/>
          </w:tcPr>
          <w:p>
            <w:pPr>
              <w:jc w:val="right"/>
              <w:ind w:right="248"/>
              <w:spacing w:after="0"/>
              <w:rPr>
                <w:sz w:val="20"/>
                <w:szCs w:val="20"/>
                <w:color w:val="auto"/>
              </w:rPr>
            </w:pPr>
            <w:r>
              <w:rPr>
                <w:rFonts w:ascii="Arial" w:cs="Arial" w:eastAsia="Arial" w:hAnsi="Arial"/>
                <w:sz w:val="13"/>
                <w:szCs w:val="13"/>
                <w:color w:val="auto"/>
              </w:rPr>
              <w:t>25%</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12%</w:t>
            </w: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6%</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4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Unsecured</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956</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5</w:t>
            </w:r>
          </w:p>
        </w:tc>
        <w:tc>
          <w:tcPr>
            <w:tcW w:w="100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6</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4760" w:type="dxa"/>
            <w:vAlign w:val="bottom"/>
          </w:tcPr>
          <w:p>
            <w:pPr>
              <w:ind w:left="140"/>
              <w:spacing w:after="0"/>
              <w:rPr>
                <w:sz w:val="20"/>
                <w:szCs w:val="20"/>
                <w:color w:val="auto"/>
              </w:rPr>
            </w:pPr>
            <w:r>
              <w:rPr>
                <w:rFonts w:ascii="Arial" w:cs="Arial" w:eastAsia="Arial" w:hAnsi="Arial"/>
                <w:sz w:val="13"/>
                <w:szCs w:val="13"/>
                <w:color w:val="auto"/>
              </w:rPr>
              <w:t>Leases</w:t>
            </w:r>
          </w:p>
        </w:tc>
        <w:tc>
          <w:tcPr>
            <w:tcW w:w="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494</w:t>
            </w:r>
          </w:p>
        </w:tc>
        <w:tc>
          <w:tcPr>
            <w:tcW w:w="900" w:type="dxa"/>
            <w:vAlign w:val="bottom"/>
            <w:gridSpan w:val="2"/>
          </w:tcPr>
          <w:p>
            <w:pPr>
              <w:jc w:val="right"/>
              <w:ind w:right="520"/>
              <w:spacing w:after="0"/>
              <w:rPr>
                <w:sz w:val="20"/>
                <w:szCs w:val="20"/>
                <w:color w:val="auto"/>
              </w:rPr>
            </w:pPr>
            <w:r>
              <w:rPr>
                <w:rFonts w:ascii="Arial" w:cs="Arial" w:eastAsia="Arial" w:hAnsi="Arial"/>
                <w:sz w:val="13"/>
                <w:szCs w:val="13"/>
                <w:color w:val="auto"/>
              </w:rPr>
              <w:t>4</w:t>
            </w:r>
          </w:p>
        </w:tc>
        <w:tc>
          <w:tcPr>
            <w:tcW w:w="1000" w:type="dxa"/>
            <w:vAlign w:val="bottom"/>
            <w:gridSpan w:val="2"/>
          </w:tcPr>
          <w:p>
            <w:pPr>
              <w:jc w:val="right"/>
              <w:ind w:right="368"/>
              <w:spacing w:after="0"/>
              <w:rPr>
                <w:sz w:val="20"/>
                <w:szCs w:val="20"/>
                <w:color w:val="auto"/>
              </w:rPr>
            </w:pPr>
            <w:r>
              <w:rPr>
                <w:rFonts w:ascii="Arial" w:cs="Arial" w:eastAsia="Arial" w:hAnsi="Arial"/>
                <w:sz w:val="13"/>
                <w:szCs w:val="13"/>
                <w:color w:val="auto"/>
              </w:rPr>
              <w:t>3</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1</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7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New York State</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5,700</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w:t>
            </w:r>
          </w:p>
        </w:tc>
        <w:tc>
          <w:tcPr>
            <w:tcW w:w="10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34%</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6"/>
        </w:trPr>
        <w:tc>
          <w:tcPr>
            <w:tcW w:w="4760" w:type="dxa"/>
            <w:vAlign w:val="bottom"/>
          </w:tcPr>
          <w:p>
            <w:pPr>
              <w:spacing w:after="0"/>
              <w:rPr>
                <w:sz w:val="20"/>
                <w:szCs w:val="20"/>
                <w:color w:val="auto"/>
              </w:rPr>
            </w:pPr>
            <w:r>
              <w:rPr>
                <w:rFonts w:ascii="Arial" w:cs="Arial" w:eastAsia="Arial" w:hAnsi="Arial"/>
                <w:sz w:val="13"/>
                <w:szCs w:val="13"/>
                <w:color w:val="auto"/>
              </w:rPr>
              <w:t>Pennsylvania</w:t>
            </w: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Secured</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2,443</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w:t>
            </w:r>
          </w:p>
        </w:tc>
        <w:tc>
          <w:tcPr>
            <w:tcW w:w="10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26%</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15%</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4760" w:type="dxa"/>
            <w:vAlign w:val="bottom"/>
          </w:tcPr>
          <w:p>
            <w:pPr>
              <w:ind w:left="140"/>
              <w:spacing w:after="0"/>
              <w:rPr>
                <w:sz w:val="20"/>
                <w:szCs w:val="20"/>
                <w:color w:val="auto"/>
              </w:rPr>
            </w:pPr>
            <w:r>
              <w:rPr>
                <w:rFonts w:ascii="Arial" w:cs="Arial" w:eastAsia="Arial" w:hAnsi="Arial"/>
                <w:sz w:val="13"/>
                <w:szCs w:val="13"/>
                <w:color w:val="auto"/>
              </w:rPr>
              <w:t>Unsecured</w:t>
            </w:r>
          </w:p>
        </w:tc>
        <w:tc>
          <w:tcPr>
            <w:tcW w:w="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486</w:t>
            </w:r>
          </w:p>
        </w:tc>
        <w:tc>
          <w:tcPr>
            <w:tcW w:w="900" w:type="dxa"/>
            <w:vAlign w:val="bottom"/>
            <w:gridSpan w:val="2"/>
          </w:tcPr>
          <w:p>
            <w:pPr>
              <w:jc w:val="right"/>
              <w:ind w:right="520"/>
              <w:spacing w:after="0"/>
              <w:rPr>
                <w:sz w:val="20"/>
                <w:szCs w:val="20"/>
                <w:color w:val="auto"/>
              </w:rPr>
            </w:pPr>
            <w:r>
              <w:rPr>
                <w:rFonts w:ascii="Arial" w:cs="Arial" w:eastAsia="Arial" w:hAnsi="Arial"/>
                <w:sz w:val="13"/>
                <w:szCs w:val="13"/>
                <w:color w:val="auto"/>
              </w:rPr>
              <w:t>5</w:t>
            </w:r>
          </w:p>
        </w:tc>
        <w:tc>
          <w:tcPr>
            <w:tcW w:w="1000" w:type="dxa"/>
            <w:vAlign w:val="bottom"/>
            <w:gridSpan w:val="2"/>
          </w:tcPr>
          <w:p>
            <w:pPr>
              <w:jc w:val="right"/>
              <w:ind w:right="368"/>
              <w:spacing w:after="0"/>
              <w:rPr>
                <w:sz w:val="20"/>
                <w:szCs w:val="20"/>
                <w:color w:val="auto"/>
              </w:rPr>
            </w:pPr>
            <w:r>
              <w:rPr>
                <w:rFonts w:ascii="Arial" w:cs="Arial" w:eastAsia="Arial" w:hAnsi="Arial"/>
                <w:sz w:val="13"/>
                <w:szCs w:val="13"/>
                <w:color w:val="auto"/>
              </w:rPr>
              <w:t>6</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w:t>
            </w: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1</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4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Leases</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161</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3</w:t>
            </w:r>
          </w:p>
        </w:tc>
        <w:tc>
          <w:tcPr>
            <w:tcW w:w="100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1</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280"/>
              <w:spacing w:after="0"/>
              <w:rPr>
                <w:sz w:val="20"/>
                <w:szCs w:val="20"/>
                <w:color w:val="auto"/>
              </w:rPr>
            </w:pPr>
            <w:r>
              <w:rPr>
                <w:rFonts w:ascii="Arial" w:cs="Arial" w:eastAsia="Arial" w:hAnsi="Arial"/>
                <w:sz w:val="13"/>
                <w:szCs w:val="13"/>
                <w:color w:val="auto"/>
              </w:rPr>
              <w:t>Total Pennsylvania</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3,090</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33%</w:t>
            </w:r>
          </w:p>
        </w:tc>
        <w:tc>
          <w:tcPr>
            <w:tcW w:w="1000" w:type="dxa"/>
            <w:vAlign w:val="bottom"/>
            <w:gridSpan w:val="2"/>
          </w:tcPr>
          <w:p>
            <w:pPr>
              <w:jc w:val="right"/>
              <w:ind w:right="248"/>
              <w:spacing w:after="0"/>
              <w:rPr>
                <w:sz w:val="20"/>
                <w:szCs w:val="20"/>
                <w:color w:val="auto"/>
              </w:rPr>
            </w:pPr>
            <w:r>
              <w:rPr>
                <w:rFonts w:ascii="Arial" w:cs="Arial" w:eastAsia="Arial" w:hAnsi="Arial"/>
                <w:sz w:val="13"/>
                <w:szCs w:val="13"/>
                <w:color w:val="auto"/>
              </w:rPr>
              <w:t>33%</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17%</w:t>
            </w: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6%</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4760" w:type="dxa"/>
            <w:vAlign w:val="bottom"/>
            <w:shd w:val="clear" w:color="auto" w:fill="CCEEFF"/>
          </w:tcPr>
          <w:p>
            <w:pPr>
              <w:spacing w:after="0"/>
              <w:rPr>
                <w:sz w:val="20"/>
                <w:szCs w:val="20"/>
                <w:color w:val="auto"/>
              </w:rPr>
            </w:pPr>
            <w:r>
              <w:rPr>
                <w:rFonts w:ascii="Arial" w:cs="Arial" w:eastAsia="Arial" w:hAnsi="Arial"/>
                <w:sz w:val="13"/>
                <w:szCs w:val="13"/>
                <w:color w:val="auto"/>
              </w:rPr>
              <w:t>Maryland</w:t>
            </w: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60" w:type="dxa"/>
            <w:vAlign w:val="bottom"/>
          </w:tcPr>
          <w:p>
            <w:pPr>
              <w:ind w:left="140"/>
              <w:spacing w:after="0"/>
              <w:rPr>
                <w:sz w:val="20"/>
                <w:szCs w:val="20"/>
                <w:color w:val="auto"/>
              </w:rPr>
            </w:pPr>
            <w:r>
              <w:rPr>
                <w:rFonts w:ascii="Arial" w:cs="Arial" w:eastAsia="Arial" w:hAnsi="Arial"/>
                <w:sz w:val="13"/>
                <w:szCs w:val="13"/>
                <w:color w:val="auto"/>
              </w:rPr>
              <w:t>Secured</w:t>
            </w:r>
          </w:p>
        </w:tc>
        <w:tc>
          <w:tcPr>
            <w:tcW w:w="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999</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30%</w:t>
            </w:r>
          </w:p>
        </w:tc>
        <w:tc>
          <w:tcPr>
            <w:tcW w:w="1000" w:type="dxa"/>
            <w:vAlign w:val="bottom"/>
            <w:gridSpan w:val="2"/>
          </w:tcPr>
          <w:p>
            <w:pPr>
              <w:jc w:val="right"/>
              <w:ind w:right="248"/>
              <w:spacing w:after="0"/>
              <w:rPr>
                <w:sz w:val="20"/>
                <w:szCs w:val="20"/>
                <w:color w:val="auto"/>
              </w:rPr>
            </w:pPr>
            <w:r>
              <w:rPr>
                <w:rFonts w:ascii="Arial" w:cs="Arial" w:eastAsia="Arial" w:hAnsi="Arial"/>
                <w:sz w:val="13"/>
                <w:szCs w:val="13"/>
                <w:color w:val="auto"/>
              </w:rPr>
              <w:t>21%</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7%</w:t>
            </w: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3%</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4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Unsecured</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325</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4</w:t>
            </w:r>
          </w:p>
        </w:tc>
        <w:tc>
          <w:tcPr>
            <w:tcW w:w="100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5</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4760" w:type="dxa"/>
            <w:vAlign w:val="bottom"/>
          </w:tcPr>
          <w:p>
            <w:pPr>
              <w:ind w:left="140"/>
              <w:spacing w:after="0"/>
              <w:rPr>
                <w:sz w:val="20"/>
                <w:szCs w:val="20"/>
                <w:color w:val="auto"/>
              </w:rPr>
            </w:pPr>
            <w:r>
              <w:rPr>
                <w:rFonts w:ascii="Arial" w:cs="Arial" w:eastAsia="Arial" w:hAnsi="Arial"/>
                <w:sz w:val="13"/>
                <w:szCs w:val="13"/>
                <w:color w:val="auto"/>
              </w:rPr>
              <w:t>Leases</w:t>
            </w:r>
          </w:p>
        </w:tc>
        <w:tc>
          <w:tcPr>
            <w:tcW w:w="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153</w:t>
            </w:r>
          </w:p>
        </w:tc>
        <w:tc>
          <w:tcPr>
            <w:tcW w:w="900" w:type="dxa"/>
            <w:vAlign w:val="bottom"/>
            <w:gridSpan w:val="2"/>
          </w:tcPr>
          <w:p>
            <w:pPr>
              <w:jc w:val="right"/>
              <w:ind w:right="520"/>
              <w:spacing w:after="0"/>
              <w:rPr>
                <w:sz w:val="20"/>
                <w:szCs w:val="20"/>
                <w:color w:val="auto"/>
              </w:rPr>
            </w:pPr>
            <w:r>
              <w:rPr>
                <w:rFonts w:ascii="Arial" w:cs="Arial" w:eastAsia="Arial" w:hAnsi="Arial"/>
                <w:sz w:val="13"/>
                <w:szCs w:val="13"/>
                <w:color w:val="auto"/>
              </w:rPr>
              <w:t>5</w:t>
            </w:r>
          </w:p>
        </w:tc>
        <w:tc>
          <w:tcPr>
            <w:tcW w:w="1000" w:type="dxa"/>
            <w:vAlign w:val="bottom"/>
            <w:gridSpan w:val="2"/>
          </w:tcPr>
          <w:p>
            <w:pPr>
              <w:jc w:val="right"/>
              <w:ind w:right="368"/>
              <w:spacing w:after="0"/>
              <w:rPr>
                <w:sz w:val="20"/>
                <w:szCs w:val="20"/>
                <w:color w:val="auto"/>
              </w:rPr>
            </w:pPr>
            <w:r>
              <w:rPr>
                <w:rFonts w:ascii="Arial" w:cs="Arial" w:eastAsia="Arial" w:hAnsi="Arial"/>
                <w:sz w:val="13"/>
                <w:szCs w:val="13"/>
                <w:color w:val="auto"/>
              </w:rPr>
              <w:t>3</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w:t>
            </w: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7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Maryland</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1,477</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w:t>
            </w:r>
          </w:p>
        </w:tc>
        <w:tc>
          <w:tcPr>
            <w:tcW w:w="10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29%</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6"/>
        </w:trPr>
        <w:tc>
          <w:tcPr>
            <w:tcW w:w="4760" w:type="dxa"/>
            <w:vAlign w:val="bottom"/>
          </w:tcPr>
          <w:p>
            <w:pPr>
              <w:spacing w:after="0"/>
              <w:rPr>
                <w:sz w:val="20"/>
                <w:szCs w:val="20"/>
                <w:color w:val="auto"/>
              </w:rPr>
            </w:pPr>
            <w:r>
              <w:rPr>
                <w:rFonts w:ascii="Arial" w:cs="Arial" w:eastAsia="Arial" w:hAnsi="Arial"/>
                <w:sz w:val="13"/>
                <w:szCs w:val="13"/>
                <w:color w:val="auto"/>
              </w:rPr>
              <w:t>Other</w:t>
            </w: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Secured</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839</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w:t>
            </w:r>
          </w:p>
        </w:tc>
        <w:tc>
          <w:tcPr>
            <w:tcW w:w="10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19%</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4760" w:type="dxa"/>
            <w:vAlign w:val="bottom"/>
          </w:tcPr>
          <w:p>
            <w:pPr>
              <w:ind w:left="140"/>
              <w:spacing w:after="0"/>
              <w:rPr>
                <w:sz w:val="20"/>
                <w:szCs w:val="20"/>
                <w:color w:val="auto"/>
              </w:rPr>
            </w:pPr>
            <w:r>
              <w:rPr>
                <w:rFonts w:ascii="Arial" w:cs="Arial" w:eastAsia="Arial" w:hAnsi="Arial"/>
                <w:sz w:val="13"/>
                <w:szCs w:val="13"/>
                <w:color w:val="auto"/>
              </w:rPr>
              <w:t>Unsecured</w:t>
            </w:r>
          </w:p>
        </w:tc>
        <w:tc>
          <w:tcPr>
            <w:tcW w:w="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167</w:t>
            </w:r>
          </w:p>
        </w:tc>
        <w:tc>
          <w:tcPr>
            <w:tcW w:w="900" w:type="dxa"/>
            <w:vAlign w:val="bottom"/>
            <w:gridSpan w:val="2"/>
          </w:tcPr>
          <w:p>
            <w:pPr>
              <w:jc w:val="right"/>
              <w:ind w:right="520"/>
              <w:spacing w:after="0"/>
              <w:rPr>
                <w:sz w:val="20"/>
                <w:szCs w:val="20"/>
                <w:color w:val="auto"/>
              </w:rPr>
            </w:pPr>
            <w:r>
              <w:rPr>
                <w:rFonts w:ascii="Arial" w:cs="Arial" w:eastAsia="Arial" w:hAnsi="Arial"/>
                <w:sz w:val="13"/>
                <w:szCs w:val="13"/>
                <w:color w:val="auto"/>
              </w:rPr>
              <w:t>5</w:t>
            </w:r>
          </w:p>
        </w:tc>
        <w:tc>
          <w:tcPr>
            <w:tcW w:w="1000" w:type="dxa"/>
            <w:vAlign w:val="bottom"/>
            <w:gridSpan w:val="2"/>
          </w:tcPr>
          <w:p>
            <w:pPr>
              <w:jc w:val="right"/>
              <w:ind w:right="368"/>
              <w:spacing w:after="0"/>
              <w:rPr>
                <w:sz w:val="20"/>
                <w:szCs w:val="20"/>
                <w:color w:val="auto"/>
              </w:rPr>
            </w:pPr>
            <w:r>
              <w:rPr>
                <w:rFonts w:ascii="Arial" w:cs="Arial" w:eastAsia="Arial" w:hAnsi="Arial"/>
                <w:sz w:val="13"/>
                <w:szCs w:val="13"/>
                <w:color w:val="auto"/>
              </w:rPr>
              <w:t>3</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w:t>
            </w:r>
          </w:p>
        </w:tc>
        <w:tc>
          <w:tcPr>
            <w:tcW w:w="820" w:type="dxa"/>
            <w:vAlign w:val="bottom"/>
            <w:gridSpan w:val="2"/>
          </w:tcPr>
          <w:p>
            <w:pPr>
              <w:jc w:val="right"/>
              <w:ind w:right="420"/>
              <w:spacing w:after="0"/>
              <w:rPr>
                <w:sz w:val="20"/>
                <w:szCs w:val="20"/>
                <w:color w:val="auto"/>
              </w:rPr>
            </w:pPr>
            <w:r>
              <w:rPr>
                <w:rFonts w:ascii="Arial" w:cs="Arial" w:eastAsia="Arial" w:hAnsi="Arial"/>
                <w:sz w:val="13"/>
                <w:szCs w:val="13"/>
                <w:color w:val="auto"/>
              </w:rPr>
              <w:t>2</w:t>
            </w:r>
          </w:p>
        </w:tc>
        <w:tc>
          <w:tcPr>
            <w:tcW w:w="5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Leases</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393</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6</w:t>
            </w:r>
          </w:p>
        </w:tc>
        <w:tc>
          <w:tcPr>
            <w:tcW w:w="1000" w:type="dxa"/>
            <w:vAlign w:val="bottom"/>
            <w:gridSpan w:val="2"/>
            <w:shd w:val="clear" w:color="auto" w:fill="CCEEFF"/>
          </w:tcPr>
          <w:p>
            <w:pPr>
              <w:jc w:val="right"/>
              <w:ind w:right="368"/>
              <w:spacing w:after="0"/>
              <w:rPr>
                <w:sz w:val="20"/>
                <w:szCs w:val="20"/>
                <w:color w:val="auto"/>
              </w:rPr>
            </w:pPr>
            <w:r>
              <w:rPr>
                <w:rFonts w:ascii="Arial" w:cs="Arial" w:eastAsia="Arial" w:hAnsi="Arial"/>
                <w:sz w:val="13"/>
                <w:szCs w:val="13"/>
                <w:color w:val="auto"/>
              </w:rPr>
              <w:t>9</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0"/>
        </w:trPr>
        <w:tc>
          <w:tcPr>
            <w:tcW w:w="4760" w:type="dxa"/>
            <w:vAlign w:val="bottom"/>
            <w:vMerge w:val="restart"/>
          </w:tcPr>
          <w:p>
            <w:pPr>
              <w:ind w:left="280"/>
              <w:spacing w:after="0"/>
              <w:rPr>
                <w:sz w:val="20"/>
                <w:szCs w:val="20"/>
                <w:color w:val="auto"/>
              </w:rPr>
            </w:pPr>
            <w:r>
              <w:rPr>
                <w:rFonts w:ascii="Arial" w:cs="Arial" w:eastAsia="Arial" w:hAnsi="Arial"/>
                <w:sz w:val="13"/>
                <w:szCs w:val="13"/>
                <w:color w:val="auto"/>
              </w:rPr>
              <w:t>Total other</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1,399</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23%</w:t>
            </w:r>
          </w:p>
        </w:tc>
        <w:tc>
          <w:tcPr>
            <w:tcW w:w="1000" w:type="dxa"/>
            <w:vAlign w:val="bottom"/>
            <w:gridSpan w:val="2"/>
          </w:tcPr>
          <w:p>
            <w:pPr>
              <w:jc w:val="right"/>
              <w:ind w:right="248"/>
              <w:spacing w:after="0"/>
              <w:rPr>
                <w:sz w:val="20"/>
                <w:szCs w:val="20"/>
                <w:color w:val="auto"/>
              </w:rPr>
            </w:pPr>
            <w:r>
              <w:rPr>
                <w:rFonts w:ascii="Arial" w:cs="Arial" w:eastAsia="Arial" w:hAnsi="Arial"/>
                <w:sz w:val="13"/>
                <w:szCs w:val="13"/>
                <w:color w:val="auto"/>
              </w:rPr>
              <w:t>31%</w:t>
            </w: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25%</w:t>
            </w:r>
          </w:p>
        </w:tc>
        <w:tc>
          <w:tcPr>
            <w:tcW w:w="820" w:type="dxa"/>
            <w:vAlign w:val="bottom"/>
            <w:gridSpan w:val="2"/>
          </w:tcPr>
          <w:p>
            <w:pPr>
              <w:jc w:val="right"/>
              <w:ind w:right="300"/>
              <w:spacing w:after="0"/>
              <w:rPr>
                <w:sz w:val="20"/>
                <w:szCs w:val="20"/>
                <w:color w:val="auto"/>
              </w:rPr>
            </w:pPr>
            <w:r>
              <w:rPr>
                <w:rFonts w:ascii="Arial" w:cs="Arial" w:eastAsia="Arial" w:hAnsi="Arial"/>
                <w:sz w:val="13"/>
                <w:szCs w:val="13"/>
                <w:color w:val="auto"/>
              </w:rPr>
              <w:t>9%</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7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commercial loans and leases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11,666</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w:t>
            </w:r>
          </w:p>
        </w:tc>
        <w:tc>
          <w:tcPr>
            <w:tcW w:w="1000" w:type="dxa"/>
            <w:vAlign w:val="bottom"/>
            <w:gridSpan w:val="2"/>
            <w:shd w:val="clear" w:color="auto" w:fill="CCEEFF"/>
          </w:tcPr>
          <w:p>
            <w:pPr>
              <w:jc w:val="right"/>
              <w:ind w:right="248"/>
              <w:spacing w:after="0"/>
              <w:rPr>
                <w:sz w:val="20"/>
                <w:szCs w:val="20"/>
                <w:color w:val="auto"/>
              </w:rPr>
            </w:pPr>
            <w:r>
              <w:rPr>
                <w:rFonts w:ascii="Arial" w:cs="Arial" w:eastAsia="Arial" w:hAnsi="Arial"/>
                <w:sz w:val="13"/>
                <w:szCs w:val="13"/>
                <w:color w:val="auto"/>
              </w:rPr>
              <w:t>33%</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17%</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29"/>
        </w:trPr>
        <w:tc>
          <w:tcPr>
            <w:tcW w:w="4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80" w:right="420" w:firstLine="599"/>
        <w:spacing w:after="0" w:line="252" w:lineRule="auto"/>
        <w:rPr>
          <w:sz w:val="20"/>
          <w:szCs w:val="20"/>
          <w:color w:val="auto"/>
        </w:rPr>
      </w:pPr>
      <w:r>
        <w:rPr>
          <w:rFonts w:ascii="Arial" w:cs="Arial" w:eastAsia="Arial" w:hAnsi="Arial"/>
          <w:sz w:val="14"/>
          <w:szCs w:val="14"/>
          <w:color w:val="auto"/>
        </w:rPr>
        <w:t>Loans secured by real estate, including outstanding balances of home equity loans and lines of credit which the Company classifies as consumer loans, represented approximately 62% of the loan and lease portfolio during 2006, compared with 60% in 2005 and 58% in 2004. At December 31, 2006, the Company held approximately $15.4 billion of commercial real estate loans, $6.0 billion of consumer real estate loans secured by one-to-four family residential properties (including $1.9 billion of loans held for sale) and $5.4 billion of outstanding balances of home equity loans and lines of credit, compared with $14.5 billion, $4.4 billion and $5.3 billion, respectively, at December 31, 2005.</w:t>
      </w:r>
    </w:p>
    <w:p>
      <w:pPr>
        <w:spacing w:after="0" w:line="2" w:lineRule="exact"/>
        <w:rPr>
          <w:sz w:val="20"/>
          <w:szCs w:val="20"/>
          <w:color w:val="auto"/>
        </w:rPr>
      </w:pPr>
    </w:p>
    <w:p>
      <w:pPr>
        <w:ind w:left="680" w:right="320" w:firstLine="599"/>
        <w:spacing w:after="0" w:line="263" w:lineRule="auto"/>
        <w:rPr>
          <w:sz w:val="20"/>
          <w:szCs w:val="20"/>
          <w:color w:val="auto"/>
        </w:rPr>
      </w:pPr>
      <w:r>
        <w:rPr>
          <w:rFonts w:ascii="Arial" w:cs="Arial" w:eastAsia="Arial" w:hAnsi="Arial"/>
          <w:sz w:val="14"/>
          <w:szCs w:val="14"/>
          <w:color w:val="auto"/>
        </w:rPr>
        <w:t>A significant portion of commercial real estate loans originated by the Company are secured by properties in the New York City metropolitan area, including areas in neighboring states generally</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ind w:left="680"/>
        <w:spacing w:after="0" w:line="251" w:lineRule="auto"/>
        <w:rPr>
          <w:sz w:val="20"/>
          <w:szCs w:val="20"/>
          <w:color w:val="auto"/>
        </w:rPr>
      </w:pPr>
      <w:r>
        <w:rPr>
          <w:rFonts w:ascii="Arial" w:cs="Arial" w:eastAsia="Arial" w:hAnsi="Arial"/>
          <w:sz w:val="14"/>
          <w:szCs w:val="14"/>
          <w:color w:val="auto"/>
        </w:rPr>
        <w:t>considered to be within commuting distance of New York City, and other areas of New York State where the Company operates. Commercial real estate loans are also originated through the Company’s offices in Pennsylvania, Maryland, Virginia, Washington, D.C., Oregon and West Virginia. Commercial real estate loans originated by the Company include fixed-rate instruments with monthly payments and a balloon payment of the remaining unpaid principal at maturity, in many cases five years after origination. For borrowers in good standing, the terms of such loans may be extended by the customer for an additional five years at the then current market rate of interest. The Company also originates fixed-rate commercial real estate loans with maturities of greater than five years, generally having original maturity terms of approximately ten years, and adjustable-rate commercial real estate loans. Excluding construction loans, adjustable-rate commercial real estate loans represented approximately 41% of the commercial real estate loan portfolio as of December 31, 2006. Table 6 presents commercial real estate loans by geographic area, type of collateral and size of the loans outstanding at December 31, 2006. Of the $5.1 billion of commercial real estate loans in the New York City metropolitan area, approximately 31% were secured by multifamily residential properties, 40% by retail space and 8% by office space. The Company’s experience has been that office space and retail properties tend to demonstrate more volatile fluctuations in value through economic cycles and changing economic conditions than do multifamily residential properties. Approximately 45% of the aggregate dollar amount of New York City-area loans were for loans with outstanding balances of $5 million or less, while loans of more than $15 million made up approximately 24% of the total.</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6</w:t>
      </w:r>
    </w:p>
    <w:p>
      <w:pPr>
        <w:spacing w:after="0" w:line="252"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COMMERCIAL REAL ESTATE LOANS</w:t>
      </w:r>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i w:val="1"/>
          <w:iCs w:val="1"/>
          <w:color w:val="auto"/>
        </w:rPr>
        <w:t>(Net of unearned discount)</w:t>
      </w:r>
    </w:p>
    <w:p>
      <w:pPr>
        <w:spacing w:after="0" w:line="15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December 31, 2006</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0"/>
                <w:szCs w:val="10"/>
                <w:b w:val="1"/>
                <w:bCs w:val="1"/>
                <w:color w:val="auto"/>
                <w:w w:val="96"/>
              </w:rPr>
              <w:t>Outstandings</w:t>
            </w:r>
          </w:p>
        </w:tc>
        <w:tc>
          <w:tcPr>
            <w:tcW w:w="800" w:type="dxa"/>
            <w:vAlign w:val="bottom"/>
            <w:vMerge w:val="restart"/>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74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0"/>
                <w:szCs w:val="10"/>
                <w:b w:val="1"/>
                <w:bCs w:val="1"/>
                <w:color w:val="auto"/>
                <w:w w:val="96"/>
              </w:rPr>
              <w:t>Percent of Dollars Outstanding by Loan Size</w:t>
            </w:r>
          </w:p>
        </w:tc>
        <w:tc>
          <w:tcPr>
            <w:tcW w:w="24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520" w:type="dxa"/>
            <w:vAlign w:val="bottom"/>
          </w:tcPr>
          <w:p>
            <w:pPr>
              <w:spacing w:after="0"/>
              <w:rPr>
                <w:sz w:val="8"/>
                <w:szCs w:val="8"/>
                <w:color w:val="auto"/>
              </w:rPr>
            </w:pPr>
          </w:p>
        </w:tc>
        <w:tc>
          <w:tcPr>
            <w:tcW w:w="680" w:type="dxa"/>
            <w:vAlign w:val="bottom"/>
            <w:tcBorders>
              <w:bottom w:val="single" w:sz="8" w:color="auto"/>
            </w:tcBorders>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9"/>
              </w:rPr>
              <w:t>$0-1</w:t>
            </w: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9"/>
              </w:rPr>
              <w:t>$1-5</w:t>
            </w:r>
          </w:p>
        </w:tc>
        <w:tc>
          <w:tcPr>
            <w:tcW w:w="660" w:type="dxa"/>
            <w:vAlign w:val="bottom"/>
            <w:vMerge w:val="restart"/>
          </w:tcPr>
          <w:p>
            <w:pPr>
              <w:jc w:val="right"/>
              <w:ind w:right="88"/>
              <w:spacing w:after="0"/>
              <w:rPr>
                <w:sz w:val="20"/>
                <w:szCs w:val="20"/>
                <w:color w:val="auto"/>
              </w:rPr>
            </w:pPr>
            <w:r>
              <w:rPr>
                <w:rFonts w:ascii="Arial" w:cs="Arial" w:eastAsia="Arial" w:hAnsi="Arial"/>
                <w:sz w:val="10"/>
                <w:szCs w:val="10"/>
                <w:b w:val="1"/>
                <w:bCs w:val="1"/>
                <w:color w:val="auto"/>
                <w:w w:val="94"/>
              </w:rPr>
              <w:t>in millions)</w:t>
            </w:r>
          </w:p>
        </w:tc>
        <w:tc>
          <w:tcPr>
            <w:tcW w:w="2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u w:val="single" w:color="auto"/>
                <w:color w:val="auto"/>
                <w:w w:val="85"/>
              </w:rPr>
              <w:t>$</w:t>
            </w:r>
            <w:r>
              <w:rPr>
                <w:rFonts w:ascii="Arial" w:cs="Arial" w:eastAsia="Arial" w:hAnsi="Arial"/>
                <w:sz w:val="10"/>
                <w:szCs w:val="10"/>
                <w:b w:val="1"/>
                <w:bCs w:val="1"/>
                <w:color w:val="auto"/>
                <w:w w:val="85"/>
              </w:rPr>
              <w:t>5-10</w:t>
            </w:r>
          </w:p>
        </w:tc>
        <w:tc>
          <w:tcPr>
            <w:tcW w:w="660" w:type="dxa"/>
            <w:vAlign w:val="bottom"/>
          </w:tcPr>
          <w:p>
            <w:pPr>
              <w:spacing w:after="0"/>
              <w:rPr>
                <w:sz w:val="8"/>
                <w:szCs w:val="8"/>
                <w:color w:val="auto"/>
              </w:rPr>
            </w:pPr>
          </w:p>
        </w:tc>
        <w:tc>
          <w:tcPr>
            <w:tcW w:w="30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u w:val="single" w:color="auto"/>
                <w:color w:val="auto"/>
                <w:w w:val="89"/>
              </w:rPr>
              <w:t>$</w:t>
            </w:r>
            <w:r>
              <w:rPr>
                <w:rFonts w:ascii="Arial" w:cs="Arial" w:eastAsia="Arial" w:hAnsi="Arial"/>
                <w:sz w:val="10"/>
                <w:szCs w:val="10"/>
                <w:b w:val="1"/>
                <w:bCs w:val="1"/>
                <w:color w:val="auto"/>
                <w:w w:val="89"/>
              </w:rPr>
              <w:t>10-15</w:t>
            </w:r>
          </w:p>
        </w:tc>
        <w:tc>
          <w:tcPr>
            <w:tcW w:w="640" w:type="dxa"/>
            <w:vAlign w:val="bottom"/>
          </w:tcPr>
          <w:p>
            <w:pPr>
              <w:spacing w:after="0"/>
              <w:rPr>
                <w:sz w:val="8"/>
                <w:szCs w:val="8"/>
                <w:color w:val="auto"/>
              </w:rPr>
            </w:pPr>
          </w:p>
        </w:tc>
        <w:tc>
          <w:tcPr>
            <w:tcW w:w="2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u w:val="single" w:color="auto"/>
                <w:color w:val="auto"/>
                <w:w w:val="97"/>
              </w:rPr>
              <w:t>$</w:t>
            </w:r>
            <w:r>
              <w:rPr>
                <w:rFonts w:ascii="Arial" w:cs="Arial" w:eastAsia="Arial" w:hAnsi="Arial"/>
                <w:sz w:val="10"/>
                <w:szCs w:val="10"/>
                <w:b w:val="1"/>
                <w:bCs w:val="1"/>
                <w:color w:val="auto"/>
                <w:w w:val="97"/>
              </w:rPr>
              <w:t>15+</w:t>
            </w: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60" w:type="dxa"/>
            <w:vAlign w:val="bottom"/>
            <w:gridSpan w:val="2"/>
          </w:tcPr>
          <w:p>
            <w:pPr>
              <w:jc w:val="right"/>
              <w:spacing w:after="0"/>
              <w:rPr>
                <w:sz w:val="20"/>
                <w:szCs w:val="20"/>
                <w:color w:val="auto"/>
              </w:rPr>
            </w:pPr>
            <w:r>
              <w:rPr>
                <w:rFonts w:ascii="Arial" w:cs="Arial" w:eastAsia="Arial" w:hAnsi="Arial"/>
                <w:sz w:val="10"/>
                <w:szCs w:val="10"/>
                <w:b w:val="1"/>
                <w:bCs w:val="1"/>
                <w:color w:val="auto"/>
              </w:rPr>
              <w:t>(Dollars</w:t>
            </w:r>
          </w:p>
        </w:tc>
        <w:tc>
          <w:tcPr>
            <w:tcW w:w="6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3"/>
                <w:szCs w:val="13"/>
                <w:color w:val="auto"/>
              </w:rPr>
              <w:t>Metropolitan New York City</w:t>
            </w:r>
          </w:p>
        </w:tc>
        <w:tc>
          <w:tcPr>
            <w:tcW w:w="2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20" w:type="dxa"/>
            <w:vAlign w:val="bottom"/>
          </w:tcPr>
          <w:p>
            <w:pPr>
              <w:ind w:left="140"/>
              <w:spacing w:after="0"/>
              <w:rPr>
                <w:sz w:val="20"/>
                <w:szCs w:val="20"/>
                <w:color w:val="auto"/>
              </w:rPr>
            </w:pPr>
            <w:r>
              <w:rPr>
                <w:rFonts w:ascii="Arial" w:cs="Arial" w:eastAsia="Arial" w:hAnsi="Arial"/>
                <w:sz w:val="13"/>
                <w:szCs w:val="13"/>
                <w:color w:val="auto"/>
              </w:rPr>
              <w:t>Apartments/Multifamily</w:t>
            </w:r>
          </w:p>
        </w:tc>
        <w:tc>
          <w:tcPr>
            <w:tcW w:w="200" w:type="dxa"/>
            <w:vAlign w:val="bottom"/>
          </w:tcPr>
          <w:p>
            <w:pPr>
              <w:jc w:val="right"/>
              <w:ind w:right="59"/>
              <w:spacing w:after="0"/>
              <w:rPr>
                <w:sz w:val="20"/>
                <w:szCs w:val="20"/>
                <w:color w:val="auto"/>
              </w:rPr>
            </w:pPr>
            <w:r>
              <w:rPr>
                <w:rFonts w:ascii="Arial" w:cs="Arial" w:eastAsia="Arial" w:hAnsi="Arial"/>
                <w:sz w:val="13"/>
                <w:szCs w:val="13"/>
                <w:color w:val="auto"/>
                <w:w w:val="82"/>
              </w:rPr>
              <w:t>$</w:t>
            </w:r>
          </w:p>
        </w:tc>
        <w:tc>
          <w:tcPr>
            <w:tcW w:w="1280" w:type="dxa"/>
            <w:vAlign w:val="bottom"/>
            <w:gridSpan w:val="2"/>
          </w:tcPr>
          <w:p>
            <w:pPr>
              <w:jc w:val="right"/>
              <w:ind w:right="800"/>
              <w:spacing w:after="0"/>
              <w:rPr>
                <w:sz w:val="20"/>
                <w:szCs w:val="20"/>
                <w:color w:val="auto"/>
              </w:rPr>
            </w:pPr>
            <w:r>
              <w:rPr>
                <w:rFonts w:ascii="Arial" w:cs="Arial" w:eastAsia="Arial" w:hAnsi="Arial"/>
                <w:sz w:val="13"/>
                <w:szCs w:val="13"/>
                <w:color w:val="auto"/>
              </w:rPr>
              <w:t>1,602</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3%</w:t>
            </w:r>
          </w:p>
        </w:tc>
        <w:tc>
          <w:tcPr>
            <w:tcW w:w="1220" w:type="dxa"/>
            <w:vAlign w:val="bottom"/>
            <w:gridSpan w:val="3"/>
          </w:tcPr>
          <w:p>
            <w:pPr>
              <w:jc w:val="right"/>
              <w:ind w:right="488"/>
              <w:spacing w:after="0"/>
              <w:rPr>
                <w:sz w:val="20"/>
                <w:szCs w:val="20"/>
                <w:color w:val="auto"/>
              </w:rPr>
            </w:pPr>
            <w:r>
              <w:rPr>
                <w:rFonts w:ascii="Arial" w:cs="Arial" w:eastAsia="Arial" w:hAnsi="Arial"/>
                <w:sz w:val="13"/>
                <w:szCs w:val="13"/>
                <w:color w:val="auto"/>
              </w:rPr>
              <w:t>14%</w:t>
            </w:r>
          </w:p>
        </w:tc>
        <w:tc>
          <w:tcPr>
            <w:tcW w:w="900" w:type="dxa"/>
            <w:vAlign w:val="bottom"/>
            <w:gridSpan w:val="2"/>
          </w:tcPr>
          <w:p>
            <w:pPr>
              <w:jc w:val="right"/>
              <w:ind w:right="540"/>
              <w:spacing w:after="0"/>
              <w:rPr>
                <w:sz w:val="20"/>
                <w:szCs w:val="20"/>
                <w:color w:val="auto"/>
              </w:rPr>
            </w:pPr>
            <w:r>
              <w:rPr>
                <w:rFonts w:ascii="Arial" w:cs="Arial" w:eastAsia="Arial" w:hAnsi="Arial"/>
                <w:sz w:val="13"/>
                <w:szCs w:val="13"/>
                <w:color w:val="auto"/>
              </w:rPr>
              <w:t>6%</w:t>
            </w:r>
          </w:p>
        </w:tc>
        <w:tc>
          <w:tcPr>
            <w:tcW w:w="940" w:type="dxa"/>
            <w:vAlign w:val="bottom"/>
            <w:gridSpan w:val="2"/>
          </w:tcPr>
          <w:p>
            <w:pPr>
              <w:jc w:val="right"/>
              <w:ind w:right="540"/>
              <w:spacing w:after="0"/>
              <w:rPr>
                <w:sz w:val="20"/>
                <w:szCs w:val="20"/>
                <w:color w:val="auto"/>
              </w:rPr>
            </w:pPr>
            <w:r>
              <w:rPr>
                <w:rFonts w:ascii="Arial" w:cs="Arial" w:eastAsia="Arial" w:hAnsi="Arial"/>
                <w:sz w:val="13"/>
                <w:szCs w:val="13"/>
                <w:color w:val="auto"/>
              </w:rPr>
              <w:t>3%</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Office</w:t>
            </w:r>
          </w:p>
        </w:tc>
        <w:tc>
          <w:tcPr>
            <w:tcW w:w="2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800"/>
              <w:spacing w:after="0"/>
              <w:rPr>
                <w:sz w:val="20"/>
                <w:szCs w:val="20"/>
                <w:color w:val="auto"/>
              </w:rPr>
            </w:pPr>
            <w:r>
              <w:rPr>
                <w:rFonts w:ascii="Arial" w:cs="Arial" w:eastAsia="Arial" w:hAnsi="Arial"/>
                <w:sz w:val="13"/>
                <w:szCs w:val="13"/>
                <w:color w:val="auto"/>
              </w:rPr>
              <w:t>402</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w:t>
            </w:r>
          </w:p>
        </w:tc>
        <w:tc>
          <w:tcPr>
            <w:tcW w:w="1220" w:type="dxa"/>
            <w:vAlign w:val="bottom"/>
            <w:gridSpan w:val="3"/>
            <w:shd w:val="clear" w:color="auto" w:fill="CCEEFF"/>
          </w:tcPr>
          <w:p>
            <w:pPr>
              <w:jc w:val="right"/>
              <w:ind w:right="608"/>
              <w:spacing w:after="0"/>
              <w:rPr>
                <w:sz w:val="20"/>
                <w:szCs w:val="20"/>
                <w:color w:val="auto"/>
              </w:rPr>
            </w:pPr>
            <w:r>
              <w:rPr>
                <w:rFonts w:ascii="Arial" w:cs="Arial" w:eastAsia="Arial" w:hAnsi="Arial"/>
                <w:sz w:val="13"/>
                <w:szCs w:val="13"/>
                <w:color w:val="auto"/>
              </w:rPr>
              <w:t>2</w:t>
            </w:r>
          </w:p>
        </w:tc>
        <w:tc>
          <w:tcPr>
            <w:tcW w:w="90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2</w:t>
            </w:r>
          </w:p>
        </w:tc>
        <w:tc>
          <w:tcPr>
            <w:tcW w:w="94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rPr>
              <w:t>1</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20" w:type="dxa"/>
            <w:vAlign w:val="bottom"/>
          </w:tcPr>
          <w:p>
            <w:pPr>
              <w:ind w:left="140"/>
              <w:spacing w:after="0"/>
              <w:rPr>
                <w:sz w:val="20"/>
                <w:szCs w:val="20"/>
                <w:color w:val="auto"/>
              </w:rPr>
            </w:pPr>
            <w:r>
              <w:rPr>
                <w:rFonts w:ascii="Arial" w:cs="Arial" w:eastAsia="Arial" w:hAnsi="Arial"/>
                <w:sz w:val="13"/>
                <w:szCs w:val="13"/>
                <w:color w:val="auto"/>
              </w:rPr>
              <w:t>Retail/Services</w:t>
            </w:r>
          </w:p>
        </w:tc>
        <w:tc>
          <w:tcPr>
            <w:tcW w:w="200" w:type="dxa"/>
            <w:vAlign w:val="bottom"/>
          </w:tcPr>
          <w:p>
            <w:pPr>
              <w:spacing w:after="0"/>
              <w:rPr>
                <w:sz w:val="13"/>
                <w:szCs w:val="13"/>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3"/>
                <w:szCs w:val="13"/>
                <w:color w:val="auto"/>
              </w:rPr>
              <w:t>2,020</w:t>
            </w:r>
          </w:p>
        </w:tc>
        <w:tc>
          <w:tcPr>
            <w:tcW w:w="560" w:type="dxa"/>
            <w:vAlign w:val="bottom"/>
            <w:gridSpan w:val="2"/>
          </w:tcPr>
          <w:p>
            <w:pPr>
              <w:jc w:val="right"/>
              <w:ind w:right="320"/>
              <w:spacing w:after="0"/>
              <w:rPr>
                <w:sz w:val="20"/>
                <w:szCs w:val="20"/>
                <w:color w:val="auto"/>
              </w:rPr>
            </w:pPr>
            <w:r>
              <w:rPr>
                <w:rFonts w:ascii="Arial" w:cs="Arial" w:eastAsia="Arial" w:hAnsi="Arial"/>
                <w:sz w:val="13"/>
                <w:szCs w:val="13"/>
                <w:color w:val="auto"/>
              </w:rPr>
              <w:t>3</w:t>
            </w:r>
          </w:p>
        </w:tc>
        <w:tc>
          <w:tcPr>
            <w:tcW w:w="1220" w:type="dxa"/>
            <w:vAlign w:val="bottom"/>
            <w:gridSpan w:val="3"/>
          </w:tcPr>
          <w:p>
            <w:pPr>
              <w:jc w:val="right"/>
              <w:ind w:right="608"/>
              <w:spacing w:after="0"/>
              <w:rPr>
                <w:sz w:val="20"/>
                <w:szCs w:val="20"/>
                <w:color w:val="auto"/>
              </w:rPr>
            </w:pPr>
            <w:r>
              <w:rPr>
                <w:rFonts w:ascii="Arial" w:cs="Arial" w:eastAsia="Arial" w:hAnsi="Arial"/>
                <w:sz w:val="13"/>
                <w:szCs w:val="13"/>
                <w:color w:val="auto"/>
              </w:rPr>
              <w:t>14</w:t>
            </w:r>
          </w:p>
        </w:tc>
        <w:tc>
          <w:tcPr>
            <w:tcW w:w="900" w:type="dxa"/>
            <w:vAlign w:val="bottom"/>
            <w:gridSpan w:val="2"/>
          </w:tcPr>
          <w:p>
            <w:pPr>
              <w:jc w:val="right"/>
              <w:ind w:right="660"/>
              <w:spacing w:after="0"/>
              <w:rPr>
                <w:sz w:val="20"/>
                <w:szCs w:val="20"/>
                <w:color w:val="auto"/>
              </w:rPr>
            </w:pPr>
            <w:r>
              <w:rPr>
                <w:rFonts w:ascii="Arial" w:cs="Arial" w:eastAsia="Arial" w:hAnsi="Arial"/>
                <w:sz w:val="13"/>
                <w:szCs w:val="13"/>
                <w:color w:val="auto"/>
              </w:rPr>
              <w:t>8</w:t>
            </w:r>
          </w:p>
        </w:tc>
        <w:tc>
          <w:tcPr>
            <w:tcW w:w="940" w:type="dxa"/>
            <w:vAlign w:val="bottom"/>
            <w:gridSpan w:val="2"/>
          </w:tcPr>
          <w:p>
            <w:pPr>
              <w:jc w:val="right"/>
              <w:ind w:right="640"/>
              <w:spacing w:after="0"/>
              <w:rPr>
                <w:sz w:val="20"/>
                <w:szCs w:val="20"/>
                <w:color w:val="auto"/>
              </w:rPr>
            </w:pPr>
            <w:r>
              <w:rPr>
                <w:rFonts w:ascii="Arial" w:cs="Arial" w:eastAsia="Arial" w:hAnsi="Arial"/>
                <w:sz w:val="13"/>
                <w:szCs w:val="13"/>
                <w:color w:val="auto"/>
              </w:rPr>
              <w:t>4</w:t>
            </w: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Construction</w:t>
            </w:r>
          </w:p>
        </w:tc>
        <w:tc>
          <w:tcPr>
            <w:tcW w:w="2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800"/>
              <w:spacing w:after="0"/>
              <w:rPr>
                <w:sz w:val="20"/>
                <w:szCs w:val="20"/>
                <w:color w:val="auto"/>
              </w:rPr>
            </w:pPr>
            <w:r>
              <w:rPr>
                <w:rFonts w:ascii="Arial" w:cs="Arial" w:eastAsia="Arial" w:hAnsi="Arial"/>
                <w:sz w:val="13"/>
                <w:szCs w:val="13"/>
                <w:color w:val="auto"/>
              </w:rPr>
              <w:t>315</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220" w:type="dxa"/>
            <w:vAlign w:val="bottom"/>
            <w:gridSpan w:val="3"/>
            <w:shd w:val="clear" w:color="auto" w:fill="CCEEFF"/>
          </w:tcPr>
          <w:p>
            <w:pPr>
              <w:jc w:val="right"/>
              <w:ind w:right="608"/>
              <w:spacing w:after="0"/>
              <w:rPr>
                <w:sz w:val="20"/>
                <w:szCs w:val="20"/>
                <w:color w:val="auto"/>
              </w:rPr>
            </w:pPr>
            <w:r>
              <w:rPr>
                <w:rFonts w:ascii="Arial" w:cs="Arial" w:eastAsia="Arial" w:hAnsi="Arial"/>
                <w:sz w:val="13"/>
                <w:szCs w:val="13"/>
                <w:color w:val="auto"/>
              </w:rPr>
              <w:t>2</w:t>
            </w:r>
          </w:p>
        </w:tc>
        <w:tc>
          <w:tcPr>
            <w:tcW w:w="90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1</w:t>
            </w:r>
          </w:p>
        </w:tc>
        <w:tc>
          <w:tcPr>
            <w:tcW w:w="94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rPr>
              <w:t>1</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20" w:type="dxa"/>
            <w:vAlign w:val="bottom"/>
          </w:tcPr>
          <w:p>
            <w:pPr>
              <w:ind w:left="140"/>
              <w:spacing w:after="0"/>
              <w:rPr>
                <w:sz w:val="20"/>
                <w:szCs w:val="20"/>
                <w:color w:val="auto"/>
              </w:rPr>
            </w:pPr>
            <w:r>
              <w:rPr>
                <w:rFonts w:ascii="Arial" w:cs="Arial" w:eastAsia="Arial" w:hAnsi="Arial"/>
                <w:sz w:val="13"/>
                <w:szCs w:val="13"/>
                <w:color w:val="auto"/>
              </w:rPr>
              <w:t>Industrial</w:t>
            </w:r>
          </w:p>
        </w:tc>
        <w:tc>
          <w:tcPr>
            <w:tcW w:w="200" w:type="dxa"/>
            <w:vAlign w:val="bottom"/>
          </w:tcPr>
          <w:p>
            <w:pPr>
              <w:spacing w:after="0"/>
              <w:rPr>
                <w:sz w:val="13"/>
                <w:szCs w:val="13"/>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3"/>
                <w:szCs w:val="13"/>
                <w:color w:val="auto"/>
              </w:rPr>
              <w:t>213</w:t>
            </w:r>
          </w:p>
        </w:tc>
        <w:tc>
          <w:tcPr>
            <w:tcW w:w="560" w:type="dxa"/>
            <w:vAlign w:val="bottom"/>
            <w:gridSpan w:val="2"/>
          </w:tcPr>
          <w:p>
            <w:pPr>
              <w:jc w:val="right"/>
              <w:ind w:right="320"/>
              <w:spacing w:after="0"/>
              <w:rPr>
                <w:sz w:val="20"/>
                <w:szCs w:val="20"/>
                <w:color w:val="auto"/>
              </w:rPr>
            </w:pPr>
            <w:r>
              <w:rPr>
                <w:rFonts w:ascii="Arial" w:cs="Arial" w:eastAsia="Arial" w:hAnsi="Arial"/>
                <w:sz w:val="13"/>
                <w:szCs w:val="13"/>
                <w:color w:val="auto"/>
              </w:rPr>
              <w:t>1</w:t>
            </w:r>
          </w:p>
        </w:tc>
        <w:tc>
          <w:tcPr>
            <w:tcW w:w="1220" w:type="dxa"/>
            <w:vAlign w:val="bottom"/>
            <w:gridSpan w:val="3"/>
          </w:tcPr>
          <w:p>
            <w:pPr>
              <w:jc w:val="right"/>
              <w:ind w:right="608"/>
              <w:spacing w:after="0"/>
              <w:rPr>
                <w:sz w:val="20"/>
                <w:szCs w:val="20"/>
                <w:color w:val="auto"/>
              </w:rPr>
            </w:pPr>
            <w:r>
              <w:rPr>
                <w:rFonts w:ascii="Arial" w:cs="Arial" w:eastAsia="Arial" w:hAnsi="Arial"/>
                <w:sz w:val="13"/>
                <w:szCs w:val="13"/>
                <w:color w:val="auto"/>
              </w:rPr>
              <w:t>1</w:t>
            </w:r>
          </w:p>
        </w:tc>
        <w:tc>
          <w:tcPr>
            <w:tcW w:w="900" w:type="dxa"/>
            <w:vAlign w:val="bottom"/>
            <w:gridSpan w:val="2"/>
          </w:tcPr>
          <w:p>
            <w:pPr>
              <w:jc w:val="right"/>
              <w:ind w:right="660"/>
              <w:spacing w:after="0"/>
              <w:rPr>
                <w:sz w:val="20"/>
                <w:szCs w:val="20"/>
                <w:color w:val="auto"/>
              </w:rPr>
            </w:pPr>
            <w:r>
              <w:rPr>
                <w:rFonts w:ascii="Arial" w:cs="Arial" w:eastAsia="Arial" w:hAnsi="Arial"/>
                <w:sz w:val="13"/>
                <w:szCs w:val="13"/>
                <w:color w:val="auto"/>
              </w:rPr>
              <w:t>1</w:t>
            </w:r>
          </w:p>
        </w:tc>
        <w:tc>
          <w:tcPr>
            <w:tcW w:w="940" w:type="dxa"/>
            <w:vAlign w:val="bottom"/>
            <w:gridSpan w:val="2"/>
          </w:tcPr>
          <w:p>
            <w:pPr>
              <w:jc w:val="right"/>
              <w:ind w:right="64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561</w:t>
            </w: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3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8"/>
              <w:spacing w:after="0"/>
              <w:rPr>
                <w:sz w:val="20"/>
                <w:szCs w:val="20"/>
                <w:color w:val="auto"/>
              </w:rPr>
            </w:pPr>
            <w:r>
              <w:rPr>
                <w:rFonts w:ascii="Arial" w:cs="Arial" w:eastAsia="Arial" w:hAnsi="Arial"/>
                <w:sz w:val="13"/>
                <w:szCs w:val="13"/>
                <w:color w:val="auto"/>
              </w:rPr>
              <w:t>3</w:t>
            </w:r>
          </w:p>
        </w:tc>
        <w:tc>
          <w:tcPr>
            <w:tcW w:w="90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3</w:t>
            </w:r>
          </w:p>
        </w:tc>
        <w:tc>
          <w:tcPr>
            <w:tcW w:w="94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rPr>
              <w:t>1</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20" w:type="dxa"/>
            <w:vAlign w:val="bottom"/>
            <w:vMerge w:val="restart"/>
          </w:tcPr>
          <w:p>
            <w:pPr>
              <w:ind w:left="280"/>
              <w:spacing w:after="0"/>
              <w:rPr>
                <w:sz w:val="20"/>
                <w:szCs w:val="20"/>
                <w:color w:val="auto"/>
              </w:rPr>
            </w:pPr>
            <w:r>
              <w:rPr>
                <w:rFonts w:ascii="Arial" w:cs="Arial" w:eastAsia="Arial" w:hAnsi="Arial"/>
                <w:sz w:val="13"/>
                <w:szCs w:val="13"/>
                <w:color w:val="auto"/>
              </w:rPr>
              <w:t>Total Metropolitan New York City</w:t>
            </w: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5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5,113</w:t>
            </w:r>
          </w:p>
        </w:tc>
        <w:tc>
          <w:tcPr>
            <w:tcW w:w="80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9%</w:t>
            </w:r>
          </w:p>
        </w:tc>
        <w:tc>
          <w:tcPr>
            <w:tcW w:w="1220" w:type="dxa"/>
            <w:vAlign w:val="bottom"/>
            <w:gridSpan w:val="3"/>
          </w:tcPr>
          <w:p>
            <w:pPr>
              <w:jc w:val="right"/>
              <w:ind w:right="488"/>
              <w:spacing w:after="0"/>
              <w:rPr>
                <w:sz w:val="20"/>
                <w:szCs w:val="20"/>
                <w:color w:val="auto"/>
              </w:rPr>
            </w:pPr>
            <w:r>
              <w:rPr>
                <w:rFonts w:ascii="Arial" w:cs="Arial" w:eastAsia="Arial" w:hAnsi="Arial"/>
                <w:sz w:val="13"/>
                <w:szCs w:val="13"/>
                <w:color w:val="auto"/>
              </w:rPr>
              <w:t>36%</w:t>
            </w:r>
          </w:p>
        </w:tc>
        <w:tc>
          <w:tcPr>
            <w:tcW w:w="900" w:type="dxa"/>
            <w:vAlign w:val="bottom"/>
            <w:gridSpan w:val="2"/>
          </w:tcPr>
          <w:p>
            <w:pPr>
              <w:jc w:val="right"/>
              <w:ind w:right="540"/>
              <w:spacing w:after="0"/>
              <w:rPr>
                <w:sz w:val="20"/>
                <w:szCs w:val="20"/>
                <w:color w:val="auto"/>
              </w:rPr>
            </w:pPr>
            <w:r>
              <w:rPr>
                <w:rFonts w:ascii="Arial" w:cs="Arial" w:eastAsia="Arial" w:hAnsi="Arial"/>
                <w:sz w:val="13"/>
                <w:szCs w:val="13"/>
                <w:color w:val="auto"/>
              </w:rPr>
              <w:t>21%</w:t>
            </w:r>
          </w:p>
        </w:tc>
        <w:tc>
          <w:tcPr>
            <w:tcW w:w="940" w:type="dxa"/>
            <w:vAlign w:val="bottom"/>
            <w:gridSpan w:val="2"/>
          </w:tcPr>
          <w:p>
            <w:pPr>
              <w:jc w:val="right"/>
              <w:ind w:right="540"/>
              <w:spacing w:after="0"/>
              <w:rPr>
                <w:sz w:val="20"/>
                <w:szCs w:val="20"/>
                <w:color w:val="auto"/>
              </w:rPr>
            </w:pPr>
            <w:r>
              <w:rPr>
                <w:rFonts w:ascii="Arial" w:cs="Arial" w:eastAsia="Arial" w:hAnsi="Arial"/>
                <w:sz w:val="13"/>
                <w:szCs w:val="13"/>
                <w:color w:val="auto"/>
              </w:rPr>
              <w:t>10%</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3"/>
                <w:szCs w:val="13"/>
                <w:color w:val="auto"/>
              </w:rPr>
              <w:t>Other New York State</w:t>
            </w:r>
          </w:p>
        </w:tc>
        <w:tc>
          <w:tcPr>
            <w:tcW w:w="2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20" w:type="dxa"/>
            <w:vAlign w:val="bottom"/>
          </w:tcPr>
          <w:p>
            <w:pPr>
              <w:ind w:left="140"/>
              <w:spacing w:after="0"/>
              <w:rPr>
                <w:sz w:val="20"/>
                <w:szCs w:val="20"/>
                <w:color w:val="auto"/>
              </w:rPr>
            </w:pPr>
            <w:r>
              <w:rPr>
                <w:rFonts w:ascii="Arial" w:cs="Arial" w:eastAsia="Arial" w:hAnsi="Arial"/>
                <w:sz w:val="13"/>
                <w:szCs w:val="13"/>
                <w:color w:val="auto"/>
              </w:rPr>
              <w:t>Apartments/Multifamily</w:t>
            </w:r>
          </w:p>
        </w:tc>
        <w:tc>
          <w:tcPr>
            <w:tcW w:w="200" w:type="dxa"/>
            <w:vAlign w:val="bottom"/>
          </w:tcPr>
          <w:p>
            <w:pPr>
              <w:spacing w:after="0"/>
              <w:rPr>
                <w:sz w:val="13"/>
                <w:szCs w:val="13"/>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3"/>
                <w:szCs w:val="13"/>
                <w:color w:val="auto"/>
              </w:rPr>
              <w:t>281</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2%</w:t>
            </w:r>
          </w:p>
        </w:tc>
        <w:tc>
          <w:tcPr>
            <w:tcW w:w="1220" w:type="dxa"/>
            <w:vAlign w:val="bottom"/>
            <w:gridSpan w:val="3"/>
          </w:tcPr>
          <w:p>
            <w:pPr>
              <w:jc w:val="right"/>
              <w:ind w:right="488"/>
              <w:spacing w:after="0"/>
              <w:rPr>
                <w:sz w:val="20"/>
                <w:szCs w:val="20"/>
                <w:color w:val="auto"/>
              </w:rPr>
            </w:pPr>
            <w:r>
              <w:rPr>
                <w:rFonts w:ascii="Arial" w:cs="Arial" w:eastAsia="Arial" w:hAnsi="Arial"/>
                <w:sz w:val="13"/>
                <w:szCs w:val="13"/>
                <w:color w:val="auto"/>
              </w:rPr>
              <w:t>3%</w:t>
            </w:r>
          </w:p>
        </w:tc>
        <w:tc>
          <w:tcPr>
            <w:tcW w:w="900" w:type="dxa"/>
            <w:vAlign w:val="bottom"/>
            <w:gridSpan w:val="2"/>
          </w:tcPr>
          <w:p>
            <w:pPr>
              <w:jc w:val="right"/>
              <w:ind w:right="540"/>
              <w:spacing w:after="0"/>
              <w:rPr>
                <w:sz w:val="20"/>
                <w:szCs w:val="20"/>
                <w:color w:val="auto"/>
              </w:rPr>
            </w:pPr>
            <w:r>
              <w:rPr>
                <w:rFonts w:ascii="Arial" w:cs="Arial" w:eastAsia="Arial" w:hAnsi="Arial"/>
                <w:sz w:val="13"/>
                <w:szCs w:val="13"/>
                <w:color w:val="auto"/>
              </w:rPr>
              <w:t>1%</w:t>
            </w:r>
          </w:p>
        </w:tc>
        <w:tc>
          <w:tcPr>
            <w:tcW w:w="940" w:type="dxa"/>
            <w:vAlign w:val="bottom"/>
            <w:gridSpan w:val="2"/>
          </w:tcPr>
          <w:p>
            <w:pPr>
              <w:jc w:val="right"/>
              <w:ind w:right="540"/>
              <w:spacing w:after="0"/>
              <w:rPr>
                <w:sz w:val="20"/>
                <w:szCs w:val="20"/>
                <w:color w:val="auto"/>
              </w:rPr>
            </w:pPr>
            <w:r>
              <w:rPr>
                <w:rFonts w:ascii="Arial" w:cs="Arial" w:eastAsia="Arial" w:hAnsi="Arial"/>
                <w:sz w:val="13"/>
                <w:szCs w:val="13"/>
                <w:color w:val="auto"/>
              </w:rPr>
              <w:t>1%</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Office</w:t>
            </w:r>
          </w:p>
        </w:tc>
        <w:tc>
          <w:tcPr>
            <w:tcW w:w="2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800"/>
              <w:spacing w:after="0"/>
              <w:rPr>
                <w:sz w:val="20"/>
                <w:szCs w:val="20"/>
                <w:color w:val="auto"/>
              </w:rPr>
            </w:pPr>
            <w:r>
              <w:rPr>
                <w:rFonts w:ascii="Arial" w:cs="Arial" w:eastAsia="Arial" w:hAnsi="Arial"/>
                <w:sz w:val="13"/>
                <w:szCs w:val="13"/>
                <w:color w:val="auto"/>
              </w:rPr>
              <w:t>893</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7</w:t>
            </w:r>
          </w:p>
        </w:tc>
        <w:tc>
          <w:tcPr>
            <w:tcW w:w="1220" w:type="dxa"/>
            <w:vAlign w:val="bottom"/>
            <w:gridSpan w:val="3"/>
            <w:shd w:val="clear" w:color="auto" w:fill="CCEEFF"/>
          </w:tcPr>
          <w:p>
            <w:pPr>
              <w:jc w:val="right"/>
              <w:ind w:right="608"/>
              <w:spacing w:after="0"/>
              <w:rPr>
                <w:sz w:val="20"/>
                <w:szCs w:val="20"/>
                <w:color w:val="auto"/>
              </w:rPr>
            </w:pPr>
            <w:r>
              <w:rPr>
                <w:rFonts w:ascii="Arial" w:cs="Arial" w:eastAsia="Arial" w:hAnsi="Arial"/>
                <w:sz w:val="13"/>
                <w:szCs w:val="13"/>
                <w:color w:val="auto"/>
              </w:rPr>
              <w:t>9</w:t>
            </w:r>
          </w:p>
        </w:tc>
        <w:tc>
          <w:tcPr>
            <w:tcW w:w="90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4</w:t>
            </w:r>
          </w:p>
        </w:tc>
        <w:tc>
          <w:tcPr>
            <w:tcW w:w="94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rPr>
              <w:t>1</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20" w:type="dxa"/>
            <w:vAlign w:val="bottom"/>
          </w:tcPr>
          <w:p>
            <w:pPr>
              <w:ind w:left="140"/>
              <w:spacing w:after="0"/>
              <w:rPr>
                <w:sz w:val="20"/>
                <w:szCs w:val="20"/>
                <w:color w:val="auto"/>
              </w:rPr>
            </w:pPr>
            <w:r>
              <w:rPr>
                <w:rFonts w:ascii="Arial" w:cs="Arial" w:eastAsia="Arial" w:hAnsi="Arial"/>
                <w:sz w:val="13"/>
                <w:szCs w:val="13"/>
                <w:color w:val="auto"/>
              </w:rPr>
              <w:t>Retail/Services</w:t>
            </w:r>
          </w:p>
        </w:tc>
        <w:tc>
          <w:tcPr>
            <w:tcW w:w="200" w:type="dxa"/>
            <w:vAlign w:val="bottom"/>
          </w:tcPr>
          <w:p>
            <w:pPr>
              <w:spacing w:after="0"/>
              <w:rPr>
                <w:sz w:val="13"/>
                <w:szCs w:val="13"/>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3"/>
                <w:szCs w:val="13"/>
                <w:color w:val="auto"/>
              </w:rPr>
              <w:t>935</w:t>
            </w:r>
          </w:p>
        </w:tc>
        <w:tc>
          <w:tcPr>
            <w:tcW w:w="560" w:type="dxa"/>
            <w:vAlign w:val="bottom"/>
            <w:gridSpan w:val="2"/>
          </w:tcPr>
          <w:p>
            <w:pPr>
              <w:jc w:val="right"/>
              <w:ind w:right="320"/>
              <w:spacing w:after="0"/>
              <w:rPr>
                <w:sz w:val="20"/>
                <w:szCs w:val="20"/>
                <w:color w:val="auto"/>
              </w:rPr>
            </w:pPr>
            <w:r>
              <w:rPr>
                <w:rFonts w:ascii="Arial" w:cs="Arial" w:eastAsia="Arial" w:hAnsi="Arial"/>
                <w:sz w:val="13"/>
                <w:szCs w:val="13"/>
                <w:color w:val="auto"/>
              </w:rPr>
              <w:t>9</w:t>
            </w:r>
          </w:p>
        </w:tc>
        <w:tc>
          <w:tcPr>
            <w:tcW w:w="1220" w:type="dxa"/>
            <w:vAlign w:val="bottom"/>
            <w:gridSpan w:val="3"/>
          </w:tcPr>
          <w:p>
            <w:pPr>
              <w:jc w:val="right"/>
              <w:ind w:right="608"/>
              <w:spacing w:after="0"/>
              <w:rPr>
                <w:sz w:val="20"/>
                <w:szCs w:val="20"/>
                <w:color w:val="auto"/>
              </w:rPr>
            </w:pPr>
            <w:r>
              <w:rPr>
                <w:rFonts w:ascii="Arial" w:cs="Arial" w:eastAsia="Arial" w:hAnsi="Arial"/>
                <w:sz w:val="13"/>
                <w:szCs w:val="13"/>
                <w:color w:val="auto"/>
              </w:rPr>
              <w:t>10</w:t>
            </w:r>
          </w:p>
        </w:tc>
        <w:tc>
          <w:tcPr>
            <w:tcW w:w="900" w:type="dxa"/>
            <w:vAlign w:val="bottom"/>
            <w:gridSpan w:val="2"/>
          </w:tcPr>
          <w:p>
            <w:pPr>
              <w:jc w:val="right"/>
              <w:ind w:right="660"/>
              <w:spacing w:after="0"/>
              <w:rPr>
                <w:sz w:val="20"/>
                <w:szCs w:val="20"/>
                <w:color w:val="auto"/>
              </w:rPr>
            </w:pPr>
            <w:r>
              <w:rPr>
                <w:rFonts w:ascii="Arial" w:cs="Arial" w:eastAsia="Arial" w:hAnsi="Arial"/>
                <w:sz w:val="13"/>
                <w:szCs w:val="13"/>
                <w:color w:val="auto"/>
              </w:rPr>
              <w:t>4</w:t>
            </w:r>
          </w:p>
        </w:tc>
        <w:tc>
          <w:tcPr>
            <w:tcW w:w="940" w:type="dxa"/>
            <w:vAlign w:val="bottom"/>
            <w:gridSpan w:val="2"/>
          </w:tcPr>
          <w:p>
            <w:pPr>
              <w:jc w:val="right"/>
              <w:ind w:right="640"/>
              <w:spacing w:after="0"/>
              <w:rPr>
                <w:sz w:val="20"/>
                <w:szCs w:val="20"/>
                <w:color w:val="auto"/>
              </w:rPr>
            </w:pPr>
            <w:r>
              <w:rPr>
                <w:rFonts w:ascii="Arial" w:cs="Arial" w:eastAsia="Arial" w:hAnsi="Arial"/>
                <w:sz w:val="13"/>
                <w:szCs w:val="13"/>
                <w:color w:val="auto"/>
              </w:rPr>
              <w:t>1</w:t>
            </w: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Construction</w:t>
            </w:r>
          </w:p>
        </w:tc>
        <w:tc>
          <w:tcPr>
            <w:tcW w:w="2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800"/>
              <w:spacing w:after="0"/>
              <w:rPr>
                <w:sz w:val="20"/>
                <w:szCs w:val="20"/>
                <w:color w:val="auto"/>
              </w:rPr>
            </w:pPr>
            <w:r>
              <w:rPr>
                <w:rFonts w:ascii="Arial" w:cs="Arial" w:eastAsia="Arial" w:hAnsi="Arial"/>
                <w:sz w:val="13"/>
                <w:szCs w:val="13"/>
                <w:color w:val="auto"/>
              </w:rPr>
              <w:t>614</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w:t>
            </w:r>
          </w:p>
        </w:tc>
        <w:tc>
          <w:tcPr>
            <w:tcW w:w="1220" w:type="dxa"/>
            <w:vAlign w:val="bottom"/>
            <w:gridSpan w:val="3"/>
            <w:shd w:val="clear" w:color="auto" w:fill="CCEEFF"/>
          </w:tcPr>
          <w:p>
            <w:pPr>
              <w:jc w:val="right"/>
              <w:ind w:right="608"/>
              <w:spacing w:after="0"/>
              <w:rPr>
                <w:sz w:val="20"/>
                <w:szCs w:val="20"/>
                <w:color w:val="auto"/>
              </w:rPr>
            </w:pPr>
            <w:r>
              <w:rPr>
                <w:rFonts w:ascii="Arial" w:cs="Arial" w:eastAsia="Arial" w:hAnsi="Arial"/>
                <w:sz w:val="13"/>
                <w:szCs w:val="13"/>
                <w:color w:val="auto"/>
              </w:rPr>
              <w:t>5</w:t>
            </w:r>
          </w:p>
        </w:tc>
        <w:tc>
          <w:tcPr>
            <w:tcW w:w="90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3</w:t>
            </w:r>
          </w:p>
        </w:tc>
        <w:tc>
          <w:tcPr>
            <w:tcW w:w="94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rPr>
              <w:t>1</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20" w:type="dxa"/>
            <w:vAlign w:val="bottom"/>
          </w:tcPr>
          <w:p>
            <w:pPr>
              <w:ind w:left="140"/>
              <w:spacing w:after="0"/>
              <w:rPr>
                <w:sz w:val="20"/>
                <w:szCs w:val="20"/>
                <w:color w:val="auto"/>
              </w:rPr>
            </w:pPr>
            <w:r>
              <w:rPr>
                <w:rFonts w:ascii="Arial" w:cs="Arial" w:eastAsia="Arial" w:hAnsi="Arial"/>
                <w:sz w:val="13"/>
                <w:szCs w:val="13"/>
                <w:color w:val="auto"/>
              </w:rPr>
              <w:t>Industrial</w:t>
            </w:r>
          </w:p>
        </w:tc>
        <w:tc>
          <w:tcPr>
            <w:tcW w:w="200" w:type="dxa"/>
            <w:vAlign w:val="bottom"/>
          </w:tcPr>
          <w:p>
            <w:pPr>
              <w:spacing w:after="0"/>
              <w:rPr>
                <w:sz w:val="13"/>
                <w:szCs w:val="13"/>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3"/>
                <w:szCs w:val="13"/>
                <w:color w:val="auto"/>
              </w:rPr>
              <w:t>408</w:t>
            </w:r>
          </w:p>
        </w:tc>
        <w:tc>
          <w:tcPr>
            <w:tcW w:w="560" w:type="dxa"/>
            <w:vAlign w:val="bottom"/>
            <w:gridSpan w:val="2"/>
          </w:tcPr>
          <w:p>
            <w:pPr>
              <w:jc w:val="right"/>
              <w:ind w:right="320"/>
              <w:spacing w:after="0"/>
              <w:rPr>
                <w:sz w:val="20"/>
                <w:szCs w:val="20"/>
                <w:color w:val="auto"/>
              </w:rPr>
            </w:pPr>
            <w:r>
              <w:rPr>
                <w:rFonts w:ascii="Arial" w:cs="Arial" w:eastAsia="Arial" w:hAnsi="Arial"/>
                <w:sz w:val="13"/>
                <w:szCs w:val="13"/>
                <w:color w:val="auto"/>
              </w:rPr>
              <w:t>5</w:t>
            </w:r>
          </w:p>
        </w:tc>
        <w:tc>
          <w:tcPr>
            <w:tcW w:w="1220" w:type="dxa"/>
            <w:vAlign w:val="bottom"/>
            <w:gridSpan w:val="3"/>
          </w:tcPr>
          <w:p>
            <w:pPr>
              <w:jc w:val="right"/>
              <w:ind w:right="608"/>
              <w:spacing w:after="0"/>
              <w:rPr>
                <w:sz w:val="20"/>
                <w:szCs w:val="20"/>
                <w:color w:val="auto"/>
              </w:rPr>
            </w:pPr>
            <w:r>
              <w:rPr>
                <w:rFonts w:ascii="Arial" w:cs="Arial" w:eastAsia="Arial" w:hAnsi="Arial"/>
                <w:sz w:val="13"/>
                <w:szCs w:val="13"/>
                <w:color w:val="auto"/>
              </w:rPr>
              <w:t>5</w:t>
            </w:r>
          </w:p>
        </w:tc>
        <w:tc>
          <w:tcPr>
            <w:tcW w:w="900" w:type="dxa"/>
            <w:vAlign w:val="bottom"/>
            <w:gridSpan w:val="2"/>
          </w:tcPr>
          <w:p>
            <w:pPr>
              <w:jc w:val="right"/>
              <w:ind w:right="660"/>
              <w:spacing w:after="0"/>
              <w:rPr>
                <w:sz w:val="20"/>
                <w:szCs w:val="20"/>
                <w:color w:val="auto"/>
              </w:rPr>
            </w:pPr>
            <w:r>
              <w:rPr>
                <w:rFonts w:ascii="Arial" w:cs="Arial" w:eastAsia="Arial" w:hAnsi="Arial"/>
                <w:sz w:val="13"/>
                <w:szCs w:val="13"/>
                <w:color w:val="auto"/>
              </w:rPr>
              <w:t>1</w:t>
            </w:r>
          </w:p>
        </w:tc>
        <w:tc>
          <w:tcPr>
            <w:tcW w:w="940" w:type="dxa"/>
            <w:vAlign w:val="bottom"/>
            <w:gridSpan w:val="2"/>
          </w:tcPr>
          <w:p>
            <w:pPr>
              <w:jc w:val="right"/>
              <w:ind w:right="64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651</w:t>
            </w: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3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8"/>
              <w:spacing w:after="0"/>
              <w:rPr>
                <w:sz w:val="20"/>
                <w:szCs w:val="20"/>
                <w:color w:val="auto"/>
              </w:rPr>
            </w:pPr>
            <w:r>
              <w:rPr>
                <w:rFonts w:ascii="Arial" w:cs="Arial" w:eastAsia="Arial" w:hAnsi="Arial"/>
                <w:sz w:val="13"/>
                <w:szCs w:val="13"/>
                <w:color w:val="auto"/>
              </w:rPr>
              <w:t>6</w:t>
            </w:r>
          </w:p>
        </w:tc>
        <w:tc>
          <w:tcPr>
            <w:tcW w:w="90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2</w:t>
            </w:r>
          </w:p>
        </w:tc>
        <w:tc>
          <w:tcPr>
            <w:tcW w:w="94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rPr>
              <w:t>2</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20" w:type="dxa"/>
            <w:vAlign w:val="bottom"/>
            <w:vMerge w:val="restart"/>
          </w:tcPr>
          <w:p>
            <w:pPr>
              <w:ind w:left="280"/>
              <w:spacing w:after="0"/>
              <w:rPr>
                <w:sz w:val="20"/>
                <w:szCs w:val="20"/>
                <w:color w:val="auto"/>
              </w:rPr>
            </w:pPr>
            <w:r>
              <w:rPr>
                <w:rFonts w:ascii="Arial" w:cs="Arial" w:eastAsia="Arial" w:hAnsi="Arial"/>
                <w:sz w:val="13"/>
                <w:szCs w:val="13"/>
                <w:color w:val="auto"/>
              </w:rPr>
              <w:t>Total other New York State</w:t>
            </w: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5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3,782</w:t>
            </w:r>
          </w:p>
        </w:tc>
        <w:tc>
          <w:tcPr>
            <w:tcW w:w="80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31%</w:t>
            </w:r>
          </w:p>
        </w:tc>
        <w:tc>
          <w:tcPr>
            <w:tcW w:w="1220" w:type="dxa"/>
            <w:vAlign w:val="bottom"/>
            <w:gridSpan w:val="3"/>
          </w:tcPr>
          <w:p>
            <w:pPr>
              <w:jc w:val="right"/>
              <w:ind w:right="488"/>
              <w:spacing w:after="0"/>
              <w:rPr>
                <w:sz w:val="20"/>
                <w:szCs w:val="20"/>
                <w:color w:val="auto"/>
              </w:rPr>
            </w:pPr>
            <w:r>
              <w:rPr>
                <w:rFonts w:ascii="Arial" w:cs="Arial" w:eastAsia="Arial" w:hAnsi="Arial"/>
                <w:sz w:val="13"/>
                <w:szCs w:val="13"/>
                <w:color w:val="auto"/>
              </w:rPr>
              <w:t>38%</w:t>
            </w:r>
          </w:p>
        </w:tc>
        <w:tc>
          <w:tcPr>
            <w:tcW w:w="900" w:type="dxa"/>
            <w:vAlign w:val="bottom"/>
            <w:gridSpan w:val="2"/>
          </w:tcPr>
          <w:p>
            <w:pPr>
              <w:jc w:val="right"/>
              <w:ind w:right="540"/>
              <w:spacing w:after="0"/>
              <w:rPr>
                <w:sz w:val="20"/>
                <w:szCs w:val="20"/>
                <w:color w:val="auto"/>
              </w:rPr>
            </w:pPr>
            <w:r>
              <w:rPr>
                <w:rFonts w:ascii="Arial" w:cs="Arial" w:eastAsia="Arial" w:hAnsi="Arial"/>
                <w:sz w:val="13"/>
                <w:szCs w:val="13"/>
                <w:color w:val="auto"/>
              </w:rPr>
              <w:t>15%</w:t>
            </w:r>
          </w:p>
        </w:tc>
        <w:tc>
          <w:tcPr>
            <w:tcW w:w="940" w:type="dxa"/>
            <w:vAlign w:val="bottom"/>
            <w:gridSpan w:val="2"/>
          </w:tcPr>
          <w:p>
            <w:pPr>
              <w:jc w:val="right"/>
              <w:ind w:right="540"/>
              <w:spacing w:after="0"/>
              <w:rPr>
                <w:sz w:val="20"/>
                <w:szCs w:val="20"/>
                <w:color w:val="auto"/>
              </w:rPr>
            </w:pPr>
            <w:r>
              <w:rPr>
                <w:rFonts w:ascii="Arial" w:cs="Arial" w:eastAsia="Arial" w:hAnsi="Arial"/>
                <w:sz w:val="13"/>
                <w:szCs w:val="13"/>
                <w:color w:val="auto"/>
              </w:rPr>
              <w:t>6%</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3"/>
                <w:szCs w:val="13"/>
                <w:color w:val="auto"/>
              </w:rPr>
              <w:t>Pennsylvania</w:t>
            </w:r>
          </w:p>
        </w:tc>
        <w:tc>
          <w:tcPr>
            <w:tcW w:w="2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20" w:type="dxa"/>
            <w:vAlign w:val="bottom"/>
          </w:tcPr>
          <w:p>
            <w:pPr>
              <w:ind w:left="140"/>
              <w:spacing w:after="0"/>
              <w:rPr>
                <w:sz w:val="20"/>
                <w:szCs w:val="20"/>
                <w:color w:val="auto"/>
              </w:rPr>
            </w:pPr>
            <w:r>
              <w:rPr>
                <w:rFonts w:ascii="Arial" w:cs="Arial" w:eastAsia="Arial" w:hAnsi="Arial"/>
                <w:sz w:val="13"/>
                <w:szCs w:val="13"/>
                <w:color w:val="auto"/>
              </w:rPr>
              <w:t>Apartments/Multifamily</w:t>
            </w:r>
          </w:p>
        </w:tc>
        <w:tc>
          <w:tcPr>
            <w:tcW w:w="200" w:type="dxa"/>
            <w:vAlign w:val="bottom"/>
          </w:tcPr>
          <w:p>
            <w:pPr>
              <w:spacing w:after="0"/>
              <w:rPr>
                <w:sz w:val="13"/>
                <w:szCs w:val="13"/>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3"/>
                <w:szCs w:val="13"/>
                <w:color w:val="auto"/>
              </w:rPr>
              <w:t>265</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3%</w:t>
            </w:r>
          </w:p>
        </w:tc>
        <w:tc>
          <w:tcPr>
            <w:tcW w:w="1220" w:type="dxa"/>
            <w:vAlign w:val="bottom"/>
            <w:gridSpan w:val="3"/>
          </w:tcPr>
          <w:p>
            <w:pPr>
              <w:jc w:val="right"/>
              <w:ind w:right="488"/>
              <w:spacing w:after="0"/>
              <w:rPr>
                <w:sz w:val="20"/>
                <w:szCs w:val="20"/>
                <w:color w:val="auto"/>
              </w:rPr>
            </w:pPr>
            <w:r>
              <w:rPr>
                <w:rFonts w:ascii="Arial" w:cs="Arial" w:eastAsia="Arial" w:hAnsi="Arial"/>
                <w:sz w:val="13"/>
                <w:szCs w:val="13"/>
                <w:color w:val="auto"/>
              </w:rPr>
              <w:t>3%</w:t>
            </w:r>
          </w:p>
        </w:tc>
        <w:tc>
          <w:tcPr>
            <w:tcW w:w="900" w:type="dxa"/>
            <w:vAlign w:val="bottom"/>
            <w:gridSpan w:val="2"/>
          </w:tcPr>
          <w:p>
            <w:pPr>
              <w:jc w:val="right"/>
              <w:ind w:right="540"/>
              <w:spacing w:after="0"/>
              <w:rPr>
                <w:sz w:val="20"/>
                <w:szCs w:val="20"/>
                <w:color w:val="auto"/>
              </w:rPr>
            </w:pPr>
            <w:r>
              <w:rPr>
                <w:rFonts w:ascii="Arial" w:cs="Arial" w:eastAsia="Arial" w:hAnsi="Arial"/>
                <w:sz w:val="13"/>
                <w:szCs w:val="13"/>
                <w:color w:val="auto"/>
              </w:rPr>
              <w:t>1%</w:t>
            </w:r>
          </w:p>
        </w:tc>
        <w:tc>
          <w:tcPr>
            <w:tcW w:w="940" w:type="dxa"/>
            <w:vAlign w:val="bottom"/>
            <w:gridSpan w:val="2"/>
          </w:tcPr>
          <w:p>
            <w:pPr>
              <w:jc w:val="right"/>
              <w:ind w:right="540"/>
              <w:spacing w:after="0"/>
              <w:rPr>
                <w:sz w:val="20"/>
                <w:szCs w:val="20"/>
                <w:color w:val="auto"/>
              </w:rPr>
            </w:pPr>
            <w:r>
              <w:rPr>
                <w:rFonts w:ascii="Arial" w:cs="Arial" w:eastAsia="Arial" w:hAnsi="Arial"/>
                <w:sz w:val="13"/>
                <w:szCs w:val="13"/>
                <w:color w:val="auto"/>
              </w:rPr>
              <w:t>2%</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Office</w:t>
            </w:r>
          </w:p>
        </w:tc>
        <w:tc>
          <w:tcPr>
            <w:tcW w:w="2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800"/>
              <w:spacing w:after="0"/>
              <w:rPr>
                <w:sz w:val="20"/>
                <w:szCs w:val="20"/>
                <w:color w:val="auto"/>
              </w:rPr>
            </w:pPr>
            <w:r>
              <w:rPr>
                <w:rFonts w:ascii="Arial" w:cs="Arial" w:eastAsia="Arial" w:hAnsi="Arial"/>
                <w:sz w:val="13"/>
                <w:szCs w:val="13"/>
                <w:color w:val="auto"/>
              </w:rPr>
              <w:t>397</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6</w:t>
            </w:r>
          </w:p>
        </w:tc>
        <w:tc>
          <w:tcPr>
            <w:tcW w:w="1220" w:type="dxa"/>
            <w:vAlign w:val="bottom"/>
            <w:gridSpan w:val="3"/>
            <w:shd w:val="clear" w:color="auto" w:fill="CCEEFF"/>
          </w:tcPr>
          <w:p>
            <w:pPr>
              <w:jc w:val="right"/>
              <w:ind w:right="608"/>
              <w:spacing w:after="0"/>
              <w:rPr>
                <w:sz w:val="20"/>
                <w:szCs w:val="20"/>
                <w:color w:val="auto"/>
              </w:rPr>
            </w:pPr>
            <w:r>
              <w:rPr>
                <w:rFonts w:ascii="Arial" w:cs="Arial" w:eastAsia="Arial" w:hAnsi="Arial"/>
                <w:sz w:val="13"/>
                <w:szCs w:val="13"/>
                <w:color w:val="auto"/>
              </w:rPr>
              <w:t>5</w:t>
            </w:r>
          </w:p>
        </w:tc>
        <w:tc>
          <w:tcPr>
            <w:tcW w:w="90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2</w:t>
            </w:r>
          </w:p>
        </w:tc>
        <w:tc>
          <w:tcPr>
            <w:tcW w:w="94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rPr>
              <w:t>2</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20" w:type="dxa"/>
            <w:vAlign w:val="bottom"/>
          </w:tcPr>
          <w:p>
            <w:pPr>
              <w:ind w:left="140"/>
              <w:spacing w:after="0"/>
              <w:rPr>
                <w:sz w:val="20"/>
                <w:szCs w:val="20"/>
                <w:color w:val="auto"/>
              </w:rPr>
            </w:pPr>
            <w:r>
              <w:rPr>
                <w:rFonts w:ascii="Arial" w:cs="Arial" w:eastAsia="Arial" w:hAnsi="Arial"/>
                <w:sz w:val="13"/>
                <w:szCs w:val="13"/>
                <w:color w:val="auto"/>
              </w:rPr>
              <w:t>Retail/Services</w:t>
            </w:r>
          </w:p>
        </w:tc>
        <w:tc>
          <w:tcPr>
            <w:tcW w:w="200" w:type="dxa"/>
            <w:vAlign w:val="bottom"/>
          </w:tcPr>
          <w:p>
            <w:pPr>
              <w:spacing w:after="0"/>
              <w:rPr>
                <w:sz w:val="13"/>
                <w:szCs w:val="13"/>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3"/>
                <w:szCs w:val="13"/>
                <w:color w:val="auto"/>
              </w:rPr>
              <w:t>547</w:t>
            </w:r>
          </w:p>
        </w:tc>
        <w:tc>
          <w:tcPr>
            <w:tcW w:w="560" w:type="dxa"/>
            <w:vAlign w:val="bottom"/>
            <w:gridSpan w:val="2"/>
          </w:tcPr>
          <w:p>
            <w:pPr>
              <w:jc w:val="right"/>
              <w:ind w:right="320"/>
              <w:spacing w:after="0"/>
              <w:rPr>
                <w:sz w:val="20"/>
                <w:szCs w:val="20"/>
                <w:color w:val="auto"/>
              </w:rPr>
            </w:pPr>
            <w:r>
              <w:rPr>
                <w:rFonts w:ascii="Arial" w:cs="Arial" w:eastAsia="Arial" w:hAnsi="Arial"/>
                <w:sz w:val="13"/>
                <w:szCs w:val="13"/>
                <w:color w:val="auto"/>
              </w:rPr>
              <w:t>7</w:t>
            </w:r>
          </w:p>
        </w:tc>
        <w:tc>
          <w:tcPr>
            <w:tcW w:w="1220" w:type="dxa"/>
            <w:vAlign w:val="bottom"/>
            <w:gridSpan w:val="3"/>
          </w:tcPr>
          <w:p>
            <w:pPr>
              <w:jc w:val="right"/>
              <w:ind w:right="608"/>
              <w:spacing w:after="0"/>
              <w:rPr>
                <w:sz w:val="20"/>
                <w:szCs w:val="20"/>
                <w:color w:val="auto"/>
              </w:rPr>
            </w:pPr>
            <w:r>
              <w:rPr>
                <w:rFonts w:ascii="Arial" w:cs="Arial" w:eastAsia="Arial" w:hAnsi="Arial"/>
                <w:sz w:val="13"/>
                <w:szCs w:val="13"/>
                <w:color w:val="auto"/>
              </w:rPr>
              <w:t>9</w:t>
            </w:r>
          </w:p>
        </w:tc>
        <w:tc>
          <w:tcPr>
            <w:tcW w:w="900" w:type="dxa"/>
            <w:vAlign w:val="bottom"/>
            <w:gridSpan w:val="2"/>
          </w:tcPr>
          <w:p>
            <w:pPr>
              <w:jc w:val="right"/>
              <w:ind w:right="660"/>
              <w:spacing w:after="0"/>
              <w:rPr>
                <w:sz w:val="20"/>
                <w:szCs w:val="20"/>
                <w:color w:val="auto"/>
              </w:rPr>
            </w:pPr>
            <w:r>
              <w:rPr>
                <w:rFonts w:ascii="Arial" w:cs="Arial" w:eastAsia="Arial" w:hAnsi="Arial"/>
                <w:sz w:val="13"/>
                <w:szCs w:val="13"/>
                <w:color w:val="auto"/>
              </w:rPr>
              <w:t>2</w:t>
            </w:r>
          </w:p>
        </w:tc>
        <w:tc>
          <w:tcPr>
            <w:tcW w:w="940" w:type="dxa"/>
            <w:vAlign w:val="bottom"/>
            <w:gridSpan w:val="2"/>
          </w:tcPr>
          <w:p>
            <w:pPr>
              <w:jc w:val="right"/>
              <w:ind w:right="640"/>
              <w:spacing w:after="0"/>
              <w:rPr>
                <w:sz w:val="20"/>
                <w:szCs w:val="20"/>
                <w:color w:val="auto"/>
              </w:rPr>
            </w:pPr>
            <w:r>
              <w:rPr>
                <w:rFonts w:ascii="Arial" w:cs="Arial" w:eastAsia="Arial" w:hAnsi="Arial"/>
                <w:sz w:val="13"/>
                <w:szCs w:val="13"/>
                <w:color w:val="auto"/>
              </w:rPr>
              <w:t>2</w:t>
            </w: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Construction</w:t>
            </w:r>
          </w:p>
        </w:tc>
        <w:tc>
          <w:tcPr>
            <w:tcW w:w="2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800"/>
              <w:spacing w:after="0"/>
              <w:rPr>
                <w:sz w:val="20"/>
                <w:szCs w:val="20"/>
                <w:color w:val="auto"/>
              </w:rPr>
            </w:pPr>
            <w:r>
              <w:rPr>
                <w:rFonts w:ascii="Arial" w:cs="Arial" w:eastAsia="Arial" w:hAnsi="Arial"/>
                <w:sz w:val="13"/>
                <w:szCs w:val="13"/>
                <w:color w:val="auto"/>
              </w:rPr>
              <w:t>286</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w:t>
            </w:r>
          </w:p>
        </w:tc>
        <w:tc>
          <w:tcPr>
            <w:tcW w:w="1220" w:type="dxa"/>
            <w:vAlign w:val="bottom"/>
            <w:gridSpan w:val="3"/>
            <w:shd w:val="clear" w:color="auto" w:fill="CCEEFF"/>
          </w:tcPr>
          <w:p>
            <w:pPr>
              <w:jc w:val="right"/>
              <w:ind w:right="608"/>
              <w:spacing w:after="0"/>
              <w:rPr>
                <w:sz w:val="20"/>
                <w:szCs w:val="20"/>
                <w:color w:val="auto"/>
              </w:rPr>
            </w:pPr>
            <w:r>
              <w:rPr>
                <w:rFonts w:ascii="Arial" w:cs="Arial" w:eastAsia="Arial" w:hAnsi="Arial"/>
                <w:sz w:val="13"/>
                <w:szCs w:val="13"/>
                <w:color w:val="auto"/>
              </w:rPr>
              <w:t>5</w:t>
            </w:r>
          </w:p>
        </w:tc>
        <w:tc>
          <w:tcPr>
            <w:tcW w:w="90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3</w:t>
            </w:r>
          </w:p>
        </w:tc>
        <w:tc>
          <w:tcPr>
            <w:tcW w:w="94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rPr>
              <w:t>1</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20" w:type="dxa"/>
            <w:vAlign w:val="bottom"/>
          </w:tcPr>
          <w:p>
            <w:pPr>
              <w:ind w:left="140"/>
              <w:spacing w:after="0"/>
              <w:rPr>
                <w:sz w:val="20"/>
                <w:szCs w:val="20"/>
                <w:color w:val="auto"/>
              </w:rPr>
            </w:pPr>
            <w:r>
              <w:rPr>
                <w:rFonts w:ascii="Arial" w:cs="Arial" w:eastAsia="Arial" w:hAnsi="Arial"/>
                <w:sz w:val="13"/>
                <w:szCs w:val="13"/>
                <w:color w:val="auto"/>
              </w:rPr>
              <w:t>Industrial</w:t>
            </w:r>
          </w:p>
        </w:tc>
        <w:tc>
          <w:tcPr>
            <w:tcW w:w="200" w:type="dxa"/>
            <w:vAlign w:val="bottom"/>
          </w:tcPr>
          <w:p>
            <w:pPr>
              <w:spacing w:after="0"/>
              <w:rPr>
                <w:sz w:val="13"/>
                <w:szCs w:val="13"/>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3"/>
                <w:szCs w:val="13"/>
                <w:color w:val="auto"/>
              </w:rPr>
              <w:t>366</w:t>
            </w:r>
          </w:p>
        </w:tc>
        <w:tc>
          <w:tcPr>
            <w:tcW w:w="560" w:type="dxa"/>
            <w:vAlign w:val="bottom"/>
            <w:gridSpan w:val="2"/>
          </w:tcPr>
          <w:p>
            <w:pPr>
              <w:jc w:val="right"/>
              <w:ind w:right="320"/>
              <w:spacing w:after="0"/>
              <w:rPr>
                <w:sz w:val="20"/>
                <w:szCs w:val="20"/>
                <w:color w:val="auto"/>
              </w:rPr>
            </w:pPr>
            <w:r>
              <w:rPr>
                <w:rFonts w:ascii="Arial" w:cs="Arial" w:eastAsia="Arial" w:hAnsi="Arial"/>
                <w:sz w:val="13"/>
                <w:szCs w:val="13"/>
                <w:color w:val="auto"/>
              </w:rPr>
              <w:t>4</w:t>
            </w:r>
          </w:p>
        </w:tc>
        <w:tc>
          <w:tcPr>
            <w:tcW w:w="1220" w:type="dxa"/>
            <w:vAlign w:val="bottom"/>
            <w:gridSpan w:val="3"/>
          </w:tcPr>
          <w:p>
            <w:pPr>
              <w:jc w:val="right"/>
              <w:ind w:right="608"/>
              <w:spacing w:after="0"/>
              <w:rPr>
                <w:sz w:val="20"/>
                <w:szCs w:val="20"/>
                <w:color w:val="auto"/>
              </w:rPr>
            </w:pPr>
            <w:r>
              <w:rPr>
                <w:rFonts w:ascii="Arial" w:cs="Arial" w:eastAsia="Arial" w:hAnsi="Arial"/>
                <w:sz w:val="13"/>
                <w:szCs w:val="13"/>
                <w:color w:val="auto"/>
              </w:rPr>
              <w:t>6</w:t>
            </w:r>
          </w:p>
        </w:tc>
        <w:tc>
          <w:tcPr>
            <w:tcW w:w="900" w:type="dxa"/>
            <w:vAlign w:val="bottom"/>
            <w:gridSpan w:val="2"/>
          </w:tcPr>
          <w:p>
            <w:pPr>
              <w:jc w:val="right"/>
              <w:ind w:right="660"/>
              <w:spacing w:after="0"/>
              <w:rPr>
                <w:sz w:val="20"/>
                <w:szCs w:val="20"/>
                <w:color w:val="auto"/>
              </w:rPr>
            </w:pPr>
            <w:r>
              <w:rPr>
                <w:rFonts w:ascii="Arial" w:cs="Arial" w:eastAsia="Arial" w:hAnsi="Arial"/>
                <w:sz w:val="13"/>
                <w:szCs w:val="13"/>
                <w:color w:val="auto"/>
              </w:rPr>
              <w:t>2</w:t>
            </w:r>
          </w:p>
        </w:tc>
        <w:tc>
          <w:tcPr>
            <w:tcW w:w="940" w:type="dxa"/>
            <w:vAlign w:val="bottom"/>
            <w:gridSpan w:val="2"/>
          </w:tcPr>
          <w:p>
            <w:pPr>
              <w:jc w:val="right"/>
              <w:ind w:right="64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746</w:t>
            </w: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3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8"/>
              <w:spacing w:after="0"/>
              <w:rPr>
                <w:sz w:val="20"/>
                <w:szCs w:val="20"/>
                <w:color w:val="auto"/>
              </w:rPr>
            </w:pPr>
            <w:r>
              <w:rPr>
                <w:rFonts w:ascii="Arial" w:cs="Arial" w:eastAsia="Arial" w:hAnsi="Arial"/>
                <w:sz w:val="13"/>
                <w:szCs w:val="13"/>
                <w:color w:val="auto"/>
              </w:rPr>
              <w:t>11</w:t>
            </w:r>
          </w:p>
        </w:tc>
        <w:tc>
          <w:tcPr>
            <w:tcW w:w="90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2</w:t>
            </w:r>
          </w:p>
        </w:tc>
        <w:tc>
          <w:tcPr>
            <w:tcW w:w="94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20" w:type="dxa"/>
            <w:vAlign w:val="bottom"/>
            <w:vMerge w:val="restart"/>
          </w:tcPr>
          <w:p>
            <w:pPr>
              <w:ind w:left="280"/>
              <w:spacing w:after="0"/>
              <w:rPr>
                <w:sz w:val="20"/>
                <w:szCs w:val="20"/>
                <w:color w:val="auto"/>
              </w:rPr>
            </w:pPr>
            <w:r>
              <w:rPr>
                <w:rFonts w:ascii="Arial" w:cs="Arial" w:eastAsia="Arial" w:hAnsi="Arial"/>
                <w:sz w:val="13"/>
                <w:szCs w:val="13"/>
                <w:color w:val="auto"/>
              </w:rPr>
              <w:t>Total Pennsylvania</w:t>
            </w: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5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2,607</w:t>
            </w:r>
          </w:p>
        </w:tc>
        <w:tc>
          <w:tcPr>
            <w:tcW w:w="80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37%</w:t>
            </w:r>
          </w:p>
        </w:tc>
        <w:tc>
          <w:tcPr>
            <w:tcW w:w="1220" w:type="dxa"/>
            <w:vAlign w:val="bottom"/>
            <w:gridSpan w:val="3"/>
          </w:tcPr>
          <w:p>
            <w:pPr>
              <w:jc w:val="right"/>
              <w:ind w:right="488"/>
              <w:spacing w:after="0"/>
              <w:rPr>
                <w:sz w:val="20"/>
                <w:szCs w:val="20"/>
                <w:color w:val="auto"/>
              </w:rPr>
            </w:pPr>
            <w:r>
              <w:rPr>
                <w:rFonts w:ascii="Arial" w:cs="Arial" w:eastAsia="Arial" w:hAnsi="Arial"/>
                <w:sz w:val="13"/>
                <w:szCs w:val="13"/>
                <w:color w:val="auto"/>
              </w:rPr>
              <w:t>39%</w:t>
            </w:r>
          </w:p>
        </w:tc>
        <w:tc>
          <w:tcPr>
            <w:tcW w:w="900" w:type="dxa"/>
            <w:vAlign w:val="bottom"/>
            <w:gridSpan w:val="2"/>
          </w:tcPr>
          <w:p>
            <w:pPr>
              <w:jc w:val="right"/>
              <w:ind w:right="540"/>
              <w:spacing w:after="0"/>
              <w:rPr>
                <w:sz w:val="20"/>
                <w:szCs w:val="20"/>
                <w:color w:val="auto"/>
              </w:rPr>
            </w:pPr>
            <w:r>
              <w:rPr>
                <w:rFonts w:ascii="Arial" w:cs="Arial" w:eastAsia="Arial" w:hAnsi="Arial"/>
                <w:sz w:val="13"/>
                <w:szCs w:val="13"/>
                <w:color w:val="auto"/>
              </w:rPr>
              <w:t>12%</w:t>
            </w:r>
          </w:p>
        </w:tc>
        <w:tc>
          <w:tcPr>
            <w:tcW w:w="940" w:type="dxa"/>
            <w:vAlign w:val="bottom"/>
            <w:gridSpan w:val="2"/>
          </w:tcPr>
          <w:p>
            <w:pPr>
              <w:jc w:val="right"/>
              <w:ind w:right="540"/>
              <w:spacing w:after="0"/>
              <w:rPr>
                <w:sz w:val="20"/>
                <w:szCs w:val="20"/>
                <w:color w:val="auto"/>
              </w:rPr>
            </w:pPr>
            <w:r>
              <w:rPr>
                <w:rFonts w:ascii="Arial" w:cs="Arial" w:eastAsia="Arial" w:hAnsi="Arial"/>
                <w:sz w:val="13"/>
                <w:szCs w:val="13"/>
                <w:color w:val="auto"/>
              </w:rPr>
              <w:t>7%</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3"/>
                <w:szCs w:val="13"/>
                <w:color w:val="auto"/>
              </w:rPr>
              <w:t>Maryland</w:t>
            </w:r>
          </w:p>
        </w:tc>
        <w:tc>
          <w:tcPr>
            <w:tcW w:w="2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20" w:type="dxa"/>
            <w:vAlign w:val="bottom"/>
          </w:tcPr>
          <w:p>
            <w:pPr>
              <w:ind w:left="140"/>
              <w:spacing w:after="0"/>
              <w:rPr>
                <w:sz w:val="20"/>
                <w:szCs w:val="20"/>
                <w:color w:val="auto"/>
              </w:rPr>
            </w:pPr>
            <w:r>
              <w:rPr>
                <w:rFonts w:ascii="Arial" w:cs="Arial" w:eastAsia="Arial" w:hAnsi="Arial"/>
                <w:sz w:val="13"/>
                <w:szCs w:val="13"/>
                <w:color w:val="auto"/>
              </w:rPr>
              <w:t>Apartments/Multifamily</w:t>
            </w:r>
          </w:p>
        </w:tc>
        <w:tc>
          <w:tcPr>
            <w:tcW w:w="200" w:type="dxa"/>
            <w:vAlign w:val="bottom"/>
          </w:tcPr>
          <w:p>
            <w:pPr>
              <w:spacing w:after="0"/>
              <w:rPr>
                <w:sz w:val="13"/>
                <w:szCs w:val="13"/>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3"/>
                <w:szCs w:val="13"/>
                <w:color w:val="auto"/>
              </w:rPr>
              <w:t>31</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1%</w:t>
            </w:r>
          </w:p>
        </w:tc>
        <w:tc>
          <w:tcPr>
            <w:tcW w:w="1220" w:type="dxa"/>
            <w:vAlign w:val="bottom"/>
            <w:gridSpan w:val="3"/>
          </w:tcPr>
          <w:p>
            <w:pPr>
              <w:jc w:val="right"/>
              <w:ind w:right="488"/>
              <w:spacing w:after="0"/>
              <w:rPr>
                <w:sz w:val="20"/>
                <w:szCs w:val="20"/>
                <w:color w:val="auto"/>
              </w:rPr>
            </w:pPr>
            <w:r>
              <w:rPr>
                <w:rFonts w:ascii="Arial" w:cs="Arial" w:eastAsia="Arial" w:hAnsi="Arial"/>
                <w:sz w:val="13"/>
                <w:szCs w:val="13"/>
                <w:color w:val="auto"/>
              </w:rPr>
              <w:t>1%</w:t>
            </w:r>
          </w:p>
        </w:tc>
        <w:tc>
          <w:tcPr>
            <w:tcW w:w="900" w:type="dxa"/>
            <w:vAlign w:val="bottom"/>
            <w:gridSpan w:val="2"/>
          </w:tcPr>
          <w:p>
            <w:pPr>
              <w:jc w:val="right"/>
              <w:ind w:right="54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540"/>
              <w:spacing w:after="0"/>
              <w:rPr>
                <w:sz w:val="20"/>
                <w:szCs w:val="20"/>
                <w:color w:val="auto"/>
              </w:rPr>
            </w:pPr>
            <w:r>
              <w:rPr>
                <w:rFonts w:ascii="Arial" w:cs="Arial" w:eastAsia="Arial" w:hAnsi="Arial"/>
                <w:sz w:val="13"/>
                <w:szCs w:val="13"/>
                <w:color w:val="auto"/>
              </w:rPr>
              <w:t>—%</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Office</w:t>
            </w:r>
          </w:p>
        </w:tc>
        <w:tc>
          <w:tcPr>
            <w:tcW w:w="2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800"/>
              <w:spacing w:after="0"/>
              <w:rPr>
                <w:sz w:val="20"/>
                <w:szCs w:val="20"/>
                <w:color w:val="auto"/>
              </w:rPr>
            </w:pPr>
            <w:r>
              <w:rPr>
                <w:rFonts w:ascii="Arial" w:cs="Arial" w:eastAsia="Arial" w:hAnsi="Arial"/>
                <w:sz w:val="13"/>
                <w:szCs w:val="13"/>
                <w:color w:val="auto"/>
              </w:rPr>
              <w:t>390</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8</w:t>
            </w:r>
          </w:p>
        </w:tc>
        <w:tc>
          <w:tcPr>
            <w:tcW w:w="1220" w:type="dxa"/>
            <w:vAlign w:val="bottom"/>
            <w:gridSpan w:val="3"/>
            <w:shd w:val="clear" w:color="auto" w:fill="CCEEFF"/>
          </w:tcPr>
          <w:p>
            <w:pPr>
              <w:jc w:val="right"/>
              <w:ind w:right="608"/>
              <w:spacing w:after="0"/>
              <w:rPr>
                <w:sz w:val="20"/>
                <w:szCs w:val="20"/>
                <w:color w:val="auto"/>
              </w:rPr>
            </w:pPr>
            <w:r>
              <w:rPr>
                <w:rFonts w:ascii="Arial" w:cs="Arial" w:eastAsia="Arial" w:hAnsi="Arial"/>
                <w:sz w:val="13"/>
                <w:szCs w:val="13"/>
                <w:color w:val="auto"/>
              </w:rPr>
              <w:t>7</w:t>
            </w:r>
          </w:p>
        </w:tc>
        <w:tc>
          <w:tcPr>
            <w:tcW w:w="90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4</w:t>
            </w:r>
          </w:p>
        </w:tc>
        <w:tc>
          <w:tcPr>
            <w:tcW w:w="94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20" w:type="dxa"/>
            <w:vAlign w:val="bottom"/>
          </w:tcPr>
          <w:p>
            <w:pPr>
              <w:ind w:left="140"/>
              <w:spacing w:after="0"/>
              <w:rPr>
                <w:sz w:val="20"/>
                <w:szCs w:val="20"/>
                <w:color w:val="auto"/>
              </w:rPr>
            </w:pPr>
            <w:r>
              <w:rPr>
                <w:rFonts w:ascii="Arial" w:cs="Arial" w:eastAsia="Arial" w:hAnsi="Arial"/>
                <w:sz w:val="13"/>
                <w:szCs w:val="13"/>
                <w:color w:val="auto"/>
              </w:rPr>
              <w:t>Retail/Services</w:t>
            </w:r>
          </w:p>
        </w:tc>
        <w:tc>
          <w:tcPr>
            <w:tcW w:w="200" w:type="dxa"/>
            <w:vAlign w:val="bottom"/>
          </w:tcPr>
          <w:p>
            <w:pPr>
              <w:spacing w:after="0"/>
              <w:rPr>
                <w:sz w:val="13"/>
                <w:szCs w:val="13"/>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3"/>
                <w:szCs w:val="13"/>
                <w:color w:val="auto"/>
              </w:rPr>
              <w:t>219</w:t>
            </w:r>
          </w:p>
        </w:tc>
        <w:tc>
          <w:tcPr>
            <w:tcW w:w="560" w:type="dxa"/>
            <w:vAlign w:val="bottom"/>
            <w:gridSpan w:val="2"/>
          </w:tcPr>
          <w:p>
            <w:pPr>
              <w:jc w:val="right"/>
              <w:ind w:right="320"/>
              <w:spacing w:after="0"/>
              <w:rPr>
                <w:sz w:val="20"/>
                <w:szCs w:val="20"/>
                <w:color w:val="auto"/>
              </w:rPr>
            </w:pPr>
            <w:r>
              <w:rPr>
                <w:rFonts w:ascii="Arial" w:cs="Arial" w:eastAsia="Arial" w:hAnsi="Arial"/>
                <w:sz w:val="13"/>
                <w:szCs w:val="13"/>
                <w:color w:val="auto"/>
              </w:rPr>
              <w:t>4</w:t>
            </w:r>
          </w:p>
        </w:tc>
        <w:tc>
          <w:tcPr>
            <w:tcW w:w="1220" w:type="dxa"/>
            <w:vAlign w:val="bottom"/>
            <w:gridSpan w:val="3"/>
          </w:tcPr>
          <w:p>
            <w:pPr>
              <w:jc w:val="right"/>
              <w:ind w:right="608"/>
              <w:spacing w:after="0"/>
              <w:rPr>
                <w:sz w:val="20"/>
                <w:szCs w:val="20"/>
                <w:color w:val="auto"/>
              </w:rPr>
            </w:pPr>
            <w:r>
              <w:rPr>
                <w:rFonts w:ascii="Arial" w:cs="Arial" w:eastAsia="Arial" w:hAnsi="Arial"/>
                <w:sz w:val="13"/>
                <w:szCs w:val="13"/>
                <w:color w:val="auto"/>
              </w:rPr>
              <w:t>3</w:t>
            </w:r>
          </w:p>
        </w:tc>
        <w:tc>
          <w:tcPr>
            <w:tcW w:w="900" w:type="dxa"/>
            <w:vAlign w:val="bottom"/>
            <w:gridSpan w:val="2"/>
          </w:tcPr>
          <w:p>
            <w:pPr>
              <w:jc w:val="right"/>
              <w:ind w:right="660"/>
              <w:spacing w:after="0"/>
              <w:rPr>
                <w:sz w:val="20"/>
                <w:szCs w:val="20"/>
                <w:color w:val="auto"/>
              </w:rPr>
            </w:pPr>
            <w:r>
              <w:rPr>
                <w:rFonts w:ascii="Arial" w:cs="Arial" w:eastAsia="Arial" w:hAnsi="Arial"/>
                <w:sz w:val="13"/>
                <w:szCs w:val="13"/>
                <w:color w:val="auto"/>
              </w:rPr>
              <w:t>3</w:t>
            </w:r>
          </w:p>
        </w:tc>
        <w:tc>
          <w:tcPr>
            <w:tcW w:w="940" w:type="dxa"/>
            <w:vAlign w:val="bottom"/>
            <w:gridSpan w:val="2"/>
          </w:tcPr>
          <w:p>
            <w:pPr>
              <w:jc w:val="right"/>
              <w:ind w:right="640"/>
              <w:spacing w:after="0"/>
              <w:rPr>
                <w:sz w:val="20"/>
                <w:szCs w:val="20"/>
                <w:color w:val="auto"/>
              </w:rPr>
            </w:pPr>
            <w:r>
              <w:rPr>
                <w:rFonts w:ascii="Arial" w:cs="Arial" w:eastAsia="Arial" w:hAnsi="Arial"/>
                <w:sz w:val="13"/>
                <w:szCs w:val="13"/>
                <w:color w:val="auto"/>
              </w:rPr>
              <w:t>1</w:t>
            </w: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Construction</w:t>
            </w:r>
          </w:p>
        </w:tc>
        <w:tc>
          <w:tcPr>
            <w:tcW w:w="2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800"/>
              <w:spacing w:after="0"/>
              <w:rPr>
                <w:sz w:val="20"/>
                <w:szCs w:val="20"/>
                <w:color w:val="auto"/>
              </w:rPr>
            </w:pPr>
            <w:r>
              <w:rPr>
                <w:rFonts w:ascii="Arial" w:cs="Arial" w:eastAsia="Arial" w:hAnsi="Arial"/>
                <w:sz w:val="13"/>
                <w:szCs w:val="13"/>
                <w:color w:val="auto"/>
              </w:rPr>
              <w:t>585</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w:t>
            </w:r>
          </w:p>
        </w:tc>
        <w:tc>
          <w:tcPr>
            <w:tcW w:w="1220" w:type="dxa"/>
            <w:vAlign w:val="bottom"/>
            <w:gridSpan w:val="3"/>
            <w:shd w:val="clear" w:color="auto" w:fill="CCEEFF"/>
          </w:tcPr>
          <w:p>
            <w:pPr>
              <w:jc w:val="right"/>
              <w:ind w:right="608"/>
              <w:spacing w:after="0"/>
              <w:rPr>
                <w:sz w:val="20"/>
                <w:szCs w:val="20"/>
                <w:color w:val="auto"/>
              </w:rPr>
            </w:pPr>
            <w:r>
              <w:rPr>
                <w:rFonts w:ascii="Arial" w:cs="Arial" w:eastAsia="Arial" w:hAnsi="Arial"/>
                <w:sz w:val="13"/>
                <w:szCs w:val="13"/>
                <w:color w:val="auto"/>
              </w:rPr>
              <w:t>8</w:t>
            </w:r>
          </w:p>
        </w:tc>
        <w:tc>
          <w:tcPr>
            <w:tcW w:w="90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10</w:t>
            </w:r>
          </w:p>
        </w:tc>
        <w:tc>
          <w:tcPr>
            <w:tcW w:w="94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rPr>
              <w:t>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20" w:type="dxa"/>
            <w:vAlign w:val="bottom"/>
          </w:tcPr>
          <w:p>
            <w:pPr>
              <w:ind w:left="140"/>
              <w:spacing w:after="0"/>
              <w:rPr>
                <w:sz w:val="20"/>
                <w:szCs w:val="20"/>
                <w:color w:val="auto"/>
              </w:rPr>
            </w:pPr>
            <w:r>
              <w:rPr>
                <w:rFonts w:ascii="Arial" w:cs="Arial" w:eastAsia="Arial" w:hAnsi="Arial"/>
                <w:sz w:val="13"/>
                <w:szCs w:val="13"/>
                <w:color w:val="auto"/>
              </w:rPr>
              <w:t>Industrial</w:t>
            </w:r>
          </w:p>
        </w:tc>
        <w:tc>
          <w:tcPr>
            <w:tcW w:w="200" w:type="dxa"/>
            <w:vAlign w:val="bottom"/>
          </w:tcPr>
          <w:p>
            <w:pPr>
              <w:spacing w:after="0"/>
              <w:rPr>
                <w:sz w:val="13"/>
                <w:szCs w:val="13"/>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3"/>
                <w:szCs w:val="13"/>
                <w:color w:val="auto"/>
              </w:rPr>
              <w:t>190</w:t>
            </w:r>
          </w:p>
        </w:tc>
        <w:tc>
          <w:tcPr>
            <w:tcW w:w="560" w:type="dxa"/>
            <w:vAlign w:val="bottom"/>
            <w:gridSpan w:val="2"/>
          </w:tcPr>
          <w:p>
            <w:pPr>
              <w:jc w:val="right"/>
              <w:ind w:right="320"/>
              <w:spacing w:after="0"/>
              <w:rPr>
                <w:sz w:val="20"/>
                <w:szCs w:val="20"/>
                <w:color w:val="auto"/>
              </w:rPr>
            </w:pPr>
            <w:r>
              <w:rPr>
                <w:rFonts w:ascii="Arial" w:cs="Arial" w:eastAsia="Arial" w:hAnsi="Arial"/>
                <w:sz w:val="13"/>
                <w:szCs w:val="13"/>
                <w:color w:val="auto"/>
              </w:rPr>
              <w:t>3</w:t>
            </w:r>
          </w:p>
        </w:tc>
        <w:tc>
          <w:tcPr>
            <w:tcW w:w="1220" w:type="dxa"/>
            <w:vAlign w:val="bottom"/>
            <w:gridSpan w:val="3"/>
          </w:tcPr>
          <w:p>
            <w:pPr>
              <w:jc w:val="right"/>
              <w:ind w:right="608"/>
              <w:spacing w:after="0"/>
              <w:rPr>
                <w:sz w:val="20"/>
                <w:szCs w:val="20"/>
                <w:color w:val="auto"/>
              </w:rPr>
            </w:pPr>
            <w:r>
              <w:rPr>
                <w:rFonts w:ascii="Arial" w:cs="Arial" w:eastAsia="Arial" w:hAnsi="Arial"/>
                <w:sz w:val="13"/>
                <w:szCs w:val="13"/>
                <w:color w:val="auto"/>
              </w:rPr>
              <w:t>5</w:t>
            </w:r>
          </w:p>
        </w:tc>
        <w:tc>
          <w:tcPr>
            <w:tcW w:w="900" w:type="dxa"/>
            <w:vAlign w:val="bottom"/>
            <w:gridSpan w:val="2"/>
          </w:tcPr>
          <w:p>
            <w:pPr>
              <w:jc w:val="right"/>
              <w:ind w:right="660"/>
              <w:spacing w:after="0"/>
              <w:rPr>
                <w:sz w:val="20"/>
                <w:szCs w:val="20"/>
                <w:color w:val="auto"/>
              </w:rPr>
            </w:pPr>
            <w:r>
              <w:rPr>
                <w:rFonts w:ascii="Arial" w:cs="Arial" w:eastAsia="Arial" w:hAnsi="Arial"/>
                <w:sz w:val="13"/>
                <w:szCs w:val="13"/>
                <w:color w:val="auto"/>
              </w:rPr>
              <w:t>1</w:t>
            </w:r>
          </w:p>
        </w:tc>
        <w:tc>
          <w:tcPr>
            <w:tcW w:w="940" w:type="dxa"/>
            <w:vAlign w:val="bottom"/>
            <w:gridSpan w:val="2"/>
          </w:tcPr>
          <w:p>
            <w:pPr>
              <w:jc w:val="right"/>
              <w:ind w:right="640"/>
              <w:spacing w:after="0"/>
              <w:rPr>
                <w:sz w:val="20"/>
                <w:szCs w:val="20"/>
                <w:color w:val="auto"/>
              </w:rPr>
            </w:pPr>
            <w:r>
              <w:rPr>
                <w:rFonts w:ascii="Arial" w:cs="Arial" w:eastAsia="Arial" w:hAnsi="Arial"/>
                <w:sz w:val="13"/>
                <w:szCs w:val="13"/>
                <w:color w:val="auto"/>
              </w:rPr>
              <w:t>1</w:t>
            </w: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w:t>
            </w: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3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8"/>
              <w:spacing w:after="0"/>
              <w:rPr>
                <w:sz w:val="20"/>
                <w:szCs w:val="20"/>
                <w:color w:val="auto"/>
              </w:rPr>
            </w:pPr>
            <w:r>
              <w:rPr>
                <w:rFonts w:ascii="Arial" w:cs="Arial" w:eastAsia="Arial" w:hAnsi="Arial"/>
                <w:sz w:val="13"/>
                <w:szCs w:val="13"/>
                <w:color w:val="auto"/>
              </w:rPr>
              <w:t>7</w:t>
            </w:r>
          </w:p>
        </w:tc>
        <w:tc>
          <w:tcPr>
            <w:tcW w:w="90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2</w:t>
            </w:r>
          </w:p>
        </w:tc>
        <w:tc>
          <w:tcPr>
            <w:tcW w:w="94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rPr>
              <w:t>1</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20" w:type="dxa"/>
            <w:vAlign w:val="bottom"/>
            <w:vMerge w:val="restart"/>
          </w:tcPr>
          <w:p>
            <w:pPr>
              <w:ind w:left="280"/>
              <w:spacing w:after="0"/>
              <w:rPr>
                <w:sz w:val="20"/>
                <w:szCs w:val="20"/>
                <w:color w:val="auto"/>
              </w:rPr>
            </w:pPr>
            <w:r>
              <w:rPr>
                <w:rFonts w:ascii="Arial" w:cs="Arial" w:eastAsia="Arial" w:hAnsi="Arial"/>
                <w:sz w:val="13"/>
                <w:szCs w:val="13"/>
                <w:color w:val="auto"/>
              </w:rPr>
              <w:t>Total Maryland</w:t>
            </w: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5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1,816</w:t>
            </w:r>
          </w:p>
        </w:tc>
        <w:tc>
          <w:tcPr>
            <w:tcW w:w="80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26%</w:t>
            </w:r>
          </w:p>
        </w:tc>
        <w:tc>
          <w:tcPr>
            <w:tcW w:w="1220" w:type="dxa"/>
            <w:vAlign w:val="bottom"/>
            <w:gridSpan w:val="3"/>
          </w:tcPr>
          <w:p>
            <w:pPr>
              <w:jc w:val="right"/>
              <w:ind w:right="488"/>
              <w:spacing w:after="0"/>
              <w:rPr>
                <w:sz w:val="20"/>
                <w:szCs w:val="20"/>
                <w:color w:val="auto"/>
              </w:rPr>
            </w:pPr>
            <w:r>
              <w:rPr>
                <w:rFonts w:ascii="Arial" w:cs="Arial" w:eastAsia="Arial" w:hAnsi="Arial"/>
                <w:sz w:val="13"/>
                <w:szCs w:val="13"/>
                <w:color w:val="auto"/>
              </w:rPr>
              <w:t>31%</w:t>
            </w:r>
          </w:p>
        </w:tc>
        <w:tc>
          <w:tcPr>
            <w:tcW w:w="900" w:type="dxa"/>
            <w:vAlign w:val="bottom"/>
            <w:gridSpan w:val="2"/>
          </w:tcPr>
          <w:p>
            <w:pPr>
              <w:jc w:val="right"/>
              <w:ind w:right="540"/>
              <w:spacing w:after="0"/>
              <w:rPr>
                <w:sz w:val="20"/>
                <w:szCs w:val="20"/>
                <w:color w:val="auto"/>
              </w:rPr>
            </w:pPr>
            <w:r>
              <w:rPr>
                <w:rFonts w:ascii="Arial" w:cs="Arial" w:eastAsia="Arial" w:hAnsi="Arial"/>
                <w:sz w:val="13"/>
                <w:szCs w:val="13"/>
                <w:color w:val="auto"/>
              </w:rPr>
              <w:t>20%</w:t>
            </w:r>
          </w:p>
        </w:tc>
        <w:tc>
          <w:tcPr>
            <w:tcW w:w="940" w:type="dxa"/>
            <w:vAlign w:val="bottom"/>
            <w:gridSpan w:val="2"/>
          </w:tcPr>
          <w:p>
            <w:pPr>
              <w:jc w:val="right"/>
              <w:ind w:right="540"/>
              <w:spacing w:after="0"/>
              <w:rPr>
                <w:sz w:val="20"/>
                <w:szCs w:val="20"/>
                <w:color w:val="auto"/>
              </w:rPr>
            </w:pPr>
            <w:r>
              <w:rPr>
                <w:rFonts w:ascii="Arial" w:cs="Arial" w:eastAsia="Arial" w:hAnsi="Arial"/>
                <w:sz w:val="13"/>
                <w:szCs w:val="13"/>
                <w:color w:val="auto"/>
              </w:rPr>
              <w:t>6%</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20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20" w:type="dxa"/>
            <w:vAlign w:val="bottom"/>
          </w:tcPr>
          <w:p>
            <w:pPr>
              <w:ind w:left="140"/>
              <w:spacing w:after="0"/>
              <w:rPr>
                <w:sz w:val="20"/>
                <w:szCs w:val="20"/>
                <w:color w:val="auto"/>
              </w:rPr>
            </w:pPr>
            <w:r>
              <w:rPr>
                <w:rFonts w:ascii="Arial" w:cs="Arial" w:eastAsia="Arial" w:hAnsi="Arial"/>
                <w:sz w:val="13"/>
                <w:szCs w:val="13"/>
                <w:color w:val="auto"/>
              </w:rPr>
              <w:t>Apartments/Multifamily</w:t>
            </w:r>
          </w:p>
        </w:tc>
        <w:tc>
          <w:tcPr>
            <w:tcW w:w="200" w:type="dxa"/>
            <w:vAlign w:val="bottom"/>
          </w:tcPr>
          <w:p>
            <w:pPr>
              <w:spacing w:after="0"/>
              <w:rPr>
                <w:sz w:val="13"/>
                <w:szCs w:val="13"/>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3"/>
                <w:szCs w:val="13"/>
                <w:color w:val="auto"/>
              </w:rPr>
              <w:t>141</w:t>
            </w: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1%</w:t>
            </w:r>
          </w:p>
        </w:tc>
        <w:tc>
          <w:tcPr>
            <w:tcW w:w="1220" w:type="dxa"/>
            <w:vAlign w:val="bottom"/>
            <w:gridSpan w:val="3"/>
          </w:tcPr>
          <w:p>
            <w:pPr>
              <w:jc w:val="right"/>
              <w:ind w:right="488"/>
              <w:spacing w:after="0"/>
              <w:rPr>
                <w:sz w:val="20"/>
                <w:szCs w:val="20"/>
                <w:color w:val="auto"/>
              </w:rPr>
            </w:pPr>
            <w:r>
              <w:rPr>
                <w:rFonts w:ascii="Arial" w:cs="Arial" w:eastAsia="Arial" w:hAnsi="Arial"/>
                <w:sz w:val="13"/>
                <w:szCs w:val="13"/>
                <w:color w:val="auto"/>
              </w:rPr>
              <w:t>3%</w:t>
            </w:r>
          </w:p>
        </w:tc>
        <w:tc>
          <w:tcPr>
            <w:tcW w:w="900" w:type="dxa"/>
            <w:vAlign w:val="bottom"/>
            <w:gridSpan w:val="2"/>
          </w:tcPr>
          <w:p>
            <w:pPr>
              <w:jc w:val="right"/>
              <w:ind w:right="540"/>
              <w:spacing w:after="0"/>
              <w:rPr>
                <w:sz w:val="20"/>
                <w:szCs w:val="20"/>
                <w:color w:val="auto"/>
              </w:rPr>
            </w:pPr>
            <w:r>
              <w:rPr>
                <w:rFonts w:ascii="Arial" w:cs="Arial" w:eastAsia="Arial" w:hAnsi="Arial"/>
                <w:sz w:val="13"/>
                <w:szCs w:val="13"/>
                <w:color w:val="auto"/>
              </w:rPr>
              <w:t>2%</w:t>
            </w:r>
          </w:p>
        </w:tc>
        <w:tc>
          <w:tcPr>
            <w:tcW w:w="940" w:type="dxa"/>
            <w:vAlign w:val="bottom"/>
            <w:gridSpan w:val="2"/>
          </w:tcPr>
          <w:p>
            <w:pPr>
              <w:jc w:val="right"/>
              <w:ind w:right="540"/>
              <w:spacing w:after="0"/>
              <w:rPr>
                <w:sz w:val="20"/>
                <w:szCs w:val="20"/>
                <w:color w:val="auto"/>
              </w:rPr>
            </w:pPr>
            <w:r>
              <w:rPr>
                <w:rFonts w:ascii="Arial" w:cs="Arial" w:eastAsia="Arial" w:hAnsi="Arial"/>
                <w:sz w:val="13"/>
                <w:szCs w:val="13"/>
                <w:color w:val="auto"/>
              </w:rPr>
              <w:t>1%</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Office</w:t>
            </w:r>
          </w:p>
        </w:tc>
        <w:tc>
          <w:tcPr>
            <w:tcW w:w="2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800"/>
              <w:spacing w:after="0"/>
              <w:rPr>
                <w:sz w:val="20"/>
                <w:szCs w:val="20"/>
                <w:color w:val="auto"/>
              </w:rPr>
            </w:pPr>
            <w:r>
              <w:rPr>
                <w:rFonts w:ascii="Arial" w:cs="Arial" w:eastAsia="Arial" w:hAnsi="Arial"/>
                <w:sz w:val="13"/>
                <w:szCs w:val="13"/>
                <w:color w:val="auto"/>
              </w:rPr>
              <w:t>122</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w:t>
            </w:r>
          </w:p>
        </w:tc>
        <w:tc>
          <w:tcPr>
            <w:tcW w:w="1220" w:type="dxa"/>
            <w:vAlign w:val="bottom"/>
            <w:gridSpan w:val="3"/>
            <w:shd w:val="clear" w:color="auto" w:fill="CCEEFF"/>
          </w:tcPr>
          <w:p>
            <w:pPr>
              <w:jc w:val="right"/>
              <w:ind w:right="608"/>
              <w:spacing w:after="0"/>
              <w:rPr>
                <w:sz w:val="20"/>
                <w:szCs w:val="20"/>
                <w:color w:val="auto"/>
              </w:rPr>
            </w:pPr>
            <w:r>
              <w:rPr>
                <w:rFonts w:ascii="Arial" w:cs="Arial" w:eastAsia="Arial" w:hAnsi="Arial"/>
                <w:sz w:val="13"/>
                <w:szCs w:val="13"/>
                <w:color w:val="auto"/>
              </w:rPr>
              <w:t>1</w:t>
            </w:r>
          </w:p>
        </w:tc>
        <w:tc>
          <w:tcPr>
            <w:tcW w:w="90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2</w:t>
            </w:r>
          </w:p>
        </w:tc>
        <w:tc>
          <w:tcPr>
            <w:tcW w:w="94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rPr>
              <w:t>1</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20" w:type="dxa"/>
            <w:vAlign w:val="bottom"/>
          </w:tcPr>
          <w:p>
            <w:pPr>
              <w:ind w:left="140"/>
              <w:spacing w:after="0"/>
              <w:rPr>
                <w:sz w:val="20"/>
                <w:szCs w:val="20"/>
                <w:color w:val="auto"/>
              </w:rPr>
            </w:pPr>
            <w:r>
              <w:rPr>
                <w:rFonts w:ascii="Arial" w:cs="Arial" w:eastAsia="Arial" w:hAnsi="Arial"/>
                <w:sz w:val="13"/>
                <w:szCs w:val="13"/>
                <w:color w:val="auto"/>
              </w:rPr>
              <w:t>Retail/Services</w:t>
            </w:r>
          </w:p>
        </w:tc>
        <w:tc>
          <w:tcPr>
            <w:tcW w:w="200" w:type="dxa"/>
            <w:vAlign w:val="bottom"/>
          </w:tcPr>
          <w:p>
            <w:pPr>
              <w:spacing w:after="0"/>
              <w:rPr>
                <w:sz w:val="13"/>
                <w:szCs w:val="13"/>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3"/>
                <w:szCs w:val="13"/>
                <w:color w:val="auto"/>
              </w:rPr>
              <w:t>503</w:t>
            </w:r>
          </w:p>
        </w:tc>
        <w:tc>
          <w:tcPr>
            <w:tcW w:w="560" w:type="dxa"/>
            <w:vAlign w:val="bottom"/>
            <w:gridSpan w:val="2"/>
          </w:tcPr>
          <w:p>
            <w:pPr>
              <w:jc w:val="right"/>
              <w:ind w:right="320"/>
              <w:spacing w:after="0"/>
              <w:rPr>
                <w:sz w:val="20"/>
                <w:szCs w:val="20"/>
                <w:color w:val="auto"/>
              </w:rPr>
            </w:pPr>
            <w:r>
              <w:rPr>
                <w:rFonts w:ascii="Arial" w:cs="Arial" w:eastAsia="Arial" w:hAnsi="Arial"/>
                <w:sz w:val="13"/>
                <w:szCs w:val="13"/>
                <w:color w:val="auto"/>
              </w:rPr>
              <w:t>2</w:t>
            </w:r>
          </w:p>
        </w:tc>
        <w:tc>
          <w:tcPr>
            <w:tcW w:w="1220" w:type="dxa"/>
            <w:vAlign w:val="bottom"/>
            <w:gridSpan w:val="3"/>
          </w:tcPr>
          <w:p>
            <w:pPr>
              <w:jc w:val="right"/>
              <w:ind w:right="608"/>
              <w:spacing w:after="0"/>
              <w:rPr>
                <w:sz w:val="20"/>
                <w:szCs w:val="20"/>
                <w:color w:val="auto"/>
              </w:rPr>
            </w:pPr>
            <w:r>
              <w:rPr>
                <w:rFonts w:ascii="Arial" w:cs="Arial" w:eastAsia="Arial" w:hAnsi="Arial"/>
                <w:sz w:val="13"/>
                <w:szCs w:val="13"/>
                <w:color w:val="auto"/>
              </w:rPr>
              <w:t>6</w:t>
            </w:r>
          </w:p>
        </w:tc>
        <w:tc>
          <w:tcPr>
            <w:tcW w:w="900" w:type="dxa"/>
            <w:vAlign w:val="bottom"/>
            <w:gridSpan w:val="2"/>
          </w:tcPr>
          <w:p>
            <w:pPr>
              <w:jc w:val="right"/>
              <w:ind w:right="660"/>
              <w:spacing w:after="0"/>
              <w:rPr>
                <w:sz w:val="20"/>
                <w:szCs w:val="20"/>
                <w:color w:val="auto"/>
              </w:rPr>
            </w:pPr>
            <w:r>
              <w:rPr>
                <w:rFonts w:ascii="Arial" w:cs="Arial" w:eastAsia="Arial" w:hAnsi="Arial"/>
                <w:sz w:val="13"/>
                <w:szCs w:val="13"/>
                <w:color w:val="auto"/>
              </w:rPr>
              <w:t>7</w:t>
            </w:r>
          </w:p>
        </w:tc>
        <w:tc>
          <w:tcPr>
            <w:tcW w:w="940" w:type="dxa"/>
            <w:vAlign w:val="bottom"/>
            <w:gridSpan w:val="2"/>
          </w:tcPr>
          <w:p>
            <w:pPr>
              <w:jc w:val="right"/>
              <w:ind w:right="640"/>
              <w:spacing w:after="0"/>
              <w:rPr>
                <w:sz w:val="20"/>
                <w:szCs w:val="20"/>
                <w:color w:val="auto"/>
              </w:rPr>
            </w:pPr>
            <w:r>
              <w:rPr>
                <w:rFonts w:ascii="Arial" w:cs="Arial" w:eastAsia="Arial" w:hAnsi="Arial"/>
                <w:sz w:val="13"/>
                <w:szCs w:val="13"/>
                <w:color w:val="auto"/>
              </w:rPr>
              <w:t>4</w:t>
            </w: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Construction</w:t>
            </w:r>
          </w:p>
        </w:tc>
        <w:tc>
          <w:tcPr>
            <w:tcW w:w="20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800"/>
              <w:spacing w:after="0"/>
              <w:rPr>
                <w:sz w:val="20"/>
                <w:szCs w:val="20"/>
                <w:color w:val="auto"/>
              </w:rPr>
            </w:pPr>
            <w:r>
              <w:rPr>
                <w:rFonts w:ascii="Arial" w:cs="Arial" w:eastAsia="Arial" w:hAnsi="Arial"/>
                <w:sz w:val="13"/>
                <w:szCs w:val="13"/>
                <w:color w:val="auto"/>
              </w:rPr>
              <w:t>956</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10</w:t>
            </w:r>
          </w:p>
        </w:tc>
        <w:tc>
          <w:tcPr>
            <w:tcW w:w="1220" w:type="dxa"/>
            <w:vAlign w:val="bottom"/>
            <w:gridSpan w:val="3"/>
            <w:shd w:val="clear" w:color="auto" w:fill="CCEEFF"/>
          </w:tcPr>
          <w:p>
            <w:pPr>
              <w:jc w:val="right"/>
              <w:ind w:right="608"/>
              <w:spacing w:after="0"/>
              <w:rPr>
                <w:sz w:val="20"/>
                <w:szCs w:val="20"/>
                <w:color w:val="auto"/>
              </w:rPr>
            </w:pPr>
            <w:r>
              <w:rPr>
                <w:rFonts w:ascii="Arial" w:cs="Arial" w:eastAsia="Arial" w:hAnsi="Arial"/>
                <w:sz w:val="13"/>
                <w:szCs w:val="13"/>
                <w:color w:val="auto"/>
              </w:rPr>
              <w:t>11</w:t>
            </w:r>
          </w:p>
        </w:tc>
        <w:tc>
          <w:tcPr>
            <w:tcW w:w="90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8</w:t>
            </w:r>
          </w:p>
        </w:tc>
        <w:tc>
          <w:tcPr>
            <w:tcW w:w="94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rPr>
              <w:t>4</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20" w:type="dxa"/>
            <w:vAlign w:val="bottom"/>
          </w:tcPr>
          <w:p>
            <w:pPr>
              <w:ind w:left="140"/>
              <w:spacing w:after="0"/>
              <w:rPr>
                <w:sz w:val="20"/>
                <w:szCs w:val="20"/>
                <w:color w:val="auto"/>
              </w:rPr>
            </w:pPr>
            <w:r>
              <w:rPr>
                <w:rFonts w:ascii="Arial" w:cs="Arial" w:eastAsia="Arial" w:hAnsi="Arial"/>
                <w:sz w:val="13"/>
                <w:szCs w:val="13"/>
                <w:color w:val="auto"/>
              </w:rPr>
              <w:t>Industrial</w:t>
            </w:r>
          </w:p>
        </w:tc>
        <w:tc>
          <w:tcPr>
            <w:tcW w:w="200" w:type="dxa"/>
            <w:vAlign w:val="bottom"/>
          </w:tcPr>
          <w:p>
            <w:pPr>
              <w:spacing w:after="0"/>
              <w:rPr>
                <w:sz w:val="13"/>
                <w:szCs w:val="13"/>
                <w:color w:val="auto"/>
              </w:rPr>
            </w:pPr>
          </w:p>
        </w:tc>
        <w:tc>
          <w:tcPr>
            <w:tcW w:w="1280" w:type="dxa"/>
            <w:vAlign w:val="bottom"/>
            <w:gridSpan w:val="2"/>
          </w:tcPr>
          <w:p>
            <w:pPr>
              <w:jc w:val="right"/>
              <w:ind w:right="800"/>
              <w:spacing w:after="0"/>
              <w:rPr>
                <w:sz w:val="20"/>
                <w:szCs w:val="20"/>
                <w:color w:val="auto"/>
              </w:rPr>
            </w:pPr>
            <w:r>
              <w:rPr>
                <w:rFonts w:ascii="Arial" w:cs="Arial" w:eastAsia="Arial" w:hAnsi="Arial"/>
                <w:sz w:val="13"/>
                <w:szCs w:val="13"/>
                <w:color w:val="auto"/>
              </w:rPr>
              <w:t>149</w:t>
            </w:r>
          </w:p>
        </w:tc>
        <w:tc>
          <w:tcPr>
            <w:tcW w:w="560" w:type="dxa"/>
            <w:vAlign w:val="bottom"/>
            <w:gridSpan w:val="2"/>
          </w:tcPr>
          <w:p>
            <w:pPr>
              <w:jc w:val="right"/>
              <w:ind w:right="320"/>
              <w:spacing w:after="0"/>
              <w:rPr>
                <w:sz w:val="20"/>
                <w:szCs w:val="20"/>
                <w:color w:val="auto"/>
              </w:rPr>
            </w:pPr>
            <w:r>
              <w:rPr>
                <w:rFonts w:ascii="Arial" w:cs="Arial" w:eastAsia="Arial" w:hAnsi="Arial"/>
                <w:sz w:val="13"/>
                <w:szCs w:val="13"/>
                <w:color w:val="auto"/>
              </w:rPr>
              <w:t>1</w:t>
            </w:r>
          </w:p>
        </w:tc>
        <w:tc>
          <w:tcPr>
            <w:tcW w:w="1220" w:type="dxa"/>
            <w:vAlign w:val="bottom"/>
            <w:gridSpan w:val="3"/>
          </w:tcPr>
          <w:p>
            <w:pPr>
              <w:jc w:val="right"/>
              <w:ind w:right="608"/>
              <w:spacing w:after="0"/>
              <w:rPr>
                <w:sz w:val="20"/>
                <w:szCs w:val="20"/>
                <w:color w:val="auto"/>
              </w:rPr>
            </w:pPr>
            <w:r>
              <w:rPr>
                <w:rFonts w:ascii="Arial" w:cs="Arial" w:eastAsia="Arial" w:hAnsi="Arial"/>
                <w:sz w:val="13"/>
                <w:szCs w:val="13"/>
                <w:color w:val="auto"/>
              </w:rPr>
              <w:t>3</w:t>
            </w:r>
          </w:p>
        </w:tc>
        <w:tc>
          <w:tcPr>
            <w:tcW w:w="900" w:type="dxa"/>
            <w:vAlign w:val="bottom"/>
            <w:gridSpan w:val="2"/>
          </w:tcPr>
          <w:p>
            <w:pPr>
              <w:jc w:val="right"/>
              <w:ind w:right="660"/>
              <w:spacing w:after="0"/>
              <w:rPr>
                <w:sz w:val="20"/>
                <w:szCs w:val="20"/>
                <w:color w:val="auto"/>
              </w:rPr>
            </w:pPr>
            <w:r>
              <w:rPr>
                <w:rFonts w:ascii="Arial" w:cs="Arial" w:eastAsia="Arial" w:hAnsi="Arial"/>
                <w:sz w:val="13"/>
                <w:szCs w:val="13"/>
                <w:color w:val="auto"/>
              </w:rPr>
              <w:t>1</w:t>
            </w:r>
          </w:p>
        </w:tc>
        <w:tc>
          <w:tcPr>
            <w:tcW w:w="940" w:type="dxa"/>
            <w:vAlign w:val="bottom"/>
            <w:gridSpan w:val="2"/>
          </w:tcPr>
          <w:p>
            <w:pPr>
              <w:jc w:val="right"/>
              <w:ind w:right="640"/>
              <w:spacing w:after="0"/>
              <w:rPr>
                <w:sz w:val="20"/>
                <w:szCs w:val="20"/>
                <w:color w:val="auto"/>
              </w:rPr>
            </w:pPr>
            <w:r>
              <w:rPr>
                <w:rFonts w:ascii="Arial" w:cs="Arial" w:eastAsia="Arial" w:hAnsi="Arial"/>
                <w:sz w:val="13"/>
                <w:szCs w:val="13"/>
                <w:color w:val="auto"/>
              </w:rPr>
              <w:t>2</w:t>
            </w:r>
          </w:p>
        </w:tc>
        <w:tc>
          <w:tcPr>
            <w:tcW w:w="36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w:t>
            </w: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w:t>
            </w:r>
          </w:p>
        </w:tc>
        <w:tc>
          <w:tcPr>
            <w:tcW w:w="80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3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608"/>
              <w:spacing w:after="0"/>
              <w:rPr>
                <w:sz w:val="20"/>
                <w:szCs w:val="20"/>
                <w:color w:val="auto"/>
              </w:rPr>
            </w:pPr>
            <w:r>
              <w:rPr>
                <w:rFonts w:ascii="Arial" w:cs="Arial" w:eastAsia="Arial" w:hAnsi="Arial"/>
                <w:sz w:val="13"/>
                <w:szCs w:val="13"/>
                <w:color w:val="auto"/>
              </w:rPr>
              <w:t>4</w:t>
            </w:r>
          </w:p>
        </w:tc>
        <w:tc>
          <w:tcPr>
            <w:tcW w:w="900" w:type="dxa"/>
            <w:vAlign w:val="bottom"/>
            <w:gridSpan w:val="2"/>
            <w:shd w:val="clear" w:color="auto" w:fill="CCEEFF"/>
          </w:tcPr>
          <w:p>
            <w:pPr>
              <w:jc w:val="right"/>
              <w:ind w:right="660"/>
              <w:spacing w:after="0"/>
              <w:rPr>
                <w:sz w:val="20"/>
                <w:szCs w:val="20"/>
                <w:color w:val="auto"/>
              </w:rPr>
            </w:pPr>
            <w:r>
              <w:rPr>
                <w:rFonts w:ascii="Arial" w:cs="Arial" w:eastAsia="Arial" w:hAnsi="Arial"/>
                <w:sz w:val="13"/>
                <w:szCs w:val="13"/>
                <w:color w:val="auto"/>
              </w:rPr>
              <w:t>4</w:t>
            </w:r>
          </w:p>
        </w:tc>
        <w:tc>
          <w:tcPr>
            <w:tcW w:w="940" w:type="dxa"/>
            <w:vAlign w:val="bottom"/>
            <w:gridSpan w:val="2"/>
            <w:shd w:val="clear" w:color="auto" w:fill="CCEEFF"/>
          </w:tcPr>
          <w:p>
            <w:pPr>
              <w:jc w:val="right"/>
              <w:ind w:right="640"/>
              <w:spacing w:after="0"/>
              <w:rPr>
                <w:sz w:val="20"/>
                <w:szCs w:val="20"/>
                <w:color w:val="auto"/>
              </w:rPr>
            </w:pPr>
            <w:r>
              <w:rPr>
                <w:rFonts w:ascii="Arial" w:cs="Arial" w:eastAsia="Arial" w:hAnsi="Arial"/>
                <w:sz w:val="13"/>
                <w:szCs w:val="13"/>
                <w:color w:val="auto"/>
              </w:rPr>
              <w:t>1</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20" w:type="dxa"/>
            <w:vAlign w:val="bottom"/>
            <w:vMerge w:val="restart"/>
          </w:tcPr>
          <w:p>
            <w:pPr>
              <w:ind w:left="280"/>
              <w:spacing w:after="0"/>
              <w:rPr>
                <w:sz w:val="20"/>
                <w:szCs w:val="20"/>
                <w:color w:val="auto"/>
              </w:rPr>
            </w:pPr>
            <w:r>
              <w:rPr>
                <w:rFonts w:ascii="Arial" w:cs="Arial" w:eastAsia="Arial" w:hAnsi="Arial"/>
                <w:sz w:val="13"/>
                <w:szCs w:val="13"/>
                <w:color w:val="auto"/>
              </w:rPr>
              <w:t>Total other</w:t>
            </w: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5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2,099</w:t>
            </w:r>
          </w:p>
        </w:tc>
        <w:tc>
          <w:tcPr>
            <w:tcW w:w="80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17%</w:t>
            </w:r>
          </w:p>
        </w:tc>
        <w:tc>
          <w:tcPr>
            <w:tcW w:w="1220" w:type="dxa"/>
            <w:vAlign w:val="bottom"/>
            <w:gridSpan w:val="3"/>
          </w:tcPr>
          <w:p>
            <w:pPr>
              <w:jc w:val="right"/>
              <w:ind w:right="488"/>
              <w:spacing w:after="0"/>
              <w:rPr>
                <w:sz w:val="20"/>
                <w:szCs w:val="20"/>
                <w:color w:val="auto"/>
              </w:rPr>
            </w:pPr>
            <w:r>
              <w:rPr>
                <w:rFonts w:ascii="Arial" w:cs="Arial" w:eastAsia="Arial" w:hAnsi="Arial"/>
                <w:sz w:val="13"/>
                <w:szCs w:val="13"/>
                <w:color w:val="auto"/>
              </w:rPr>
              <w:t>28%</w:t>
            </w:r>
          </w:p>
        </w:tc>
        <w:tc>
          <w:tcPr>
            <w:tcW w:w="900" w:type="dxa"/>
            <w:vAlign w:val="bottom"/>
            <w:gridSpan w:val="2"/>
          </w:tcPr>
          <w:p>
            <w:pPr>
              <w:jc w:val="right"/>
              <w:ind w:right="540"/>
              <w:spacing w:after="0"/>
              <w:rPr>
                <w:sz w:val="20"/>
                <w:szCs w:val="20"/>
                <w:color w:val="auto"/>
              </w:rPr>
            </w:pPr>
            <w:r>
              <w:rPr>
                <w:rFonts w:ascii="Arial" w:cs="Arial" w:eastAsia="Arial" w:hAnsi="Arial"/>
                <w:sz w:val="13"/>
                <w:szCs w:val="13"/>
                <w:color w:val="auto"/>
              </w:rPr>
              <w:t>24%</w:t>
            </w:r>
          </w:p>
        </w:tc>
        <w:tc>
          <w:tcPr>
            <w:tcW w:w="940" w:type="dxa"/>
            <w:vAlign w:val="bottom"/>
            <w:gridSpan w:val="2"/>
          </w:tcPr>
          <w:p>
            <w:pPr>
              <w:jc w:val="right"/>
              <w:ind w:right="540"/>
              <w:spacing w:after="0"/>
              <w:rPr>
                <w:sz w:val="20"/>
                <w:szCs w:val="20"/>
                <w:color w:val="auto"/>
              </w:rPr>
            </w:pPr>
            <w:r>
              <w:rPr>
                <w:rFonts w:ascii="Arial" w:cs="Arial" w:eastAsia="Arial" w:hAnsi="Arial"/>
                <w:sz w:val="13"/>
                <w:szCs w:val="13"/>
                <w:color w:val="auto"/>
              </w:rPr>
              <w:t>13%</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45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commercial real estate loans</w:t>
            </w:r>
          </w:p>
        </w:tc>
        <w:tc>
          <w:tcPr>
            <w:tcW w:w="2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15,417</w:t>
            </w:r>
          </w:p>
        </w:tc>
        <w:tc>
          <w:tcPr>
            <w:tcW w:w="8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22%</w:t>
            </w:r>
          </w:p>
        </w:tc>
        <w:tc>
          <w:tcPr>
            <w:tcW w:w="1220" w:type="dxa"/>
            <w:vAlign w:val="bottom"/>
            <w:gridSpan w:val="3"/>
            <w:shd w:val="clear" w:color="auto" w:fill="CCEEFF"/>
          </w:tcPr>
          <w:p>
            <w:pPr>
              <w:jc w:val="right"/>
              <w:ind w:right="488"/>
              <w:spacing w:after="0"/>
              <w:rPr>
                <w:sz w:val="20"/>
                <w:szCs w:val="20"/>
                <w:color w:val="auto"/>
              </w:rPr>
            </w:pPr>
            <w:r>
              <w:rPr>
                <w:rFonts w:ascii="Arial" w:cs="Arial" w:eastAsia="Arial" w:hAnsi="Arial"/>
                <w:sz w:val="13"/>
                <w:szCs w:val="13"/>
                <w:color w:val="auto"/>
              </w:rPr>
              <w:t>35%</w:t>
            </w:r>
          </w:p>
        </w:tc>
        <w:tc>
          <w:tcPr>
            <w:tcW w:w="90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18%</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3"/>
                <w:szCs w:val="13"/>
                <w:color w:val="auto"/>
              </w:rPr>
              <w:t>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9"/>
        </w:trPr>
        <w:tc>
          <w:tcPr>
            <w:tcW w:w="68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2"/>
                <w:szCs w:val="12"/>
                <w:color w:val="auto"/>
              </w:rPr>
              <w:t>40</w:t>
            </w:r>
          </w:p>
        </w:tc>
        <w:tc>
          <w:tcPr>
            <w:tcW w:w="2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452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ind w:left="680" w:firstLine="599"/>
        <w:spacing w:after="0" w:line="252" w:lineRule="auto"/>
        <w:rPr>
          <w:sz w:val="20"/>
          <w:szCs w:val="20"/>
          <w:color w:val="auto"/>
        </w:rPr>
      </w:pPr>
      <w:r>
        <w:rPr>
          <w:rFonts w:ascii="Arial" w:cs="Arial" w:eastAsia="Arial" w:hAnsi="Arial"/>
          <w:sz w:val="14"/>
          <w:szCs w:val="14"/>
          <w:color w:val="auto"/>
        </w:rPr>
        <w:t>Commercial real estate loans secured by properties located in other parts of New York State, Pennsylvania, Maryland and other areas tend to have a greater diversity of collateral types and include a significant amount of lending to customers who use the mortgaged property in their trade or business. Approximately 69% of the aggregate dollar amount of commercial real estate loans in New York State secured by properties located outside of the metropolitan New York City area were for loans with outstanding balances of $5 million or less. Of the outstanding balances of commercial real estate loans in Pennsylvania and Maryland, approximately 76% and 57%, respectively, were for loans with outstanding balances of $5 million or less.</w:t>
      </w:r>
    </w:p>
    <w:p>
      <w:pPr>
        <w:spacing w:after="0" w:line="2" w:lineRule="exact"/>
        <w:rPr>
          <w:sz w:val="20"/>
          <w:szCs w:val="20"/>
          <w:color w:val="auto"/>
        </w:rPr>
      </w:pPr>
    </w:p>
    <w:p>
      <w:pPr>
        <w:ind w:left="680" w:right="520" w:firstLine="599"/>
        <w:spacing w:after="0" w:line="268" w:lineRule="auto"/>
        <w:rPr>
          <w:sz w:val="20"/>
          <w:szCs w:val="20"/>
          <w:color w:val="auto"/>
        </w:rPr>
      </w:pPr>
      <w:r>
        <w:rPr>
          <w:rFonts w:ascii="Arial" w:cs="Arial" w:eastAsia="Arial" w:hAnsi="Arial"/>
          <w:sz w:val="13"/>
          <w:szCs w:val="13"/>
          <w:color w:val="auto"/>
        </w:rPr>
        <w:t>Commercial real estate loans secured by properties located outside of Pennsylvania, Maryland, New York State and areas of states neighboring New York considered to be part of the New York City metropolitan area, comprised 14% of total commercial real estate loans as of December 31, 2006.</w:t>
      </w:r>
    </w:p>
    <w:p>
      <w:pPr>
        <w:ind w:left="680" w:right="120" w:firstLine="599"/>
        <w:spacing w:after="0" w:line="249" w:lineRule="auto"/>
        <w:rPr>
          <w:sz w:val="20"/>
          <w:szCs w:val="20"/>
          <w:color w:val="auto"/>
        </w:rPr>
      </w:pPr>
      <w:r>
        <w:rPr>
          <w:rFonts w:ascii="Arial" w:cs="Arial" w:eastAsia="Arial" w:hAnsi="Arial"/>
          <w:sz w:val="14"/>
          <w:szCs w:val="14"/>
          <w:color w:val="auto"/>
        </w:rPr>
        <w:t>Commercial real estate construction loans presented in table 6 totaled $2.8 billion at December 31, 2006, or 6% of total loans and leases. Approximately 97% of those construction loans had adjustable interest rates. Included in such loans at December 31, 2006 were $1.1 billion of loans to developers of residential real estate properties. The remainder of the commercial real estate construction loan portfolio was comprised of loans made for various purposes, including the construction of office buildings, multi-family residential housing, retail space and other commercial development.</w:t>
      </w:r>
    </w:p>
    <w:p>
      <w:pPr>
        <w:ind w:left="680" w:firstLine="599"/>
        <w:spacing w:after="0" w:line="268" w:lineRule="auto"/>
        <w:rPr>
          <w:sz w:val="20"/>
          <w:szCs w:val="20"/>
          <w:color w:val="auto"/>
        </w:rPr>
      </w:pPr>
      <w:r>
        <w:rPr>
          <w:rFonts w:ascii="Arial" w:cs="Arial" w:eastAsia="Arial" w:hAnsi="Arial"/>
          <w:sz w:val="13"/>
          <w:szCs w:val="13"/>
          <w:color w:val="auto"/>
        </w:rPr>
        <w:t>M</w:t>
      </w:r>
      <w:r>
        <w:rPr>
          <w:rFonts w:ascii="Arial" w:cs="Arial" w:eastAsia="Arial" w:hAnsi="Arial"/>
          <w:sz w:val="12"/>
          <w:szCs w:val="12"/>
          <w:color w:val="auto"/>
        </w:rPr>
        <w:t>&amp;</w:t>
      </w:r>
      <w:r>
        <w:rPr>
          <w:rFonts w:ascii="Arial" w:cs="Arial" w:eastAsia="Arial" w:hAnsi="Arial"/>
          <w:sz w:val="13"/>
          <w:szCs w:val="13"/>
          <w:color w:val="auto"/>
        </w:rPr>
        <w:t>T Realty Capital Corporation, one of the Company’s commercial real estate lending subsidiaries, participates in the FNMA Delegated Underwriting and Servicing (“DUS”) program, pursuant to which commercial real estate loans are originated in accordance with terms and conditions specified by FNMA and sold. Under this program, loans are sold with partial credit recourse to M</w:t>
      </w:r>
      <w:r>
        <w:rPr>
          <w:rFonts w:ascii="Arial" w:cs="Arial" w:eastAsia="Arial" w:hAnsi="Arial"/>
          <w:sz w:val="12"/>
          <w:szCs w:val="12"/>
          <w:color w:val="auto"/>
        </w:rPr>
        <w:t>&amp;</w:t>
      </w:r>
      <w:r>
        <w:rPr>
          <w:rFonts w:ascii="Arial" w:cs="Arial" w:eastAsia="Arial" w:hAnsi="Arial"/>
          <w:sz w:val="13"/>
          <w:szCs w:val="13"/>
          <w:color w:val="auto"/>
        </w:rPr>
        <w:t>T Realty Capital Corporation. The amount of recourse is generally limited to one-third of any credit loss incurred by the purchaser on an individual loan, although in some cases the recourse amount is less than one-third of the outstanding principal balance. At December 31, 2006 and 2005, approximately $939 million and $941 million, respectively, of commercial real estate loan balances serviced for others had been sold with recourse. There have been no material losses incurred as a result of those recourse arrangements. Commercial real estate loans held for sale at December 31, 2006 and 2005 aggregated $49 million and $199 million, respectively. At December 31, 2006 and 2005, commercial real estate loans serviced for other investors by the Company were $4.9 billion and $4.3 billion, respectively. Those serviced loans are not included in the Company’s consolidated balance sheet.</w:t>
      </w:r>
    </w:p>
    <w:p>
      <w:pPr>
        <w:spacing w:after="0" w:line="1" w:lineRule="exact"/>
        <w:rPr>
          <w:sz w:val="20"/>
          <w:szCs w:val="20"/>
          <w:color w:val="auto"/>
        </w:rPr>
      </w:pPr>
    </w:p>
    <w:p>
      <w:pPr>
        <w:ind w:left="680" w:right="20" w:firstLine="599"/>
        <w:spacing w:after="0" w:line="268" w:lineRule="auto"/>
        <w:rPr>
          <w:sz w:val="20"/>
          <w:szCs w:val="20"/>
          <w:color w:val="auto"/>
        </w:rPr>
      </w:pPr>
      <w:r>
        <w:rPr>
          <w:rFonts w:ascii="Arial" w:cs="Arial" w:eastAsia="Arial" w:hAnsi="Arial"/>
          <w:sz w:val="13"/>
          <w:szCs w:val="13"/>
          <w:color w:val="auto"/>
        </w:rPr>
        <w:t>Real estate loans secured by one-to-four family residential properties were $6.0 billion at December 31, 2006, including approximately 31% secured by properties located in New York State, 13% secured by properties located in Pennsylvania and 9% secured by properties located in Maryland. At December 31, 2006, $1.9 billion of residential real estate loans were held for sale, compared with $1.2 billion at December 31, 2005. Loans to finance the construction of one-to-four family residential properties totaled $693 million at December 31, 2006, or approximately 2% of total loans and leases, compared with $583 million or 1% at December 31, 2005.</w:t>
      </w:r>
    </w:p>
    <w:p>
      <w:pPr>
        <w:spacing w:after="0" w:line="1" w:lineRule="exact"/>
        <w:rPr>
          <w:sz w:val="20"/>
          <w:szCs w:val="20"/>
          <w:color w:val="auto"/>
        </w:rPr>
      </w:pPr>
    </w:p>
    <w:p>
      <w:pPr>
        <w:ind w:left="680" w:right="100" w:firstLine="599"/>
        <w:spacing w:after="0" w:line="271" w:lineRule="auto"/>
        <w:rPr>
          <w:sz w:val="20"/>
          <w:szCs w:val="20"/>
          <w:color w:val="auto"/>
        </w:rPr>
      </w:pPr>
      <w:r>
        <w:rPr>
          <w:rFonts w:ascii="Arial" w:cs="Arial" w:eastAsia="Arial" w:hAnsi="Arial"/>
          <w:sz w:val="13"/>
          <w:szCs w:val="13"/>
          <w:color w:val="auto"/>
        </w:rPr>
        <w:t>Consumer loans and leases comprised approximately 24% of the average loan portfolio during 2006, down from 27% in 2005 and 30% in 2004. The two largest components of the consumer loan portfolio are outstanding balances of home equity lines of credit and automobile loans and leases. Average balances of home equity lines of credit outstanding represented approximately 10% of average loans outstanding in 2006 and 2005. Automobile loans and leases represented approximately 7% of the Company’s average loan portfolio during 2006, down from 9% in 2005. No other consumer loan product represented more than 4% of average loans outstanding in 2006. Approximately 54% of home equity lines of credit outstanding at December 31, 2006 were secured by properties in New York State, and 18% and 22% were secured by properties in Pennsylvania and Maryland, respectively. Average outstanding balances on home equity lines of credit were $4.2 billion in 2006, up 5% from $4.0 billion in 2005. The Company continues to pursue growing the home equity portfolio, which has historically experienced a lower level of credit losses than other types of consumer loans. However, the rate of growth from 2005 to 2006 slowed, reflecting the impact of rising interest rates on this portfolio of predominantly variable interest rate loans. At December 31, 2006, 30% and 32% of the automobile loan and lease portfolio were to customers residing in New York State and Pennsylvania, respectively. Although automobile loans and leases have generally been originated through dealers, all applications submitted through dealers are</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ind w:left="680" w:right="80"/>
        <w:spacing w:after="0" w:line="273" w:lineRule="auto"/>
        <w:rPr>
          <w:sz w:val="20"/>
          <w:szCs w:val="20"/>
          <w:color w:val="auto"/>
        </w:rPr>
      </w:pPr>
      <w:r>
        <w:rPr>
          <w:rFonts w:ascii="Arial" w:cs="Arial" w:eastAsia="Arial" w:hAnsi="Arial"/>
          <w:sz w:val="13"/>
          <w:szCs w:val="13"/>
          <w:color w:val="auto"/>
        </w:rPr>
        <w:t>subject to the Company’s normal underwriting and loan approval procedures. Since mid-2004, the Company has experienced a general slowdown in its automobile loan origination business, resulting from increased competition from other lenders, including financing incentives offered by automobile manufacturers. Throughout that period, the Company chose not to match the pricing being offered by many competitors. During late 2006 the interest rate environment as it relates to these loans improved such that the outstanding balances in this portfolio increased by $42 million to $2.7 billion at December 31, 2006 from September 30, 2006.</w:t>
      </w:r>
    </w:p>
    <w:p>
      <w:pPr>
        <w:ind w:left="680" w:right="20" w:firstLine="599"/>
        <w:spacing w:after="0" w:line="249" w:lineRule="auto"/>
        <w:rPr>
          <w:sz w:val="20"/>
          <w:szCs w:val="20"/>
          <w:color w:val="auto"/>
        </w:rPr>
      </w:pPr>
      <w:r>
        <w:rPr>
          <w:rFonts w:ascii="Arial" w:cs="Arial" w:eastAsia="Arial" w:hAnsi="Arial"/>
          <w:sz w:val="14"/>
          <w:szCs w:val="14"/>
          <w:color w:val="auto"/>
        </w:rPr>
        <w:t>Automobile leases outstanding averaged approximately $53 million in 2006, compared with $137 million in 2005 and $308 million in 2004. The Company ceased origination of automobile leases during 2003. That decision did not have a significant impact on the Company’s results of operations. At December 31, 2006 and 2005, outstanding automobile leases totaled $29 million and $85 million, respectively.</w:t>
      </w:r>
    </w:p>
    <w:p>
      <w:pPr>
        <w:jc w:val="both"/>
        <w:ind w:left="680" w:right="260" w:firstLine="599"/>
        <w:spacing w:after="0" w:line="256" w:lineRule="auto"/>
        <w:rPr>
          <w:sz w:val="20"/>
          <w:szCs w:val="20"/>
          <w:color w:val="auto"/>
        </w:rPr>
      </w:pPr>
      <w:r>
        <w:rPr>
          <w:rFonts w:ascii="Arial" w:cs="Arial" w:eastAsia="Arial" w:hAnsi="Arial"/>
          <w:sz w:val="14"/>
          <w:szCs w:val="14"/>
          <w:color w:val="auto"/>
        </w:rPr>
        <w:t>Table 7 presents the composition of the Company’s loan and lease portfolio at the end of 2006, including outstanding balances to businesses and consumers in New York State, Pennsylvania, Maryland and other states. Approximately 48% of total loans and leases at December 31, 2006 were to New York State customers, while 21% and 12% were to Pennsylvania and Maryland customers, respectively.</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7</w:t>
      </w:r>
    </w:p>
    <w:p>
      <w:pPr>
        <w:spacing w:after="0" w:line="252"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LOANS AND LEASES, NET OF UNEARNED DISCOUNT</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December 31, 2006</w:t>
      </w:r>
    </w:p>
    <w:p>
      <w:pPr>
        <w:spacing w:after="0" w:line="10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0"/>
                <w:szCs w:val="10"/>
                <w:b w:val="1"/>
                <w:bCs w:val="1"/>
                <w:color w:val="auto"/>
                <w:w w:val="96"/>
              </w:rPr>
              <w:t>Percent of Dollars Outstanding</w:t>
            </w:r>
          </w:p>
        </w:tc>
        <w:tc>
          <w:tcPr>
            <w:tcW w:w="3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3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w w:val="89"/>
              </w:rPr>
              <w:t>Outstandings</w:t>
            </w:r>
          </w:p>
        </w:tc>
        <w:tc>
          <w:tcPr>
            <w:tcW w:w="740" w:type="dxa"/>
            <w:vAlign w:val="bottom"/>
            <w:gridSpan w:val="2"/>
          </w:tcPr>
          <w:p>
            <w:pPr>
              <w:ind w:left="80"/>
              <w:spacing w:after="0" w:line="81" w:lineRule="exact"/>
              <w:rPr>
                <w:sz w:val="20"/>
                <w:szCs w:val="20"/>
                <w:color w:val="auto"/>
              </w:rPr>
            </w:pPr>
            <w:r>
              <w:rPr>
                <w:rFonts w:ascii="Arial" w:cs="Arial" w:eastAsia="Arial" w:hAnsi="Arial"/>
                <w:sz w:val="9"/>
                <w:szCs w:val="9"/>
                <w:b w:val="1"/>
                <w:bCs w:val="1"/>
                <w:color w:val="auto"/>
              </w:rPr>
              <w:t>New York</w:t>
            </w:r>
          </w:p>
        </w:tc>
        <w:tc>
          <w:tcPr>
            <w:tcW w:w="300" w:type="dxa"/>
            <w:vAlign w:val="bottom"/>
          </w:tcPr>
          <w:p>
            <w:pPr>
              <w:spacing w:after="0"/>
              <w:rPr>
                <w:sz w:val="7"/>
                <w:szCs w:val="7"/>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Pennsylvania</w:t>
            </w:r>
          </w:p>
        </w:tc>
        <w:tc>
          <w:tcPr>
            <w:tcW w:w="102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Maryland</w:t>
            </w:r>
          </w:p>
        </w:tc>
        <w:tc>
          <w:tcPr>
            <w:tcW w:w="420" w:type="dxa"/>
            <w:vAlign w:val="bottom"/>
            <w:gridSpan w:val="2"/>
            <w:vMerge w:val="restart"/>
          </w:tcPr>
          <w:p>
            <w:pPr>
              <w:jc w:val="right"/>
              <w:ind w:right="140"/>
              <w:spacing w:after="0"/>
              <w:rPr>
                <w:sz w:val="20"/>
                <w:szCs w:val="20"/>
                <w:color w:val="auto"/>
              </w:rPr>
            </w:pPr>
            <w:r>
              <w:rPr>
                <w:rFonts w:ascii="Arial" w:cs="Arial" w:eastAsia="Arial" w:hAnsi="Arial"/>
                <w:sz w:val="10"/>
                <w:szCs w:val="10"/>
                <w:b w:val="1"/>
                <w:bCs w:val="1"/>
                <w:color w:val="auto"/>
                <w:w w:val="97"/>
              </w:rPr>
              <w:t>Other</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740" w:type="dxa"/>
            <w:vAlign w:val="bottom"/>
            <w:gridSpan w:val="2"/>
          </w:tcPr>
          <w:p>
            <w:pPr>
              <w:ind w:left="180"/>
              <w:spacing w:after="0"/>
              <w:rPr>
                <w:sz w:val="20"/>
                <w:szCs w:val="20"/>
                <w:color w:val="auto"/>
              </w:rPr>
            </w:pPr>
            <w:r>
              <w:rPr>
                <w:rFonts w:ascii="Arial" w:cs="Arial" w:eastAsia="Arial" w:hAnsi="Arial"/>
                <w:sz w:val="10"/>
                <w:szCs w:val="10"/>
                <w:b w:val="1"/>
                <w:bCs w:val="1"/>
                <w:color w:val="auto"/>
              </w:rPr>
              <w:t>State</w:t>
            </w:r>
          </w:p>
        </w:tc>
        <w:tc>
          <w:tcPr>
            <w:tcW w:w="300" w:type="dxa"/>
            <w:vAlign w:val="bottom"/>
            <w:vMerge w:val="restart"/>
          </w:tcPr>
          <w:p>
            <w:pPr>
              <w:spacing w:after="0"/>
              <w:rPr>
                <w:sz w:val="20"/>
                <w:szCs w:val="20"/>
                <w:color w:val="auto"/>
              </w:rPr>
            </w:pPr>
            <w:r>
              <w:rPr>
                <w:rFonts w:ascii="Arial" w:cs="Arial" w:eastAsia="Arial" w:hAnsi="Arial"/>
                <w:sz w:val="10"/>
                <w:szCs w:val="10"/>
                <w:b w:val="1"/>
                <w:bCs w:val="1"/>
                <w:color w:val="auto"/>
                <w:w w:val="75"/>
              </w:rPr>
              <w:t>(Dollars</w:t>
            </w:r>
          </w:p>
        </w:tc>
        <w:tc>
          <w:tcPr>
            <w:tcW w:w="1220" w:type="dxa"/>
            <w:vAlign w:val="bottom"/>
            <w:gridSpan w:val="2"/>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800" w:type="dxa"/>
            <w:vAlign w:val="bottom"/>
            <w:tcBorders>
              <w:top w:val="single" w:sz="8" w:color="auto"/>
            </w:tcBorders>
          </w:tcPr>
          <w:p>
            <w:pPr>
              <w:ind w:left="100"/>
              <w:spacing w:after="0"/>
              <w:rPr>
                <w:sz w:val="20"/>
                <w:szCs w:val="20"/>
                <w:color w:val="auto"/>
              </w:rPr>
            </w:pPr>
            <w:r>
              <w:rPr>
                <w:rFonts w:ascii="Arial" w:cs="Arial" w:eastAsia="Arial" w:hAnsi="Arial"/>
                <w:sz w:val="10"/>
                <w:szCs w:val="10"/>
                <w:b w:val="1"/>
                <w:bCs w:val="1"/>
                <w:color w:val="auto"/>
              </w:rPr>
              <w:t>in millions)</w:t>
            </w:r>
          </w:p>
        </w:tc>
        <w:tc>
          <w:tcPr>
            <w:tcW w:w="4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Real estate</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Residential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400"/>
              <w:spacing w:after="0"/>
              <w:rPr>
                <w:sz w:val="20"/>
                <w:szCs w:val="20"/>
                <w:color w:val="auto"/>
              </w:rPr>
            </w:pPr>
            <w:r>
              <w:rPr>
                <w:rFonts w:ascii="Arial" w:cs="Arial" w:eastAsia="Arial" w:hAnsi="Arial"/>
                <w:sz w:val="14"/>
                <w:szCs w:val="14"/>
                <w:color w:val="auto"/>
              </w:rPr>
              <w:t>5,956</w:t>
            </w:r>
          </w:p>
        </w:tc>
        <w:tc>
          <w:tcPr>
            <w:tcW w:w="740" w:type="dxa"/>
            <w:vAlign w:val="bottom"/>
            <w:gridSpan w:val="2"/>
          </w:tcPr>
          <w:p>
            <w:pPr>
              <w:ind w:left="440"/>
              <w:spacing w:after="0"/>
              <w:rPr>
                <w:sz w:val="20"/>
                <w:szCs w:val="20"/>
                <w:color w:val="auto"/>
              </w:rPr>
            </w:pPr>
            <w:r>
              <w:rPr>
                <w:rFonts w:ascii="Arial" w:cs="Arial" w:eastAsia="Arial" w:hAnsi="Arial"/>
                <w:sz w:val="14"/>
                <w:szCs w:val="14"/>
                <w:color w:val="auto"/>
                <w:w w:val="99"/>
              </w:rPr>
              <w:t>31%</w:t>
            </w:r>
          </w:p>
        </w:tc>
        <w:tc>
          <w:tcPr>
            <w:tcW w:w="1520" w:type="dxa"/>
            <w:vAlign w:val="bottom"/>
            <w:gridSpan w:val="3"/>
          </w:tcPr>
          <w:p>
            <w:pPr>
              <w:ind w:left="960"/>
              <w:spacing w:after="0"/>
              <w:rPr>
                <w:sz w:val="20"/>
                <w:szCs w:val="20"/>
                <w:color w:val="auto"/>
              </w:rPr>
            </w:pPr>
            <w:r>
              <w:rPr>
                <w:rFonts w:ascii="Arial" w:cs="Arial" w:eastAsia="Arial" w:hAnsi="Arial"/>
                <w:sz w:val="14"/>
                <w:szCs w:val="14"/>
                <w:color w:val="auto"/>
              </w:rPr>
              <w:t>13%</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9%</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67"/>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Commercial</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15,417</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w w:val="85"/>
              </w:rPr>
              <w:t>58(a)</w:t>
            </w:r>
          </w:p>
        </w:tc>
        <w:tc>
          <w:tcPr>
            <w:tcW w:w="1520" w:type="dxa"/>
            <w:vAlign w:val="bottom"/>
            <w:gridSpan w:val="3"/>
            <w:shd w:val="clear" w:color="auto" w:fill="CCEEFF"/>
          </w:tcPr>
          <w:p>
            <w:pPr>
              <w:ind w:left="960"/>
              <w:spacing w:after="0"/>
              <w:rPr>
                <w:sz w:val="20"/>
                <w:szCs w:val="20"/>
                <w:color w:val="auto"/>
              </w:rPr>
            </w:pPr>
            <w:r>
              <w:rPr>
                <w:rFonts w:ascii="Arial" w:cs="Arial" w:eastAsia="Arial" w:hAnsi="Arial"/>
                <w:sz w:val="14"/>
                <w:szCs w:val="14"/>
                <w:color w:val="auto"/>
              </w:rPr>
              <w:t>17</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12</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ind w:left="280"/>
              <w:spacing w:after="0"/>
              <w:rPr>
                <w:sz w:val="20"/>
                <w:szCs w:val="20"/>
                <w:color w:val="auto"/>
              </w:rPr>
            </w:pPr>
            <w:r>
              <w:rPr>
                <w:rFonts w:ascii="Arial" w:cs="Arial" w:eastAsia="Arial" w:hAnsi="Arial"/>
                <w:sz w:val="14"/>
                <w:szCs w:val="14"/>
                <w:color w:val="auto"/>
              </w:rPr>
              <w:t>Total real estate</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21,373</w:t>
            </w:r>
          </w:p>
        </w:tc>
        <w:tc>
          <w:tcPr>
            <w:tcW w:w="400" w:type="dxa"/>
            <w:vAlign w:val="bottom"/>
            <w:vMerge w:val="continue"/>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w w:val="99"/>
              </w:rPr>
              <w:t>50%</w:t>
            </w:r>
          </w:p>
        </w:tc>
        <w:tc>
          <w:tcPr>
            <w:tcW w:w="300" w:type="dxa"/>
            <w:vAlign w:val="bottom"/>
            <w:vMerge w:val="continue"/>
          </w:tcPr>
          <w:p>
            <w:pPr>
              <w:spacing w:after="0"/>
              <w:rPr>
                <w:sz w:val="14"/>
                <w:szCs w:val="14"/>
                <w:color w:val="auto"/>
              </w:rPr>
            </w:pPr>
          </w:p>
        </w:tc>
        <w:tc>
          <w:tcPr>
            <w:tcW w:w="1220" w:type="dxa"/>
            <w:vAlign w:val="bottom"/>
            <w:gridSpan w:val="2"/>
          </w:tcPr>
          <w:p>
            <w:pPr>
              <w:ind w:left="660"/>
              <w:spacing w:after="0"/>
              <w:rPr>
                <w:sz w:val="20"/>
                <w:szCs w:val="20"/>
                <w:color w:val="auto"/>
              </w:rPr>
            </w:pPr>
            <w:r>
              <w:rPr>
                <w:rFonts w:ascii="Arial" w:cs="Arial" w:eastAsia="Arial" w:hAnsi="Arial"/>
                <w:sz w:val="14"/>
                <w:szCs w:val="14"/>
                <w:color w:val="auto"/>
              </w:rPr>
              <w:t>16%</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11%</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 financial, etc</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10,465</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w w:val="99"/>
              </w:rPr>
              <w:t>50%</w:t>
            </w:r>
          </w:p>
        </w:tc>
        <w:tc>
          <w:tcPr>
            <w:tcW w:w="1520" w:type="dxa"/>
            <w:vAlign w:val="bottom"/>
            <w:gridSpan w:val="3"/>
            <w:shd w:val="clear" w:color="auto" w:fill="CCEEFF"/>
          </w:tcPr>
          <w:p>
            <w:pPr>
              <w:ind w:left="960"/>
              <w:spacing w:after="0"/>
              <w:rPr>
                <w:sz w:val="20"/>
                <w:szCs w:val="20"/>
                <w:color w:val="auto"/>
              </w:rPr>
            </w:pPr>
            <w:r>
              <w:rPr>
                <w:rFonts w:ascii="Arial" w:cs="Arial" w:eastAsia="Arial" w:hAnsi="Arial"/>
                <w:sz w:val="14"/>
                <w:szCs w:val="14"/>
                <w:color w:val="auto"/>
              </w:rPr>
              <w:t>28%</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67"/>
        </w:trPr>
        <w:tc>
          <w:tcPr>
            <w:tcW w:w="5080" w:type="dxa"/>
            <w:vAlign w:val="bottom"/>
            <w:gridSpan w:val="2"/>
          </w:tcPr>
          <w:p>
            <w:pPr>
              <w:spacing w:after="0"/>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Secured or guaranteed</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9,636</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w w:val="99"/>
              </w:rPr>
              <w:t>41%</w:t>
            </w:r>
          </w:p>
        </w:tc>
        <w:tc>
          <w:tcPr>
            <w:tcW w:w="1520" w:type="dxa"/>
            <w:vAlign w:val="bottom"/>
            <w:gridSpan w:val="3"/>
            <w:shd w:val="clear" w:color="auto" w:fill="CCEEFF"/>
          </w:tcPr>
          <w:p>
            <w:pPr>
              <w:ind w:left="960"/>
              <w:spacing w:after="0"/>
              <w:rPr>
                <w:sz w:val="20"/>
                <w:szCs w:val="20"/>
                <w:color w:val="auto"/>
              </w:rPr>
            </w:pPr>
            <w:r>
              <w:rPr>
                <w:rFonts w:ascii="Arial" w:cs="Arial" w:eastAsia="Arial" w:hAnsi="Arial"/>
                <w:sz w:val="14"/>
                <w:szCs w:val="14"/>
                <w:color w:val="auto"/>
              </w:rPr>
              <w:t>26%</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7"/>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Unsecured</w:t>
            </w:r>
          </w:p>
        </w:tc>
        <w:tc>
          <w:tcPr>
            <w:tcW w:w="1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color w:val="auto"/>
              </w:rPr>
              <w:t>243</w:t>
            </w: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45</w:t>
            </w:r>
          </w:p>
        </w:tc>
        <w:tc>
          <w:tcPr>
            <w:tcW w:w="1520" w:type="dxa"/>
            <w:vAlign w:val="bottom"/>
            <w:gridSpan w:val="3"/>
          </w:tcPr>
          <w:p>
            <w:pPr>
              <w:ind w:left="960"/>
              <w:spacing w:after="0"/>
              <w:rPr>
                <w:sz w:val="20"/>
                <w:szCs w:val="20"/>
                <w:color w:val="auto"/>
              </w:rPr>
            </w:pPr>
            <w:r>
              <w:rPr>
                <w:rFonts w:ascii="Arial" w:cs="Arial" w:eastAsia="Arial" w:hAnsi="Arial"/>
                <w:sz w:val="14"/>
                <w:szCs w:val="14"/>
                <w:color w:val="auto"/>
              </w:rPr>
              <w:t>26</w:t>
            </w: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24</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consumer</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9,879</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w w:val="99"/>
              </w:rPr>
              <w:t>41%</w:t>
            </w:r>
          </w:p>
        </w:tc>
        <w:tc>
          <w:tcPr>
            <w:tcW w:w="1520" w:type="dxa"/>
            <w:vAlign w:val="bottom"/>
            <w:gridSpan w:val="3"/>
            <w:shd w:val="clear" w:color="auto" w:fill="CCEEFF"/>
          </w:tcPr>
          <w:p>
            <w:pPr>
              <w:ind w:left="960"/>
              <w:spacing w:after="0"/>
              <w:rPr>
                <w:sz w:val="20"/>
                <w:szCs w:val="20"/>
                <w:color w:val="auto"/>
              </w:rPr>
            </w:pPr>
            <w:r>
              <w:rPr>
                <w:rFonts w:ascii="Arial" w:cs="Arial" w:eastAsia="Arial" w:hAnsi="Arial"/>
                <w:sz w:val="14"/>
                <w:szCs w:val="14"/>
                <w:color w:val="auto"/>
              </w:rPr>
              <w:t>26%</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ind w:left="400"/>
              <w:spacing w:after="0"/>
              <w:rPr>
                <w:sz w:val="20"/>
                <w:szCs w:val="20"/>
                <w:color w:val="auto"/>
              </w:rPr>
            </w:pPr>
            <w:r>
              <w:rPr>
                <w:rFonts w:ascii="Arial" w:cs="Arial" w:eastAsia="Arial" w:hAnsi="Arial"/>
                <w:sz w:val="14"/>
                <w:szCs w:val="14"/>
                <w:color w:val="auto"/>
              </w:rPr>
              <w:t>Total loans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41,717</w:t>
            </w:r>
          </w:p>
        </w:tc>
        <w:tc>
          <w:tcPr>
            <w:tcW w:w="400" w:type="dxa"/>
            <w:vAlign w:val="bottom"/>
            <w:vMerge w:val="continue"/>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w w:val="99"/>
              </w:rPr>
              <w:t>48%</w:t>
            </w:r>
          </w:p>
        </w:tc>
        <w:tc>
          <w:tcPr>
            <w:tcW w:w="300" w:type="dxa"/>
            <w:vAlign w:val="bottom"/>
            <w:vMerge w:val="continue"/>
          </w:tcPr>
          <w:p>
            <w:pPr>
              <w:spacing w:after="0"/>
              <w:rPr>
                <w:sz w:val="14"/>
                <w:szCs w:val="14"/>
                <w:color w:val="auto"/>
              </w:rPr>
            </w:pPr>
          </w:p>
        </w:tc>
        <w:tc>
          <w:tcPr>
            <w:tcW w:w="1220" w:type="dxa"/>
            <w:vAlign w:val="bottom"/>
            <w:gridSpan w:val="2"/>
          </w:tcPr>
          <w:p>
            <w:pPr>
              <w:ind w:left="660"/>
              <w:spacing w:after="0"/>
              <w:rPr>
                <w:sz w:val="20"/>
                <w:szCs w:val="20"/>
                <w:color w:val="auto"/>
              </w:rPr>
            </w:pPr>
            <w:r>
              <w:rPr>
                <w:rFonts w:ascii="Arial" w:cs="Arial" w:eastAsia="Arial" w:hAnsi="Arial"/>
                <w:sz w:val="14"/>
                <w:szCs w:val="14"/>
                <w:color w:val="auto"/>
              </w:rPr>
              <w:t>21%</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13%</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7"/>
        </w:trPr>
        <w:tc>
          <w:tcPr>
            <w:tcW w:w="5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Leases</w:t>
            </w: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Commercial</w:t>
            </w:r>
          </w:p>
        </w:tc>
        <w:tc>
          <w:tcPr>
            <w:tcW w:w="1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color w:val="auto"/>
              </w:rPr>
              <w:t>1,201</w:t>
            </w:r>
          </w:p>
        </w:tc>
        <w:tc>
          <w:tcPr>
            <w:tcW w:w="740" w:type="dxa"/>
            <w:vAlign w:val="bottom"/>
            <w:gridSpan w:val="2"/>
          </w:tcPr>
          <w:p>
            <w:pPr>
              <w:ind w:left="440"/>
              <w:spacing w:after="0"/>
              <w:rPr>
                <w:sz w:val="20"/>
                <w:szCs w:val="20"/>
                <w:color w:val="auto"/>
              </w:rPr>
            </w:pPr>
            <w:r>
              <w:rPr>
                <w:rFonts w:ascii="Arial" w:cs="Arial" w:eastAsia="Arial" w:hAnsi="Arial"/>
                <w:sz w:val="14"/>
                <w:szCs w:val="14"/>
                <w:color w:val="auto"/>
                <w:w w:val="99"/>
              </w:rPr>
              <w:t>41%</w:t>
            </w:r>
          </w:p>
        </w:tc>
        <w:tc>
          <w:tcPr>
            <w:tcW w:w="1520" w:type="dxa"/>
            <w:vAlign w:val="bottom"/>
            <w:gridSpan w:val="3"/>
          </w:tcPr>
          <w:p>
            <w:pPr>
              <w:ind w:left="960"/>
              <w:spacing w:after="0"/>
              <w:rPr>
                <w:sz w:val="20"/>
                <w:szCs w:val="20"/>
                <w:color w:val="auto"/>
              </w:rPr>
            </w:pPr>
            <w:r>
              <w:rPr>
                <w:rFonts w:ascii="Arial" w:cs="Arial" w:eastAsia="Arial" w:hAnsi="Arial"/>
                <w:sz w:val="14"/>
                <w:szCs w:val="14"/>
                <w:color w:val="auto"/>
              </w:rPr>
              <w:t>13%</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13%</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67"/>
        </w:trPr>
        <w:tc>
          <w:tcPr>
            <w:tcW w:w="50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Consumer</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29</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18</w:t>
            </w:r>
          </w:p>
        </w:tc>
        <w:tc>
          <w:tcPr>
            <w:tcW w:w="1520" w:type="dxa"/>
            <w:vAlign w:val="bottom"/>
            <w:gridSpan w:val="3"/>
            <w:shd w:val="clear" w:color="auto" w:fill="CCEEFF"/>
          </w:tcPr>
          <w:p>
            <w:pPr>
              <w:ind w:left="960"/>
              <w:spacing w:after="0"/>
              <w:rPr>
                <w:sz w:val="20"/>
                <w:szCs w:val="20"/>
                <w:color w:val="auto"/>
              </w:rPr>
            </w:pPr>
            <w:r>
              <w:rPr>
                <w:rFonts w:ascii="Arial" w:cs="Arial" w:eastAsia="Arial" w:hAnsi="Arial"/>
                <w:sz w:val="14"/>
                <w:szCs w:val="14"/>
                <w:color w:val="auto"/>
              </w:rPr>
              <w:t>50</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ind w:left="280"/>
              <w:spacing w:after="0"/>
              <w:rPr>
                <w:sz w:val="20"/>
                <w:szCs w:val="20"/>
                <w:color w:val="auto"/>
              </w:rPr>
            </w:pPr>
            <w:r>
              <w:rPr>
                <w:rFonts w:ascii="Arial" w:cs="Arial" w:eastAsia="Arial" w:hAnsi="Arial"/>
                <w:sz w:val="14"/>
                <w:szCs w:val="14"/>
                <w:color w:val="auto"/>
              </w:rPr>
              <w:t>Total leases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1,230</w:t>
            </w:r>
          </w:p>
        </w:tc>
        <w:tc>
          <w:tcPr>
            <w:tcW w:w="400" w:type="dxa"/>
            <w:vAlign w:val="bottom"/>
            <w:vMerge w:val="continue"/>
          </w:tcPr>
          <w:p>
            <w:pPr>
              <w:spacing w:after="0"/>
              <w:rPr>
                <w:sz w:val="14"/>
                <w:szCs w:val="14"/>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w w:val="99"/>
              </w:rPr>
              <w:t>41%</w:t>
            </w:r>
          </w:p>
        </w:tc>
        <w:tc>
          <w:tcPr>
            <w:tcW w:w="300" w:type="dxa"/>
            <w:vAlign w:val="bottom"/>
            <w:vMerge w:val="continue"/>
          </w:tcPr>
          <w:p>
            <w:pPr>
              <w:spacing w:after="0"/>
              <w:rPr>
                <w:sz w:val="14"/>
                <w:szCs w:val="14"/>
                <w:color w:val="auto"/>
              </w:rPr>
            </w:pPr>
          </w:p>
        </w:tc>
        <w:tc>
          <w:tcPr>
            <w:tcW w:w="1220" w:type="dxa"/>
            <w:vAlign w:val="bottom"/>
            <w:gridSpan w:val="2"/>
          </w:tcPr>
          <w:p>
            <w:pPr>
              <w:ind w:left="660"/>
              <w:spacing w:after="0"/>
              <w:rPr>
                <w:sz w:val="20"/>
                <w:szCs w:val="20"/>
                <w:color w:val="auto"/>
              </w:rPr>
            </w:pPr>
            <w:r>
              <w:rPr>
                <w:rFonts w:ascii="Arial" w:cs="Arial" w:eastAsia="Arial" w:hAnsi="Arial"/>
                <w:sz w:val="14"/>
                <w:szCs w:val="14"/>
                <w:color w:val="auto"/>
              </w:rPr>
              <w:t>14%</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12%</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loans and leases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42,947</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w w:val="99"/>
              </w:rPr>
              <w:t>48%</w:t>
            </w:r>
          </w:p>
        </w:tc>
        <w:tc>
          <w:tcPr>
            <w:tcW w:w="1520" w:type="dxa"/>
            <w:vAlign w:val="bottom"/>
            <w:gridSpan w:val="3"/>
            <w:shd w:val="clear" w:color="auto" w:fill="CCEEFF"/>
          </w:tcPr>
          <w:p>
            <w:pPr>
              <w:ind w:left="960"/>
              <w:spacing w:after="0"/>
              <w:rPr>
                <w:sz w:val="20"/>
                <w:szCs w:val="20"/>
                <w:color w:val="auto"/>
              </w:rPr>
            </w:pPr>
            <w:r>
              <w:rPr>
                <w:rFonts w:ascii="Arial" w:cs="Arial" w:eastAsia="Arial" w:hAnsi="Arial"/>
                <w:sz w:val="14"/>
                <w:szCs w:val="14"/>
                <w:color w:val="auto"/>
              </w:rPr>
              <w:t>21%</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7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hanging="493"/>
        <w:spacing w:after="0"/>
        <w:tabs>
          <w:tab w:leader="none" w:pos="1180" w:val="left"/>
        </w:tabs>
        <w:numPr>
          <w:ilvl w:val="0"/>
          <w:numId w:val="16"/>
        </w:numPr>
        <w:rPr>
          <w:rFonts w:ascii="Arial" w:cs="Arial" w:eastAsia="Arial" w:hAnsi="Arial"/>
          <w:sz w:val="13"/>
          <w:szCs w:val="13"/>
          <w:i w:val="1"/>
          <w:iCs w:val="1"/>
          <w:color w:val="auto"/>
        </w:rPr>
      </w:pPr>
      <w:r>
        <w:rPr>
          <w:rFonts w:ascii="Arial" w:cs="Arial" w:eastAsia="Arial" w:hAnsi="Arial"/>
          <w:sz w:val="13"/>
          <w:szCs w:val="13"/>
          <w:i w:val="1"/>
          <w:iCs w:val="1"/>
          <w:color w:val="auto"/>
        </w:rPr>
        <w:t>Includes loans secured by properties located in neighboring states generally considered to be within commuting distance of New York City.</w:t>
      </w:r>
    </w:p>
    <w:p>
      <w:pPr>
        <w:spacing w:after="0" w:line="92" w:lineRule="exact"/>
        <w:rPr>
          <w:sz w:val="20"/>
          <w:szCs w:val="20"/>
          <w:color w:val="auto"/>
        </w:rPr>
      </w:pPr>
    </w:p>
    <w:p>
      <w:pPr>
        <w:ind w:left="680" w:right="60" w:firstLine="599"/>
        <w:spacing w:after="0" w:line="265" w:lineRule="auto"/>
        <w:rPr>
          <w:sz w:val="20"/>
          <w:szCs w:val="20"/>
          <w:color w:val="auto"/>
        </w:rPr>
      </w:pPr>
      <w:r>
        <w:rPr>
          <w:rFonts w:ascii="Arial" w:cs="Arial" w:eastAsia="Arial" w:hAnsi="Arial"/>
          <w:sz w:val="14"/>
          <w:szCs w:val="14"/>
          <w:color w:val="auto"/>
        </w:rPr>
        <w:t>Balances of investment securities averaged $8.0 billion in 2006 and 2004, compared with $8.5 billion in 2005. The decline in such securities from 2005 to 2006 reflects net paydowns of mortgage-backed securities and collateralized mortgage obligations. The Company has allowed the investment securities portfolio to decline as the opportunity to purchase securities at favorable spreads, that is, the difference</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ind w:left="680" w:right="820"/>
        <w:spacing w:after="0" w:line="270" w:lineRule="auto"/>
        <w:rPr>
          <w:sz w:val="20"/>
          <w:szCs w:val="20"/>
          <w:color w:val="auto"/>
        </w:rPr>
      </w:pPr>
      <w:r>
        <w:rPr>
          <w:rFonts w:ascii="Arial" w:cs="Arial" w:eastAsia="Arial" w:hAnsi="Arial"/>
          <w:sz w:val="13"/>
          <w:szCs w:val="13"/>
          <w:color w:val="auto"/>
        </w:rPr>
        <w:t>between the yield earned on a security and the rate paid on funds used to purchase it, has been limited. The increase in average balances of investment securities from 2004 to 2005 was the result of net purchases in late 2004 and in 2005 consisting largely of collateralized residential mortgage obligations. The investment securities portfolio is largely comprised of residential and commercial mortgage-backed securities and collateralized mortgage obligations, debt securities issued by municipalities, debt and preferred equity securities issued by government-sponsored agencies and certain financial institutions, and shorter-term U.S. Treasury notes. When purchasing investment securities, the Company considers its overall interest-rate risk profile as well as the adequacy of expected returns relative to risks assumed, including prepayments. In managing its investment securities portfolio, the Company occasionally sells investment securities as a result of changes in interest rates and spreads, actual or anticipated prepayments, or credit risk associated with a particular security, or as a result of restructuring its investment securities portfolio following completion of a business combination. The Company regularly reviews its investment securities for declines in value below amortized cost that might be characterized as “other than temporary.” As of December 31, 2006 and 2005, the Company concluded that such declines were temporary in nature. Events occurring during 2005’s third quarter resulted in the Company recognizing an other-than-temporary impairment charge of $29 million related to preferred securities of FNMA and FHLMC. Additional information about the investment securities portfolio is included in note 3 of Notes to Financial Statements.</w:t>
      </w:r>
    </w:p>
    <w:p>
      <w:pPr>
        <w:ind w:left="680" w:right="800" w:firstLine="599"/>
        <w:spacing w:after="0" w:line="249" w:lineRule="auto"/>
        <w:rPr>
          <w:sz w:val="20"/>
          <w:szCs w:val="20"/>
          <w:color w:val="auto"/>
        </w:rPr>
      </w:pPr>
      <w:r>
        <w:rPr>
          <w:rFonts w:ascii="Arial" w:cs="Arial" w:eastAsia="Arial" w:hAnsi="Arial"/>
          <w:sz w:val="14"/>
          <w:szCs w:val="14"/>
          <w:color w:val="auto"/>
        </w:rPr>
        <w:t>Other earning assets include deposits at banks, trading account assets, federal funds sold and agreements to resell securities. Those other earning assets in the aggregate averaged $183 million in 2006, $113 million in 2005 and $74 million in 2004. The amounts of investment securities and other earning assets held by the Company are influenced by such factors as demand for loans, which generally yield more than investment securities and other earning assets, ongoing repayments, the level of deposits, and management of balance sheet size and resulting capital ratios.</w:t>
      </w:r>
    </w:p>
    <w:p>
      <w:pPr>
        <w:ind w:left="680" w:right="820" w:firstLine="599"/>
        <w:spacing w:after="0" w:line="250" w:lineRule="auto"/>
        <w:rPr>
          <w:sz w:val="20"/>
          <w:szCs w:val="20"/>
          <w:color w:val="auto"/>
        </w:rPr>
      </w:pPr>
      <w:r>
        <w:rPr>
          <w:rFonts w:ascii="Arial" w:cs="Arial" w:eastAsia="Arial" w:hAnsi="Arial"/>
          <w:sz w:val="14"/>
          <w:szCs w:val="14"/>
          <w:color w:val="auto"/>
        </w:rPr>
        <w:t>The most significant source of funding for the Company is core deposits, which are comprised of noninterest-bearing deposits, interest-bearing transaction accounts, nonbrokered savings deposits and nonbrokered domestic time deposits under $100,000. The Company’s branch network is its principal source of core deposits, which generally carry lower interest rates than wholesale funds of comparable maturities. Also included in core deposits are certificates of deposit under $100,000 generated on a nationwide basis by M</w:t>
      </w:r>
      <w:r>
        <w:rPr>
          <w:rFonts w:ascii="Arial" w:cs="Arial" w:eastAsia="Arial" w:hAnsi="Arial"/>
          <w:sz w:val="13"/>
          <w:szCs w:val="13"/>
          <w:color w:val="auto"/>
        </w:rPr>
        <w:t>&amp;</w:t>
      </w:r>
      <w:r>
        <w:rPr>
          <w:rFonts w:ascii="Arial" w:cs="Arial" w:eastAsia="Arial" w:hAnsi="Arial"/>
          <w:sz w:val="14"/>
          <w:szCs w:val="14"/>
          <w:color w:val="auto"/>
        </w:rPr>
        <w:t>T Bank, N.A. Core deposits averaged $28.3 billion in 2006, $27.9 billion in 2005 and $28.1 billion in 2004. The previously discussed June 30, 2006 branch acquisition added approximately $880 million to average core deposits during the second half of 2006, or approximately $443 million for the full year. The rise in average balances of time deposits less than $100,000 in 2006 compared with 2005 and in 2005 as compared with 2004 was partially due to customer response to higher interest rates offered on those products, resulting in a shift of funds from savings and non-interest bearing deposit accounts to time deposits. Average core deposits of M</w:t>
      </w:r>
      <w:r>
        <w:rPr>
          <w:rFonts w:ascii="Arial" w:cs="Arial" w:eastAsia="Arial" w:hAnsi="Arial"/>
          <w:sz w:val="13"/>
          <w:szCs w:val="13"/>
          <w:color w:val="auto"/>
        </w:rPr>
        <w:t>&amp;</w:t>
      </w:r>
      <w:r>
        <w:rPr>
          <w:rFonts w:ascii="Arial" w:cs="Arial" w:eastAsia="Arial" w:hAnsi="Arial"/>
          <w:sz w:val="14"/>
          <w:szCs w:val="14"/>
          <w:color w:val="auto"/>
        </w:rPr>
        <w:t>T Bank, N.A. were $387 million in 2006, $216 million in 2005 and $223 million in 2004. Funding provided by core deposits represented 57% of average earning assets in 2006, compared with 58% in 2005 and 62% in 2004. Table 8 summarizes average core deposits in 2006 and percentage changes in the components of such deposits over the past two years.</w:t>
      </w:r>
    </w:p>
    <w:p>
      <w:pPr>
        <w:spacing w:after="0" w:line="106"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8</w:t>
      </w:r>
    </w:p>
    <w:p>
      <w:pPr>
        <w:spacing w:after="0" w:line="55"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AVERAGE CORE DEPOSITS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980" w:type="dxa"/>
            <w:vAlign w:val="bottom"/>
            <w:gridSpan w:val="5"/>
          </w:tcPr>
          <w:p>
            <w:pPr>
              <w:jc w:val="center"/>
              <w:ind w:right="980"/>
              <w:spacing w:after="0"/>
              <w:rPr>
                <w:sz w:val="20"/>
                <w:szCs w:val="20"/>
                <w:color w:val="auto"/>
              </w:rPr>
            </w:pPr>
            <w:r>
              <w:rPr>
                <w:rFonts w:ascii="Arial" w:cs="Arial" w:eastAsia="Arial" w:hAnsi="Arial"/>
                <w:sz w:val="10"/>
                <w:szCs w:val="10"/>
                <w:b w:val="1"/>
                <w:bCs w:val="1"/>
                <w:color w:val="auto"/>
                <w:w w:val="90"/>
              </w:rPr>
              <w:t>Percentage Increase</w:t>
            </w: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vMerge w:val="restart"/>
          </w:tcPr>
          <w:p>
            <w:pPr>
              <w:jc w:val="right"/>
              <w:ind w:right="514"/>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2980" w:type="dxa"/>
            <w:vAlign w:val="bottom"/>
            <w:gridSpan w:val="5"/>
          </w:tcPr>
          <w:p>
            <w:pPr>
              <w:jc w:val="center"/>
              <w:ind w:right="980"/>
              <w:spacing w:after="0"/>
              <w:rPr>
                <w:sz w:val="20"/>
                <w:szCs w:val="20"/>
                <w:color w:val="auto"/>
              </w:rPr>
            </w:pPr>
            <w:r>
              <w:rPr>
                <w:rFonts w:ascii="Arial" w:cs="Arial" w:eastAsia="Arial" w:hAnsi="Arial"/>
                <w:sz w:val="10"/>
                <w:szCs w:val="10"/>
                <w:b w:val="1"/>
                <w:bCs w:val="1"/>
                <w:color w:val="auto"/>
                <w:w w:val="94"/>
              </w:rPr>
              <w:t>(Decrease) from</w:t>
            </w: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6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1220" w:type="dxa"/>
            <w:vAlign w:val="bottom"/>
            <w:tcBorders>
              <w:top w:val="single" w:sz="8" w:color="auto"/>
            </w:tcBorders>
            <w:gridSpan w:val="2"/>
          </w:tcPr>
          <w:p>
            <w:pPr>
              <w:jc w:val="right"/>
              <w:ind w:right="540"/>
              <w:spacing w:after="0" w:line="98" w:lineRule="exact"/>
              <w:rPr>
                <w:sz w:val="20"/>
                <w:szCs w:val="20"/>
                <w:color w:val="auto"/>
              </w:rPr>
            </w:pPr>
            <w:r>
              <w:rPr>
                <w:rFonts w:ascii="Arial" w:cs="Arial" w:eastAsia="Arial" w:hAnsi="Arial"/>
                <w:sz w:val="10"/>
                <w:szCs w:val="10"/>
                <w:b w:val="1"/>
                <w:bCs w:val="1"/>
                <w:color w:val="auto"/>
              </w:rPr>
              <w:t>2005 to 2006</w:t>
            </w:r>
          </w:p>
        </w:tc>
        <w:tc>
          <w:tcPr>
            <w:tcW w:w="780" w:type="dxa"/>
            <w:vAlign w:val="bottom"/>
            <w:tcBorders>
              <w:top w:val="single" w:sz="8" w:color="auto"/>
            </w:tcBorders>
          </w:tcPr>
          <w:p>
            <w:pPr>
              <w:ind w:left="120"/>
              <w:spacing w:after="0" w:line="98" w:lineRule="exact"/>
              <w:rPr>
                <w:sz w:val="20"/>
                <w:szCs w:val="20"/>
                <w:color w:val="auto"/>
              </w:rPr>
            </w:pPr>
            <w:r>
              <w:rPr>
                <w:rFonts w:ascii="Arial" w:cs="Arial" w:eastAsia="Arial" w:hAnsi="Arial"/>
                <w:sz w:val="10"/>
                <w:szCs w:val="10"/>
                <w:b w:val="1"/>
                <w:bCs w:val="1"/>
                <w:color w:val="auto"/>
              </w:rPr>
              <w:t>2004 to 2005</w:t>
            </w:r>
          </w:p>
        </w:tc>
        <w:tc>
          <w:tcPr>
            <w:tcW w:w="98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174"/>
              <w:spacing w:after="0"/>
              <w:rPr>
                <w:sz w:val="20"/>
                <w:szCs w:val="20"/>
                <w:color w:val="auto"/>
              </w:rPr>
            </w:pPr>
            <w:r>
              <w:rPr>
                <w:rFonts w:ascii="Arial" w:cs="Arial" w:eastAsia="Arial" w:hAnsi="Arial"/>
                <w:sz w:val="10"/>
                <w:szCs w:val="10"/>
                <w:b w:val="1"/>
                <w:bCs w:val="1"/>
                <w:color w:val="auto"/>
              </w:rPr>
              <w:t>(Dollars in millions)</w:t>
            </w:r>
          </w:p>
        </w:tc>
        <w:tc>
          <w:tcPr>
            <w:tcW w:w="4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80" w:type="dxa"/>
            <w:vAlign w:val="bottom"/>
          </w:tcPr>
          <w:p>
            <w:pPr>
              <w:spacing w:after="0"/>
              <w:rPr>
                <w:sz w:val="15"/>
                <w:szCs w:val="15"/>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4"/>
                <w:szCs w:val="14"/>
                <w:color w:val="auto"/>
              </w:rPr>
              <w:t>NOW accounts</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6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435</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6020" w:type="dxa"/>
            <w:vAlign w:val="bottom"/>
          </w:tcPr>
          <w:p>
            <w:pPr>
              <w:spacing w:after="0"/>
              <w:rPr>
                <w:sz w:val="20"/>
                <w:szCs w:val="20"/>
                <w:color w:val="auto"/>
              </w:rPr>
            </w:pPr>
            <w:r>
              <w:rPr>
                <w:rFonts w:ascii="Arial" w:cs="Arial" w:eastAsia="Arial" w:hAnsi="Arial"/>
                <w:sz w:val="14"/>
                <w:szCs w:val="14"/>
                <w:color w:val="auto"/>
              </w:rPr>
              <w:t>Savings deposits</w:t>
            </w:r>
          </w:p>
        </w:tc>
        <w:tc>
          <w:tcPr>
            <w:tcW w:w="160" w:type="dxa"/>
            <w:vAlign w:val="bottom"/>
          </w:tcPr>
          <w:p>
            <w:pPr>
              <w:spacing w:after="0"/>
              <w:rPr>
                <w:sz w:val="14"/>
                <w:szCs w:val="14"/>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4"/>
                <w:szCs w:val="14"/>
                <w:color w:val="auto"/>
              </w:rPr>
              <w:t>14,332</w:t>
            </w:r>
          </w:p>
        </w:tc>
        <w:tc>
          <w:tcPr>
            <w:tcW w:w="1220" w:type="dxa"/>
            <w:vAlign w:val="bottom"/>
            <w:gridSpan w:val="2"/>
          </w:tcPr>
          <w:p>
            <w:pPr>
              <w:jc w:val="right"/>
              <w:ind w:right="380"/>
              <w:spacing w:after="0"/>
              <w:rPr>
                <w:sz w:val="20"/>
                <w:szCs w:val="20"/>
                <w:color w:val="auto"/>
              </w:rPr>
            </w:pPr>
            <w:r>
              <w:rPr>
                <w:rFonts w:ascii="Arial" w:cs="Arial" w:eastAsia="Arial" w:hAnsi="Arial"/>
                <w:sz w:val="14"/>
                <w:szCs w:val="14"/>
                <w:color w:val="auto"/>
              </w:rPr>
              <w:t>(3)</w:t>
            </w:r>
          </w:p>
        </w:tc>
        <w:tc>
          <w:tcPr>
            <w:tcW w:w="960" w:type="dxa"/>
            <w:vAlign w:val="bottom"/>
            <w:gridSpan w:val="2"/>
          </w:tcPr>
          <w:p>
            <w:pPr>
              <w:jc w:val="right"/>
              <w:ind w:right="61"/>
              <w:spacing w:after="0"/>
              <w:rPr>
                <w:sz w:val="20"/>
                <w:szCs w:val="20"/>
                <w:color w:val="auto"/>
              </w:rPr>
            </w:pPr>
            <w:r>
              <w:rPr>
                <w:rFonts w:ascii="Arial" w:cs="Arial" w:eastAsia="Arial" w:hAnsi="Arial"/>
                <w:sz w:val="14"/>
                <w:szCs w:val="14"/>
                <w:color w:val="auto"/>
              </w:rPr>
              <w:t>(3)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4"/>
                <w:szCs w:val="14"/>
                <w:color w:val="auto"/>
              </w:rPr>
              <w:t>Time deposits under $100,000</w:t>
            </w:r>
          </w:p>
        </w:tc>
        <w:tc>
          <w:tcPr>
            <w:tcW w:w="16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5,983</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29</w:t>
            </w:r>
          </w:p>
        </w:tc>
        <w:tc>
          <w:tcPr>
            <w:tcW w:w="960" w:type="dxa"/>
            <w:vAlign w:val="bottom"/>
            <w:gridSpan w:val="2"/>
            <w:shd w:val="clear" w:color="auto" w:fill="CCEEFF"/>
          </w:tcPr>
          <w:p>
            <w:pPr>
              <w:jc w:val="right"/>
              <w:ind w:right="121"/>
              <w:spacing w:after="0"/>
              <w:rPr>
                <w:sz w:val="20"/>
                <w:szCs w:val="20"/>
                <w:color w:val="auto"/>
              </w:rPr>
            </w:pPr>
            <w:r>
              <w:rPr>
                <w:rFonts w:ascii="Arial" w:cs="Arial" w:eastAsia="Arial" w:hAnsi="Arial"/>
                <w:sz w:val="14"/>
                <w:szCs w:val="14"/>
                <w:color w:val="auto"/>
              </w:rPr>
              <w:t>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6020" w:type="dxa"/>
            <w:vAlign w:val="bottom"/>
          </w:tcPr>
          <w:p>
            <w:pPr>
              <w:spacing w:after="0"/>
              <w:rPr>
                <w:sz w:val="20"/>
                <w:szCs w:val="20"/>
                <w:color w:val="auto"/>
              </w:rPr>
            </w:pPr>
            <w:r>
              <w:rPr>
                <w:rFonts w:ascii="Arial" w:cs="Arial" w:eastAsia="Arial" w:hAnsi="Arial"/>
                <w:sz w:val="14"/>
                <w:szCs w:val="14"/>
                <w:color w:val="auto"/>
              </w:rPr>
              <w:t>Noninterest-bearing deposits</w:t>
            </w: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7,555</w:t>
            </w:r>
          </w:p>
        </w:tc>
        <w:tc>
          <w:tcPr>
            <w:tcW w:w="400" w:type="dxa"/>
            <w:vAlign w:val="bottom"/>
          </w:tcPr>
          <w:p>
            <w:pPr>
              <w:spacing w:after="0"/>
              <w:rPr>
                <w:sz w:val="14"/>
                <w:szCs w:val="1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4"/>
                <w:szCs w:val="14"/>
                <w:color w:val="auto"/>
              </w:rPr>
              <w:t>(6)</w:t>
            </w:r>
          </w:p>
        </w:tc>
        <w:tc>
          <w:tcPr>
            <w:tcW w:w="960" w:type="dxa"/>
            <w:vAlign w:val="bottom"/>
            <w:gridSpan w:val="2"/>
          </w:tcPr>
          <w:p>
            <w:pPr>
              <w:jc w:val="right"/>
              <w:ind w:right="121"/>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80" w:type="dxa"/>
            <w:vAlign w:val="bottom"/>
          </w:tcPr>
          <w:p>
            <w:pPr>
              <w:spacing w:after="0"/>
              <w:rPr>
                <w:sz w:val="15"/>
                <w:szCs w:val="15"/>
                <w:color w:val="auto"/>
              </w:rPr>
            </w:pPr>
          </w:p>
        </w:tc>
        <w:tc>
          <w:tcPr>
            <w:tcW w:w="60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28,305</w:t>
            </w:r>
          </w:p>
        </w:tc>
        <w:tc>
          <w:tcPr>
            <w:tcW w:w="4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9"/>
        </w:trPr>
        <w:tc>
          <w:tcPr>
            <w:tcW w:w="68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980" w:type="dxa"/>
            <w:vAlign w:val="bottom"/>
            <w:gridSpan w:val="2"/>
          </w:tcPr>
          <w:p>
            <w:pPr>
              <w:jc w:val="right"/>
              <w:ind w:right="800"/>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60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2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Additional sources of funding for the Company include domestic time deposits of $100,000 or more, deposits originated through the Company’s offshore branch</w:t>
      </w:r>
    </w:p>
    <w:p>
      <w:pPr>
        <w:spacing w:after="0" w:line="3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office, and brokered deposits. Domestic time deposits over $100,000, excluding brokered certificates of deposit, averaged $2.9 billion in 2006, $1.8 billion in 2005 and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$1.2 billion in 2004. Offshore branch deposits, primarily comprised of accounts with balances of $100,000 or more, averaged $3.6 billion in 2006, $3.8 billion in 2005 and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$3.1 billion in 2004. Average brokered time deposits totaled $3.5 billion in 2006, compared with $2.7 billion in 2005 and $1.4 billion in 2004, and at December 31, 2006</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and 2005 totaled $2.7 billion and $3.7 billion, respectively. At December 31, 2006, the weighted-average remaining term to maturity of brokered time deposits was</w:t>
      </w:r>
    </w:p>
    <w:p>
      <w:pPr>
        <w:spacing w:after="0" w:line="18" w:lineRule="exact"/>
        <w:rPr>
          <w:sz w:val="20"/>
          <w:szCs w:val="20"/>
          <w:color w:val="auto"/>
        </w:rPr>
      </w:pPr>
    </w:p>
    <w:p>
      <w:pPr>
        <w:ind w:left="680" w:right="40"/>
        <w:spacing w:after="0" w:line="268" w:lineRule="auto"/>
        <w:rPr>
          <w:sz w:val="20"/>
          <w:szCs w:val="20"/>
          <w:color w:val="auto"/>
        </w:rPr>
      </w:pPr>
      <w:r>
        <w:rPr>
          <w:rFonts w:ascii="Arial" w:cs="Arial" w:eastAsia="Arial" w:hAnsi="Arial"/>
          <w:sz w:val="13"/>
          <w:szCs w:val="13"/>
          <w:color w:val="auto"/>
        </w:rPr>
        <w:t>11 months. Certain of these brokered deposits have provisions that allow for early redemption. In connection with the Company’s management of interest rate risk, interest rate swap agreements have been entered into under which the Company receives a fixed rate of interest and pays a variable rate and that have notional amounts and terms substantially similar to the amounts and terms of $390 million of brokered time deposits. The Company also had brokered money-market deposit accounts, which averaged $69 million, $62 million and $57 million in 2006, 2005 and 2004, respectively. Offshore branch deposits and brokered deposits have been used by the Company as an alternative to short-term borrowings. Additional amounts of offshore branch deposits or brokered deposits may be solicited in the future depending on market conditions, including demand by customers and other investors for such deposits, and the cost of funds available from alternative sources at the time.</w:t>
      </w:r>
    </w:p>
    <w:p>
      <w:pPr>
        <w:spacing w:after="0" w:line="1" w:lineRule="exact"/>
        <w:rPr>
          <w:sz w:val="20"/>
          <w:szCs w:val="20"/>
          <w:color w:val="auto"/>
        </w:rPr>
      </w:pPr>
    </w:p>
    <w:p>
      <w:pPr>
        <w:ind w:left="680" w:firstLine="599"/>
        <w:spacing w:after="0" w:line="268" w:lineRule="auto"/>
        <w:rPr>
          <w:sz w:val="20"/>
          <w:szCs w:val="20"/>
          <w:color w:val="auto"/>
        </w:rPr>
      </w:pPr>
      <w:r>
        <w:rPr>
          <w:rFonts w:ascii="Arial" w:cs="Arial" w:eastAsia="Arial" w:hAnsi="Arial"/>
          <w:sz w:val="13"/>
          <w:szCs w:val="13"/>
          <w:color w:val="auto"/>
        </w:rPr>
        <w:t>The Company also uses borrowings from banks, securities dealers, various Federal Home Loan Banks (“FHLBs”), and others as sources of funding. Short-term borrowings averaged $4.5 billion in 2006, $4.9 billion in 2005 and $5.1 billion in 2004. Included in short-term borrowings were unsecured federal funds borrowings, which generally mature daily, and averaged $3.7 billion, $4.1 billion and $4.3 billion in 2006, 2005 and 2004, respectively. Overnight federal funds borrowings represent the largest component of short-term borrowings and are obtained daily from a wide variety of banks and other financial institutions. Also included in short-term borrowings is a $500 million revolving asset-backed structured borrowing secured by automobile loans that were transferred to M</w:t>
      </w:r>
      <w:r>
        <w:rPr>
          <w:rFonts w:ascii="Arial" w:cs="Arial" w:eastAsia="Arial" w:hAnsi="Arial"/>
          <w:sz w:val="12"/>
          <w:szCs w:val="12"/>
          <w:color w:val="auto"/>
        </w:rPr>
        <w:t>&amp;</w:t>
      </w:r>
      <w:r>
        <w:rPr>
          <w:rFonts w:ascii="Arial" w:cs="Arial" w:eastAsia="Arial" w:hAnsi="Arial"/>
          <w:sz w:val="13"/>
          <w:szCs w:val="13"/>
          <w:color w:val="auto"/>
        </w:rPr>
        <w:t>T Auto Receivables I, LLC, a special purpose subsidiary of M</w:t>
      </w:r>
      <w:r>
        <w:rPr>
          <w:rFonts w:ascii="Arial" w:cs="Arial" w:eastAsia="Arial" w:hAnsi="Arial"/>
          <w:sz w:val="12"/>
          <w:szCs w:val="12"/>
          <w:color w:val="auto"/>
        </w:rPr>
        <w:t>&amp;</w:t>
      </w:r>
      <w:r>
        <w:rPr>
          <w:rFonts w:ascii="Arial" w:cs="Arial" w:eastAsia="Arial" w:hAnsi="Arial"/>
          <w:sz w:val="13"/>
          <w:szCs w:val="13"/>
          <w:color w:val="auto"/>
        </w:rPr>
        <w:t>T Bank. The subsidiary, the loans and the borrowings are included in the consolidated financial statements of the Company. Additional information about M</w:t>
      </w:r>
      <w:r>
        <w:rPr>
          <w:rFonts w:ascii="Arial" w:cs="Arial" w:eastAsia="Arial" w:hAnsi="Arial"/>
          <w:sz w:val="12"/>
          <w:szCs w:val="12"/>
          <w:color w:val="auto"/>
        </w:rPr>
        <w:t>&amp;</w:t>
      </w:r>
      <w:r>
        <w:rPr>
          <w:rFonts w:ascii="Arial" w:cs="Arial" w:eastAsia="Arial" w:hAnsi="Arial"/>
          <w:sz w:val="13"/>
          <w:szCs w:val="13"/>
          <w:color w:val="auto"/>
        </w:rPr>
        <w:t>T Auto Receivables I, LLC and the revolving borrowing agreement is included in note 18 of Notes to Financial Statements.</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The average balance of long-term borrowings was $6.0 billion in 2006, $6.4 billion in 2005 and $5.8 billion in 2004. Included in average long-term borrowings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were amounts borrowed from the FHLBs of $3.8 billion in each of 2006 and 2005, and $3.3 billion in 2004, and subordinated capital notes of $1.2 billion in 2006 and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$1.3 billion in 2005 and 2004. M</w:t>
      </w:r>
      <w:r>
        <w:rPr>
          <w:rFonts w:ascii="Arial" w:cs="Arial" w:eastAsia="Arial" w:hAnsi="Arial"/>
          <w:sz w:val="12"/>
          <w:szCs w:val="12"/>
          <w:color w:val="auto"/>
        </w:rPr>
        <w:t>&amp;</w:t>
      </w:r>
      <w:r>
        <w:rPr>
          <w:rFonts w:ascii="Arial" w:cs="Arial" w:eastAsia="Arial" w:hAnsi="Arial"/>
          <w:sz w:val="13"/>
          <w:szCs w:val="13"/>
          <w:color w:val="auto"/>
        </w:rPr>
        <w:t>T Bank issued $500 million of subordinated notes in December 2006, in part to maintain appropriate regulatory capital ratios. The notes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bear a fixed rate of interest of 5.629% until December 2016 and a floating rate thereafter until maturity in December 2021, at a rate equal to the three-month London</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Interbank Offered Rate (“LIBOR”) plus .64%. Beginning December 2016, M</w:t>
      </w:r>
      <w:r>
        <w:rPr>
          <w:rFonts w:ascii="Arial" w:cs="Arial" w:eastAsia="Arial" w:hAnsi="Arial"/>
          <w:sz w:val="12"/>
          <w:szCs w:val="12"/>
          <w:color w:val="auto"/>
        </w:rPr>
        <w:t>&amp;</w:t>
      </w:r>
      <w:r>
        <w:rPr>
          <w:rFonts w:ascii="Arial" w:cs="Arial" w:eastAsia="Arial" w:hAnsi="Arial"/>
          <w:sz w:val="13"/>
          <w:szCs w:val="13"/>
          <w:color w:val="auto"/>
        </w:rPr>
        <w:t>T Bank may, at its option and subject to prior regulatory approval, redeem some or all of the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notes on any interest payment date. In December 2005, M</w:t>
      </w:r>
      <w:r>
        <w:rPr>
          <w:rFonts w:ascii="Arial" w:cs="Arial" w:eastAsia="Arial" w:hAnsi="Arial"/>
          <w:sz w:val="12"/>
          <w:szCs w:val="12"/>
          <w:color w:val="auto"/>
        </w:rPr>
        <w:t>&amp;</w:t>
      </w:r>
      <w:r>
        <w:rPr>
          <w:rFonts w:ascii="Arial" w:cs="Arial" w:eastAsia="Arial" w:hAnsi="Arial"/>
          <w:sz w:val="13"/>
          <w:szCs w:val="13"/>
          <w:color w:val="auto"/>
        </w:rPr>
        <w:t>T Bank exchanged $363 million of 8.0% subordinated notes due 2010 for $409 million of subordinated notes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bearing a fixed coupon rate of interest of 5.585% through December 2015 and a variable rate of interest equal to one-month LIBOR plus 1.215% from December 2015 to</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maturity date in December 2020. Beginning December 2015, M</w:t>
      </w:r>
      <w:r>
        <w:rPr>
          <w:rFonts w:ascii="Arial" w:cs="Arial" w:eastAsia="Arial" w:hAnsi="Arial"/>
          <w:sz w:val="12"/>
          <w:szCs w:val="12"/>
          <w:color w:val="auto"/>
        </w:rPr>
        <w:t>&amp;</w:t>
      </w:r>
      <w:r>
        <w:rPr>
          <w:rFonts w:ascii="Arial" w:cs="Arial" w:eastAsia="Arial" w:hAnsi="Arial"/>
          <w:sz w:val="13"/>
          <w:szCs w:val="13"/>
          <w:color w:val="auto"/>
        </w:rPr>
        <w:t>T Bank may, at its option and subject to prior regulatory approval, redeem some or all of the new notes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on any interest payment date. In accordance with GAAP, the Company accounted for the exchange as a modification of debt terms and not as an extinguishment of debt</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because, among other factors, the present value of the cash flows under the terms of the new subordinated notes was not at least ten percent different from the present value</w:t>
      </w:r>
    </w:p>
    <w:p>
      <w:pPr>
        <w:spacing w:after="0" w:line="2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of the remaining cash flows under the original terms of the exchanged subordinated notes. Coincident with the exchange, M</w:t>
      </w:r>
      <w:r>
        <w:rPr>
          <w:rFonts w:ascii="Arial" w:cs="Arial" w:eastAsia="Arial" w:hAnsi="Arial"/>
          <w:sz w:val="12"/>
          <w:szCs w:val="12"/>
          <w:color w:val="auto"/>
        </w:rPr>
        <w:t>&amp;</w:t>
      </w:r>
      <w:r>
        <w:rPr>
          <w:rFonts w:ascii="Arial" w:cs="Arial" w:eastAsia="Arial" w:hAnsi="Arial"/>
          <w:sz w:val="13"/>
          <w:szCs w:val="13"/>
          <w:color w:val="auto"/>
        </w:rPr>
        <w:t>T Bank terminated $363 million out of a total</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notional amount of $500 million of interest rate swap agreements that were used to hedge the 8.0% subordinated notes. Under the terms of the swap agreements, the</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Company pays a variable rate of interest and receives a fixed rate. The Company paid $15 million to terminate the $363 million notional amount of the interest rate swap</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agreements. A hedge valuation adjustment of $15 million related to the $363 million of exchanged subordinated notes became part of the carrying value of the new</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subordinated</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notes. The remaining portion of that valuation adjustment, which is being amortized to interest expense over the period to expected maturity of the new notes, was</w:t>
      </w:r>
    </w:p>
    <w:p>
      <w:pPr>
        <w:spacing w:after="0" w:line="30" w:lineRule="exact"/>
        <w:rPr>
          <w:sz w:val="20"/>
          <w:szCs w:val="20"/>
          <w:color w:val="auto"/>
        </w:rPr>
      </w:pPr>
    </w:p>
    <w:p>
      <w:pPr>
        <w:ind w:left="680" w:right="100"/>
        <w:spacing w:after="0" w:line="268" w:lineRule="auto"/>
        <w:rPr>
          <w:sz w:val="20"/>
          <w:szCs w:val="20"/>
          <w:color w:val="auto"/>
        </w:rPr>
      </w:pPr>
      <w:r>
        <w:rPr>
          <w:rFonts w:ascii="Arial" w:cs="Arial" w:eastAsia="Arial" w:hAnsi="Arial"/>
          <w:sz w:val="13"/>
          <w:szCs w:val="13"/>
          <w:color w:val="auto"/>
        </w:rPr>
        <w:t>$14 million at December 31, 2006. Including the impact of such amortization, the new subordinated notes have an effective rate of 7.76%. The $137 million notional amount of the interest rate swap agreement that was not terminated continues to hedge the remaining $137 million of 8.0% subordinated notes. Further information on interest rate swap agreements is provided in note 17 of Notes to Financial Statements. Junior subordinated debentures associated with trust preferred securities that were included in average long-term borrowings were $712 million, $711 million and $710 million in 2006, 2005 and 2004, respectively. Additional information regarding junior subordinated debentures, as well as information regarding contractual maturities of long-term borrowings, is provided in note 9 of Notes to Financial Statements.</w:t>
      </w:r>
    </w:p>
    <w:p>
      <w:pPr>
        <w:spacing w:after="0" w:line="1" w:lineRule="exact"/>
        <w:rPr>
          <w:sz w:val="20"/>
          <w:szCs w:val="20"/>
          <w:color w:val="auto"/>
        </w:rPr>
      </w:pPr>
    </w:p>
    <w:p>
      <w:pPr>
        <w:ind w:left="680" w:right="20" w:firstLine="599"/>
        <w:spacing w:after="0" w:line="249" w:lineRule="auto"/>
        <w:rPr>
          <w:sz w:val="20"/>
          <w:szCs w:val="20"/>
          <w:color w:val="auto"/>
        </w:rPr>
      </w:pPr>
      <w:r>
        <w:rPr>
          <w:rFonts w:ascii="Arial" w:cs="Arial" w:eastAsia="Arial" w:hAnsi="Arial"/>
          <w:sz w:val="14"/>
          <w:szCs w:val="14"/>
          <w:color w:val="auto"/>
        </w:rPr>
        <w:t>Changes in the composition of the Company’s earning assets and interest-bearing liabilities as described herein, as well as changes in interest rates and spreads, can impact net interest income. From June 30, 2004 to June 30, 2006, the Federal Reserve raised its benchmark overnight federal funds target rate seventeen times, each increase representing a 25 basis point increment over the previously effective target rate. Specifically, during the first half of 2006, four increases were initiated; during 2005, eight increases occurred; and in the second half of 2004, the target federal funds rate was raised five times. In such a rising interest rate environment, rates paid on interest-bearing liabilities, most notably short-term borrowings, have risen more rapidly than have the yields on earning assets. The result of these conditions was a contraction of the net interest spread, or the difference between the yield on earning assets and the rate paid on interest-bearing liabilities, which declined 22 basis points from 3.32% in 2005 to 3.10% in 2006. The yield on earning assets during 2006 was 6.71%, 88 basis points higher than 5.83% in 2005, while the rate paid on interest-bearing liabilities increased 110 basis points to 3.61% from 2.51% in 2005. The yield on the Company’s earning assets rose 70 basis points in 2005 from 5.13% in 2004, while the rate paid on interest-bearing liabilities in 2005 was up 98 basis points from 1.53% in 2004. As a result, the Company’s net interest spread decreased from 3.60% in 2004 to 3.32% in 2005.</w:t>
      </w:r>
    </w:p>
    <w:p>
      <w:pPr>
        <w:spacing w:after="0" w:line="1" w:lineRule="exact"/>
        <w:rPr>
          <w:sz w:val="20"/>
          <w:szCs w:val="20"/>
          <w:color w:val="auto"/>
        </w:rPr>
      </w:pPr>
    </w:p>
    <w:p>
      <w:pPr>
        <w:ind w:left="680" w:right="20" w:firstLine="599"/>
        <w:spacing w:after="0" w:line="268" w:lineRule="auto"/>
        <w:rPr>
          <w:sz w:val="20"/>
          <w:szCs w:val="20"/>
          <w:color w:val="auto"/>
        </w:rPr>
      </w:pPr>
      <w:r>
        <w:rPr>
          <w:rFonts w:ascii="Arial" w:cs="Arial" w:eastAsia="Arial" w:hAnsi="Arial"/>
          <w:sz w:val="13"/>
          <w:szCs w:val="13"/>
          <w:color w:val="auto"/>
        </w:rPr>
        <w:t>Net interest-free funds consist largely of noninterest-bearing demand deposits and stockholders’ equity, partially offset by bank owned life insurance and non-earning assets, including goodwill and core deposit and other intangible assets. Net interest-free funds averaged $8.2 billion in 2006, compared with $8.6 billion in 2005 and $8.3 billion in 2004. Goodwill and core deposit and other intangible assets averaged $3.1 billion in 2006 and 2004, and $3.0 billion in 2005. The cash surrender value of bank owned life insurance averaged $1.1 billion in 2006, $1.0 billion in 2005 and $974 million in 2004. Increases in the cash surrender value of bank owned life insurance are not included in interest income, but rather are recorded in “other revenues from operations.” The contribution of net interest-free funds to net interest margin was .60% in 2006, .45% in 2005 and .28% in 2004. The rise in the contribution to net interest margin ascribed to net interest-free funds in 2006 and 2005 as compared with the immediately preceding years resulted largely from the impact of higher interest rates on interest-bearing liabilities used to value such contribution.</w:t>
      </w:r>
    </w:p>
    <w:p>
      <w:pPr>
        <w:spacing w:after="0" w:line="1" w:lineRule="exact"/>
        <w:rPr>
          <w:sz w:val="20"/>
          <w:szCs w:val="20"/>
          <w:color w:val="auto"/>
        </w:rPr>
      </w:pPr>
    </w:p>
    <w:p>
      <w:pPr>
        <w:ind w:left="680" w:right="160" w:firstLine="599"/>
        <w:spacing w:after="0" w:line="268" w:lineRule="auto"/>
        <w:rPr>
          <w:sz w:val="20"/>
          <w:szCs w:val="20"/>
          <w:color w:val="auto"/>
        </w:rPr>
      </w:pPr>
      <w:r>
        <w:rPr>
          <w:rFonts w:ascii="Arial" w:cs="Arial" w:eastAsia="Arial" w:hAnsi="Arial"/>
          <w:sz w:val="13"/>
          <w:szCs w:val="13"/>
          <w:color w:val="auto"/>
        </w:rPr>
        <w:t>Reflecting the changes to the net interest spread and the contribution of interest-free funds as described herein, the Company’s net interest margin was 3.70% in 2006, compared with 3.77% in 2005 and 3.88% in 2004.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 Through the second quarter of 2006, the Company’s net interest margin had been declining since the Federal Reserve began raising interest rates in June 2004. During the last half of 2006, the Federal Reserve held interest rates steady and the Company’s net interest margin stabilized.</w:t>
      </w:r>
    </w:p>
    <w:p>
      <w:pPr>
        <w:spacing w:after="0" w:line="1" w:lineRule="exact"/>
        <w:rPr>
          <w:sz w:val="20"/>
          <w:szCs w:val="20"/>
          <w:color w:val="auto"/>
        </w:rPr>
      </w:pPr>
    </w:p>
    <w:p>
      <w:pPr>
        <w:ind w:left="680" w:right="60" w:firstLine="599"/>
        <w:spacing w:after="0" w:line="252" w:lineRule="auto"/>
        <w:rPr>
          <w:sz w:val="20"/>
          <w:szCs w:val="20"/>
          <w:color w:val="auto"/>
        </w:rPr>
      </w:pPr>
      <w:r>
        <w:rPr>
          <w:rFonts w:ascii="Arial" w:cs="Arial" w:eastAsia="Arial" w:hAnsi="Arial"/>
          <w:sz w:val="14"/>
          <w:szCs w:val="14"/>
          <w:color w:val="auto"/>
        </w:rPr>
        <w:t>Management assesses the potential impact of future changes in interest rates and spreads by projecting net interest income under several interest rate scenarios. In managing interest rate risk, the Company utilizes interest rate swap agreements to modify the repricing characteristics of certain portions of its portfolios of earning assets and interest-bearing liabilities. Periodic settlement amounts arising from these agreements are generally reflected in either the yields earned on assets or the rates paid on interest-bearing liabilities. The notional amount of interest rate swap agreements entered into for interest rate risk management purposes at December 31, 2006 was $1.0 billion. Under the terms of these swap</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agreements, the Company receives payments based on the outstanding notional amount of the swaps at fixed rates and makes payments at variable rates.</w:t>
      </w:r>
    </w:p>
    <w:p>
      <w:pPr>
        <w:spacing w:after="0" w:line="18" w:lineRule="exact"/>
        <w:rPr>
          <w:sz w:val="20"/>
          <w:szCs w:val="20"/>
          <w:color w:val="auto"/>
        </w:rPr>
      </w:pPr>
    </w:p>
    <w:p>
      <w:pPr>
        <w:ind w:left="680" w:firstLine="599"/>
        <w:spacing w:after="0" w:line="271" w:lineRule="auto"/>
        <w:rPr>
          <w:sz w:val="20"/>
          <w:szCs w:val="20"/>
          <w:color w:val="auto"/>
        </w:rPr>
      </w:pPr>
      <w:r>
        <w:rPr>
          <w:rFonts w:ascii="Arial" w:cs="Arial" w:eastAsia="Arial" w:hAnsi="Arial"/>
          <w:sz w:val="13"/>
          <w:szCs w:val="13"/>
          <w:color w:val="auto"/>
        </w:rPr>
        <w:t>As of December 31, 2006, all of the Company’s interest rate swap agreements entered into for risk management purposes had been designated as fair value hedges. Additional information about those swap agreements and the items being hedged is included in note 17 of Notes to Financial Statements. 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in “other revenues from operations” in the Company’s consolidated statement of income. In a cash flow hedge, unlike in a fair value hedge, the effective portion of the derivative’s gain or loss is initially reported as a component of other comprehensive income and subsequently reclassified into earnings when the forecasted transaction affects earnings. The ineffective portion of the gain or loss is reported in “other revenues from operations” immediately. The amounts of hedge ineffectiveness recognized in 2006, 2005 and 2004 were not material to the Company’s results of operations. The estimated aggregate fair value of interest rate swap agreements designated as fair value hedges represented a loss of approximately $15 million and $9 million at December 31, 2006 and 2005, respectively. The fair values of such swap agreements were substantially offset by changes in the fair values of the hedged items. The changes in the fair values of the interest rate swap agreements and the hedged items result from the effects of changing interest rates. The average notional amounts of interest rate swap agreements entered into for interest rate risk management purposes, the related effect on net interest income and margin, and the weighted-average interest rates paid or received on those swap agreements are presented in table 9.</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9</w:t>
      </w:r>
    </w:p>
    <w:p>
      <w:pPr>
        <w:spacing w:after="0" w:line="252" w:lineRule="exact"/>
        <w:rPr>
          <w:sz w:val="20"/>
          <w:szCs w:val="20"/>
          <w:color w:val="auto"/>
        </w:rPr>
      </w:pPr>
    </w:p>
    <w:p>
      <w:pPr>
        <w:ind w:left="4360"/>
        <w:spacing w:after="0"/>
        <w:rPr>
          <w:sz w:val="20"/>
          <w:szCs w:val="20"/>
          <w:color w:val="auto"/>
        </w:rPr>
      </w:pPr>
      <w:r>
        <w:rPr>
          <w:rFonts w:ascii="Arial" w:cs="Arial" w:eastAsia="Arial" w:hAnsi="Arial"/>
          <w:sz w:val="14"/>
          <w:szCs w:val="14"/>
          <w:b w:val="1"/>
          <w:bCs w:val="1"/>
          <w:color w:val="auto"/>
        </w:rPr>
        <w:t>INTEREST RATE SWAP AGREEMENTS</w:t>
      </w:r>
    </w:p>
    <w:p>
      <w:pPr>
        <w:spacing w:after="0" w:line="10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gridSpan w:val="4"/>
          </w:tcPr>
          <w:p>
            <w:pPr>
              <w:jc w:val="right"/>
              <w:ind w:right="1020"/>
              <w:spacing w:after="0"/>
              <w:rPr>
                <w:sz w:val="20"/>
                <w:szCs w:val="20"/>
                <w:color w:val="auto"/>
              </w:rPr>
            </w:pPr>
            <w:r>
              <w:rPr>
                <w:rFonts w:ascii="Arial" w:cs="Arial" w:eastAsia="Arial" w:hAnsi="Arial"/>
                <w:sz w:val="10"/>
                <w:szCs w:val="10"/>
                <w:b w:val="1"/>
                <w:bCs w:val="1"/>
                <w:color w:val="auto"/>
              </w:rPr>
              <w:t>Year Ended December 31</w:t>
            </w: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2"/>
          </w:tcPr>
          <w:p>
            <w:pPr>
              <w:jc w:val="right"/>
              <w:ind w:right="308"/>
              <w:spacing w:after="0" w:line="98" w:lineRule="exact"/>
              <w:rPr>
                <w:sz w:val="20"/>
                <w:szCs w:val="20"/>
                <w:color w:val="auto"/>
              </w:rPr>
            </w:pPr>
            <w:r>
              <w:rPr>
                <w:rFonts w:ascii="Arial" w:cs="Arial" w:eastAsia="Arial" w:hAnsi="Arial"/>
                <w:sz w:val="10"/>
                <w:szCs w:val="10"/>
                <w:b w:val="1"/>
                <w:bCs w:val="1"/>
                <w:color w:val="auto"/>
              </w:rPr>
              <w:t>2006</w:t>
            </w:r>
          </w:p>
        </w:tc>
        <w:tc>
          <w:tcPr>
            <w:tcW w:w="4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2"/>
          </w:tcPr>
          <w:p>
            <w:pPr>
              <w:jc w:val="right"/>
              <w:ind w:right="380"/>
              <w:spacing w:after="0" w:line="98" w:lineRule="exact"/>
              <w:rPr>
                <w:sz w:val="20"/>
                <w:szCs w:val="20"/>
                <w:color w:val="auto"/>
              </w:rPr>
            </w:pPr>
            <w:r>
              <w:rPr>
                <w:rFonts w:ascii="Arial" w:cs="Arial" w:eastAsia="Arial" w:hAnsi="Arial"/>
                <w:sz w:val="10"/>
                <w:szCs w:val="10"/>
                <w:b w:val="1"/>
                <w:bCs w:val="1"/>
                <w:color w:val="auto"/>
              </w:rPr>
              <w:t>2005</w:t>
            </w:r>
          </w:p>
        </w:tc>
        <w:tc>
          <w:tcPr>
            <w:tcW w:w="4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313"/>
              <w:spacing w:after="0" w:line="98" w:lineRule="exact"/>
              <w:rPr>
                <w:sz w:val="20"/>
                <w:szCs w:val="20"/>
                <w:color w:val="auto"/>
              </w:rPr>
            </w:pPr>
            <w:r>
              <w:rPr>
                <w:rFonts w:ascii="Arial" w:cs="Arial" w:eastAsia="Arial" w:hAnsi="Arial"/>
                <w:sz w:val="10"/>
                <w:szCs w:val="10"/>
                <w:b w:val="1"/>
                <w:bCs w:val="1"/>
                <w:color w:val="auto"/>
              </w:rPr>
              <w:t>2004</w:t>
            </w:r>
          </w:p>
        </w:tc>
        <w:tc>
          <w:tcPr>
            <w:tcW w:w="4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35"/>
              <w:spacing w:after="0" w:line="98" w:lineRule="exact"/>
              <w:rPr>
                <w:sz w:val="20"/>
                <w:szCs w:val="20"/>
                <w:color w:val="auto"/>
              </w:rPr>
            </w:pPr>
            <w:r>
              <w:rPr>
                <w:rFonts w:ascii="Arial" w:cs="Arial" w:eastAsia="Arial" w:hAnsi="Arial"/>
                <w:sz w:val="10"/>
                <w:szCs w:val="10"/>
                <w:b w:val="1"/>
                <w:bCs w:val="1"/>
                <w:color w:val="auto"/>
                <w:w w:val="95"/>
              </w:rPr>
              <w:t>Amount</w:t>
            </w:r>
          </w:p>
        </w:tc>
        <w:tc>
          <w:tcPr>
            <w:tcW w:w="820" w:type="dxa"/>
            <w:vAlign w:val="bottom"/>
          </w:tcPr>
          <w:p>
            <w:pPr>
              <w:spacing w:after="0"/>
              <w:rPr>
                <w:sz w:val="8"/>
                <w:szCs w:val="8"/>
                <w:color w:val="auto"/>
              </w:rPr>
            </w:pPr>
          </w:p>
        </w:tc>
        <w:tc>
          <w:tcPr>
            <w:tcW w:w="4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Rate(a)</w:t>
            </w:r>
          </w:p>
        </w:tc>
        <w:tc>
          <w:tcPr>
            <w:tcW w:w="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38"/>
              <w:spacing w:after="0" w:line="98" w:lineRule="exact"/>
              <w:rPr>
                <w:sz w:val="20"/>
                <w:szCs w:val="20"/>
                <w:color w:val="auto"/>
              </w:rPr>
            </w:pPr>
            <w:r>
              <w:rPr>
                <w:rFonts w:ascii="Arial" w:cs="Arial" w:eastAsia="Arial" w:hAnsi="Arial"/>
                <w:sz w:val="10"/>
                <w:szCs w:val="10"/>
                <w:b w:val="1"/>
                <w:bCs w:val="1"/>
                <w:color w:val="auto"/>
                <w:w w:val="95"/>
              </w:rPr>
              <w:t>Amount</w:t>
            </w:r>
          </w:p>
        </w:tc>
        <w:tc>
          <w:tcPr>
            <w:tcW w:w="820" w:type="dxa"/>
            <w:vAlign w:val="bottom"/>
          </w:tcPr>
          <w:p>
            <w:pPr>
              <w:spacing w:after="0"/>
              <w:rPr>
                <w:sz w:val="8"/>
                <w:szCs w:val="8"/>
                <w:color w:val="auto"/>
              </w:rPr>
            </w:pPr>
          </w:p>
        </w:tc>
        <w:tc>
          <w:tcPr>
            <w:tcW w:w="4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Rate(a)</w:t>
            </w:r>
          </w:p>
        </w:tc>
        <w:tc>
          <w:tcPr>
            <w:tcW w:w="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32"/>
              <w:spacing w:after="0" w:line="98" w:lineRule="exact"/>
              <w:rPr>
                <w:sz w:val="20"/>
                <w:szCs w:val="20"/>
                <w:color w:val="auto"/>
              </w:rPr>
            </w:pPr>
            <w:r>
              <w:rPr>
                <w:rFonts w:ascii="Arial" w:cs="Arial" w:eastAsia="Arial" w:hAnsi="Arial"/>
                <w:sz w:val="10"/>
                <w:szCs w:val="10"/>
                <w:b w:val="1"/>
                <w:bCs w:val="1"/>
                <w:color w:val="auto"/>
                <w:w w:val="95"/>
              </w:rPr>
              <w:t>Amount</w:t>
            </w: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Borders>
              <w:bottom w:val="single" w:sz="8" w:color="auto"/>
            </w:tcBorders>
          </w:tcPr>
          <w:p>
            <w:pPr>
              <w:ind w:left="40"/>
              <w:spacing w:after="0" w:line="98" w:lineRule="exact"/>
              <w:rPr>
                <w:sz w:val="20"/>
                <w:szCs w:val="20"/>
                <w:color w:val="auto"/>
              </w:rPr>
            </w:pPr>
            <w:r>
              <w:rPr>
                <w:rFonts w:ascii="Arial" w:cs="Arial" w:eastAsia="Arial" w:hAnsi="Arial"/>
                <w:sz w:val="10"/>
                <w:szCs w:val="10"/>
                <w:b w:val="1"/>
                <w:bCs w:val="1"/>
                <w:color w:val="auto"/>
              </w:rPr>
              <w:t>Rate(a)</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jc w:val="right"/>
              <w:spacing w:after="0"/>
              <w:rPr>
                <w:sz w:val="20"/>
                <w:szCs w:val="20"/>
                <w:color w:val="auto"/>
              </w:rPr>
            </w:pPr>
            <w:r>
              <w:rPr>
                <w:rFonts w:ascii="Arial" w:cs="Arial" w:eastAsia="Arial" w:hAnsi="Arial"/>
                <w:sz w:val="10"/>
                <w:szCs w:val="10"/>
                <w:b w:val="1"/>
                <w:bCs w:val="1"/>
                <w:color w:val="auto"/>
              </w:rPr>
              <w:t>(Dollars in thousands)</w:t>
            </w: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Increase (decrease) in:</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060" w:type="dxa"/>
            <w:vAlign w:val="bottom"/>
            <w:gridSpan w:val="2"/>
          </w:tcPr>
          <w:p>
            <w:pPr>
              <w:ind w:left="140"/>
              <w:spacing w:after="0"/>
              <w:rPr>
                <w:sz w:val="20"/>
                <w:szCs w:val="20"/>
                <w:color w:val="auto"/>
              </w:rPr>
            </w:pPr>
            <w:r>
              <w:rPr>
                <w:rFonts w:ascii="Arial" w:cs="Arial" w:eastAsia="Arial" w:hAnsi="Arial"/>
                <w:sz w:val="14"/>
                <w:szCs w:val="14"/>
                <w:color w:val="auto"/>
              </w:rPr>
              <w:t>Interest income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74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8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0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Interest expense</w:t>
            </w: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748"/>
              <w:spacing w:after="0"/>
              <w:rPr>
                <w:sz w:val="20"/>
                <w:szCs w:val="20"/>
                <w:color w:val="auto"/>
              </w:rPr>
            </w:pPr>
            <w:r>
              <w:rPr>
                <w:rFonts w:ascii="Arial" w:cs="Arial" w:eastAsia="Arial" w:hAnsi="Arial"/>
                <w:sz w:val="14"/>
                <w:szCs w:val="14"/>
                <w:color w:val="auto"/>
              </w:rPr>
              <w:t>4,281</w:t>
            </w:r>
          </w:p>
        </w:tc>
        <w:tc>
          <w:tcPr>
            <w:tcW w:w="1140" w:type="dxa"/>
            <w:vAlign w:val="bottom"/>
            <w:gridSpan w:val="2"/>
            <w:shd w:val="clear" w:color="auto" w:fill="CCEEFF"/>
          </w:tcPr>
          <w:p>
            <w:pPr>
              <w:jc w:val="right"/>
              <w:ind w:right="700"/>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780"/>
              <w:spacing w:after="0"/>
              <w:rPr>
                <w:sz w:val="20"/>
                <w:szCs w:val="20"/>
                <w:color w:val="auto"/>
              </w:rPr>
            </w:pPr>
            <w:r>
              <w:rPr>
                <w:rFonts w:ascii="Arial" w:cs="Arial" w:eastAsia="Arial" w:hAnsi="Arial"/>
                <w:sz w:val="14"/>
                <w:szCs w:val="14"/>
                <w:color w:val="auto"/>
              </w:rPr>
              <w:t>(5,526)</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(18,276)</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0"/>
        </w:trPr>
        <w:tc>
          <w:tcPr>
            <w:tcW w:w="3060" w:type="dxa"/>
            <w:vAlign w:val="bottom"/>
            <w:gridSpan w:val="2"/>
            <w:vMerge w:val="restart"/>
          </w:tcPr>
          <w:p>
            <w:pPr>
              <w:ind w:left="140"/>
              <w:spacing w:after="0"/>
              <w:rPr>
                <w:sz w:val="20"/>
                <w:szCs w:val="20"/>
                <w:color w:val="auto"/>
              </w:rPr>
            </w:pPr>
            <w:r>
              <w:rPr>
                <w:rFonts w:ascii="Arial" w:cs="Arial" w:eastAsia="Arial" w:hAnsi="Arial"/>
                <w:sz w:val="14"/>
                <w:szCs w:val="14"/>
                <w:color w:val="auto"/>
              </w:rPr>
              <w:t>Net interest income/margin</w:t>
            </w: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vMerge w:val="restart"/>
          </w:tcPr>
          <w:p>
            <w:pPr>
              <w:jc w:val="right"/>
              <w:ind w:right="688"/>
              <w:spacing w:after="0"/>
              <w:rPr>
                <w:sz w:val="20"/>
                <w:szCs w:val="20"/>
                <w:color w:val="auto"/>
              </w:rPr>
            </w:pPr>
            <w:r>
              <w:rPr>
                <w:rFonts w:ascii="Arial" w:cs="Arial" w:eastAsia="Arial" w:hAnsi="Arial"/>
                <w:sz w:val="14"/>
                <w:szCs w:val="14"/>
                <w:color w:val="auto"/>
                <w:w w:val="84"/>
              </w:rPr>
              <w:t>)</w:t>
            </w:r>
          </w:p>
        </w:tc>
        <w:tc>
          <w:tcPr>
            <w:tcW w:w="4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060" w:type="dxa"/>
            <w:vAlign w:val="bottom"/>
            <w:gridSpan w:val="2"/>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(4,281</w:t>
            </w:r>
          </w:p>
        </w:tc>
        <w:tc>
          <w:tcPr>
            <w:tcW w:w="820" w:type="dxa"/>
            <w:vAlign w:val="bottom"/>
            <w:vMerge w:val="continue"/>
          </w:tcPr>
          <w:p>
            <w:pPr>
              <w:spacing w:after="0"/>
              <w:rPr>
                <w:sz w:val="14"/>
                <w:szCs w:val="14"/>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color w:val="auto"/>
              </w:rPr>
              <w:t>(.01)%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5,526</w:t>
            </w:r>
          </w:p>
        </w:tc>
        <w:tc>
          <w:tcPr>
            <w:tcW w:w="820" w:type="dxa"/>
            <w:vAlign w:val="bottom"/>
            <w:vMerge w:val="continue"/>
          </w:tcPr>
          <w:p>
            <w:pPr>
              <w:spacing w:after="0"/>
              <w:rPr>
                <w:sz w:val="14"/>
                <w:szCs w:val="1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color w:val="auto"/>
              </w:rPr>
              <w:t>.01%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18,276</w:t>
            </w:r>
          </w:p>
        </w:tc>
        <w:tc>
          <w:tcPr>
            <w:tcW w:w="1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3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Average notional amount(b)</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748"/>
              <w:spacing w:after="0"/>
              <w:rPr>
                <w:sz w:val="20"/>
                <w:szCs w:val="20"/>
                <w:color w:val="auto"/>
              </w:rPr>
            </w:pPr>
            <w:r>
              <w:rPr>
                <w:rFonts w:ascii="Arial" w:cs="Arial" w:eastAsia="Arial" w:hAnsi="Arial"/>
                <w:sz w:val="14"/>
                <w:szCs w:val="14"/>
                <w:color w:val="auto"/>
                <w:w w:val="90"/>
              </w:rPr>
              <w:t>774,268</w:t>
            </w: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820"/>
              <w:spacing w:after="0"/>
              <w:rPr>
                <w:sz w:val="20"/>
                <w:szCs w:val="20"/>
                <w:color w:val="auto"/>
              </w:rPr>
            </w:pPr>
            <w:r>
              <w:rPr>
                <w:rFonts w:ascii="Arial" w:cs="Arial" w:eastAsia="Arial" w:hAnsi="Arial"/>
                <w:sz w:val="14"/>
                <w:szCs w:val="14"/>
                <w:color w:val="auto"/>
                <w:w w:val="90"/>
              </w:rPr>
              <w:t>767,175</w:t>
            </w: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0"/>
              </w:rPr>
              <w:t>696,284</w:t>
            </w: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060" w:type="dxa"/>
            <w:vAlign w:val="bottom"/>
            <w:gridSpan w:val="2"/>
          </w:tcPr>
          <w:p>
            <w:pPr>
              <w:spacing w:after="0"/>
              <w:rPr>
                <w:sz w:val="20"/>
                <w:szCs w:val="20"/>
                <w:color w:val="auto"/>
              </w:rPr>
            </w:pPr>
            <w:r>
              <w:rPr>
                <w:rFonts w:ascii="Arial" w:cs="Arial" w:eastAsia="Arial" w:hAnsi="Arial"/>
                <w:sz w:val="14"/>
                <w:szCs w:val="14"/>
                <w:color w:val="auto"/>
              </w:rPr>
              <w:t>Rate received(b)</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4"/>
                <w:szCs w:val="14"/>
                <w:color w:val="auto"/>
              </w:rPr>
              <w:t>5.19%</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color w:val="auto"/>
              </w:rPr>
              <w:t>6.62%</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color w:val="auto"/>
              </w:rPr>
              <w:t>6.98%</w:t>
            </w:r>
          </w:p>
        </w:tc>
        <w:tc>
          <w:tcPr>
            <w:tcW w:w="0" w:type="dxa"/>
            <w:vAlign w:val="bottom"/>
          </w:tcPr>
          <w:p>
            <w:pPr>
              <w:spacing w:after="0"/>
              <w:rPr>
                <w:sz w:val="1"/>
                <w:szCs w:val="1"/>
                <w:color w:val="auto"/>
              </w:rPr>
            </w:pPr>
          </w:p>
        </w:tc>
      </w:tr>
      <w:tr>
        <w:trPr>
          <w:trHeight w:val="167"/>
        </w:trPr>
        <w:tc>
          <w:tcPr>
            <w:tcW w:w="3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Rate paid(b)</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4"/>
                <w:szCs w:val="14"/>
                <w:color w:val="auto"/>
              </w:rPr>
              <w:t>5.74%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5.90%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hanging="493"/>
        <w:spacing w:after="0"/>
        <w:tabs>
          <w:tab w:leader="none" w:pos="1180" w:val="left"/>
        </w:tabs>
        <w:numPr>
          <w:ilvl w:val="0"/>
          <w:numId w:val="17"/>
        </w:numPr>
        <w:rPr>
          <w:rFonts w:ascii="Arial" w:cs="Arial" w:eastAsia="Arial" w:hAnsi="Arial"/>
          <w:sz w:val="13"/>
          <w:szCs w:val="13"/>
          <w:i w:val="1"/>
          <w:iCs w:val="1"/>
          <w:color w:val="auto"/>
        </w:rPr>
      </w:pPr>
      <w:r>
        <w:rPr>
          <w:rFonts w:ascii="Arial" w:cs="Arial" w:eastAsia="Arial" w:hAnsi="Arial"/>
          <w:sz w:val="13"/>
          <w:szCs w:val="13"/>
          <w:i w:val="1"/>
          <w:iCs w:val="1"/>
          <w:color w:val="auto"/>
        </w:rPr>
        <w:t>Computed as a percentage of average earning assets or interest-bearing liabilities.</w:t>
      </w:r>
    </w:p>
    <w:p>
      <w:pPr>
        <w:spacing w:after="0" w:line="15" w:lineRule="exact"/>
        <w:rPr>
          <w:rFonts w:ascii="Arial" w:cs="Arial" w:eastAsia="Arial" w:hAnsi="Arial"/>
          <w:sz w:val="13"/>
          <w:szCs w:val="13"/>
          <w:i w:val="1"/>
          <w:iCs w:val="1"/>
          <w:color w:val="auto"/>
        </w:rPr>
      </w:pPr>
    </w:p>
    <w:p>
      <w:pPr>
        <w:ind w:left="1180" w:hanging="493"/>
        <w:spacing w:after="0"/>
        <w:tabs>
          <w:tab w:leader="none" w:pos="1180" w:val="left"/>
        </w:tabs>
        <w:numPr>
          <w:ilvl w:val="0"/>
          <w:numId w:val="17"/>
        </w:numPr>
        <w:rPr>
          <w:rFonts w:ascii="Arial" w:cs="Arial" w:eastAsia="Arial" w:hAnsi="Arial"/>
          <w:sz w:val="13"/>
          <w:szCs w:val="13"/>
          <w:i w:val="1"/>
          <w:iCs w:val="1"/>
          <w:color w:val="auto"/>
        </w:rPr>
      </w:pPr>
      <w:r>
        <w:rPr>
          <w:rFonts w:ascii="Arial" w:cs="Arial" w:eastAsia="Arial" w:hAnsi="Arial"/>
          <w:sz w:val="13"/>
          <w:szCs w:val="13"/>
          <w:i w:val="1"/>
          <w:iCs w:val="1"/>
          <w:color w:val="auto"/>
        </w:rPr>
        <w:t>Weighted-average rate paid or received on interest rate swap agreements in effect during year.</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Provision For Credit Losses</w:t>
      </w:r>
    </w:p>
    <w:p>
      <w:pPr>
        <w:spacing w:after="0" w:line="22" w:lineRule="exact"/>
        <w:rPr>
          <w:sz w:val="20"/>
          <w:szCs w:val="20"/>
          <w:color w:val="auto"/>
        </w:rPr>
      </w:pPr>
    </w:p>
    <w:p>
      <w:pPr>
        <w:ind w:left="680" w:right="120"/>
        <w:spacing w:after="0" w:line="252" w:lineRule="auto"/>
        <w:rPr>
          <w:sz w:val="20"/>
          <w:szCs w:val="20"/>
          <w:color w:val="auto"/>
        </w:rPr>
      </w:pPr>
      <w:r>
        <w:rPr>
          <w:rFonts w:ascii="Arial" w:cs="Arial" w:eastAsia="Arial" w:hAnsi="Arial"/>
          <w:sz w:val="14"/>
          <w:szCs w:val="14"/>
          <w:color w:val="auto"/>
        </w:rPr>
        <w:t>The Company maintains an allowance for credit losses that in management’s judgment is adequate to absorb losses inherent in the loan and lease portfolio. A provision for credit losses is recorded to adjust the level of the allowance as deemed necessary by management. The provision for credit losses was $80 million in 2006, down from $88 million in 2005 and $95 million in 2004. Net loan charge-offs declined to $68 million in 2006 from $77 million and $82 million in 2005 and 2004, respectively. Net loan charge-offs as a percentage of average loans outstanding were .16% in 2006, compared with .19% in 2005 and .22% in 2004. A summary of the Company’s loan charge-offs, provision and allowance for credit losses is presented in table 10.</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10</w:t>
      </w:r>
    </w:p>
    <w:p>
      <w:pPr>
        <w:spacing w:after="0" w:line="252" w:lineRule="exact"/>
        <w:rPr>
          <w:sz w:val="20"/>
          <w:szCs w:val="20"/>
          <w:color w:val="auto"/>
        </w:rPr>
      </w:pPr>
    </w:p>
    <w:p>
      <w:pPr>
        <w:ind w:left="3060"/>
        <w:spacing w:after="0"/>
        <w:rPr>
          <w:sz w:val="20"/>
          <w:szCs w:val="20"/>
          <w:color w:val="auto"/>
        </w:rPr>
      </w:pPr>
      <w:r>
        <w:rPr>
          <w:rFonts w:ascii="Arial" w:cs="Arial" w:eastAsia="Arial" w:hAnsi="Arial"/>
          <w:sz w:val="14"/>
          <w:szCs w:val="14"/>
          <w:b w:val="1"/>
          <w:bCs w:val="1"/>
          <w:color w:val="auto"/>
        </w:rPr>
        <w:t>LOAN CHARGE-OFFS, PROVISION AND ALLOWANCE FOR CREDIT LOSSES</w:t>
      </w:r>
    </w:p>
    <w:p>
      <w:pPr>
        <w:spacing w:after="0" w:line="10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220" w:type="dxa"/>
            <w:vAlign w:val="bottom"/>
          </w:tcPr>
          <w:p>
            <w:pPr>
              <w:spacing w:after="0"/>
              <w:rPr>
                <w:sz w:val="10"/>
                <w:szCs w:val="10"/>
                <w:color w:val="auto"/>
              </w:rPr>
            </w:pPr>
          </w:p>
        </w:tc>
        <w:tc>
          <w:tcPr>
            <w:tcW w:w="58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b w:val="1"/>
                <w:bCs w:val="1"/>
                <w:color w:val="auto"/>
              </w:rPr>
              <w:t>2006</w:t>
            </w:r>
          </w:p>
        </w:tc>
        <w:tc>
          <w:tcPr>
            <w:tcW w:w="420" w:type="dxa"/>
            <w:vAlign w:val="bottom"/>
          </w:tcPr>
          <w:p>
            <w:pPr>
              <w:spacing w:after="0"/>
              <w:rPr>
                <w:sz w:val="10"/>
                <w:szCs w:val="10"/>
                <w:color w:val="auto"/>
              </w:rPr>
            </w:pPr>
          </w:p>
        </w:tc>
        <w:tc>
          <w:tcPr>
            <w:tcW w:w="60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b w:val="1"/>
                <w:bCs w:val="1"/>
                <w:color w:val="auto"/>
              </w:rPr>
              <w:t>2005</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b w:val="1"/>
                <w:bCs w:val="1"/>
                <w:color w:val="auto"/>
              </w:rPr>
              <w:t>2004</w:t>
            </w:r>
          </w:p>
        </w:tc>
        <w:tc>
          <w:tcPr>
            <w:tcW w:w="420" w:type="dxa"/>
            <w:vAlign w:val="bottom"/>
          </w:tcPr>
          <w:p>
            <w:pPr>
              <w:spacing w:after="0"/>
              <w:rPr>
                <w:sz w:val="10"/>
                <w:szCs w:val="10"/>
                <w:color w:val="auto"/>
              </w:rPr>
            </w:pPr>
          </w:p>
        </w:tc>
        <w:tc>
          <w:tcPr>
            <w:tcW w:w="58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b w:val="1"/>
                <w:bCs w:val="1"/>
                <w:color w:val="auto"/>
              </w:rPr>
              <w:t>2003</w:t>
            </w:r>
          </w:p>
        </w:tc>
        <w:tc>
          <w:tcPr>
            <w:tcW w:w="420" w:type="dxa"/>
            <w:vAlign w:val="bottom"/>
          </w:tcPr>
          <w:p>
            <w:pPr>
              <w:spacing w:after="0"/>
              <w:rPr>
                <w:sz w:val="10"/>
                <w:szCs w:val="10"/>
                <w:color w:val="auto"/>
              </w:rPr>
            </w:pPr>
          </w:p>
        </w:tc>
        <w:tc>
          <w:tcPr>
            <w:tcW w:w="60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b w:val="1"/>
                <w:bCs w:val="1"/>
                <w:color w:val="auto"/>
              </w:rPr>
              <w:t>2002</w:t>
            </w:r>
          </w:p>
        </w:tc>
        <w:tc>
          <w:tcPr>
            <w:tcW w:w="120" w:type="dxa"/>
            <w:vAlign w:val="bottom"/>
          </w:tcPr>
          <w:p>
            <w:pPr>
              <w:spacing w:after="0"/>
              <w:rPr>
                <w:sz w:val="10"/>
                <w:szCs w:val="10"/>
                <w:color w:val="auto"/>
              </w:rPr>
            </w:pPr>
          </w:p>
        </w:tc>
      </w:tr>
      <w:tr>
        <w:trPr>
          <w:trHeight w:val="131"/>
        </w:trPr>
        <w:tc>
          <w:tcPr>
            <w:tcW w:w="5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0"/>
                <w:szCs w:val="10"/>
                <w:b w:val="1"/>
                <w:bCs w:val="1"/>
                <w:color w:val="auto"/>
                <w:w w:val="96"/>
              </w:rPr>
              <w:t>(Dollars in thousands)</w:t>
            </w: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73"/>
        </w:trPr>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Allowance for credit losses beginning balance</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w w:val="89"/>
              </w:rPr>
              <w:t>$ 637,663</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3"/>
              </w:rPr>
              <w:t>$ 626,864</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$ 614,058</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w w:val="89"/>
              </w:rPr>
              <w:t>$ 436,472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3"/>
              </w:rPr>
              <w:t>$ 425,008</w:t>
            </w:r>
          </w:p>
        </w:tc>
      </w:tr>
      <w:tr>
        <w:trPr>
          <w:trHeight w:val="167"/>
        </w:trPr>
        <w:tc>
          <w:tcPr>
            <w:tcW w:w="5220" w:type="dxa"/>
            <w:vAlign w:val="bottom"/>
          </w:tcPr>
          <w:p>
            <w:pPr>
              <w:spacing w:after="0"/>
              <w:rPr>
                <w:sz w:val="20"/>
                <w:szCs w:val="20"/>
                <w:color w:val="auto"/>
              </w:rPr>
            </w:pPr>
            <w:r>
              <w:rPr>
                <w:rFonts w:ascii="Arial" w:cs="Arial" w:eastAsia="Arial" w:hAnsi="Arial"/>
                <w:sz w:val="14"/>
                <w:szCs w:val="14"/>
                <w:color w:val="auto"/>
              </w:rPr>
              <w:t>Charge-offs during year</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5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Commercial, financial, agricultural, etc.</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23,949</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32,210</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33,340</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44,782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57,401</w:t>
            </w:r>
          </w:p>
        </w:tc>
      </w:tr>
      <w:tr>
        <w:trPr>
          <w:trHeight w:val="167"/>
        </w:trPr>
        <w:tc>
          <w:tcPr>
            <w:tcW w:w="5220" w:type="dxa"/>
            <w:vAlign w:val="bottom"/>
          </w:tcPr>
          <w:p>
            <w:pPr>
              <w:ind w:left="140"/>
              <w:spacing w:after="0"/>
              <w:rPr>
                <w:sz w:val="20"/>
                <w:szCs w:val="20"/>
                <w:color w:val="auto"/>
              </w:rPr>
            </w:pPr>
            <w:r>
              <w:rPr>
                <w:rFonts w:ascii="Arial" w:cs="Arial" w:eastAsia="Arial" w:hAnsi="Arial"/>
                <w:sz w:val="14"/>
                <w:szCs w:val="14"/>
                <w:color w:val="auto"/>
              </w:rPr>
              <w:t>Real estate — construction</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2</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88</w:t>
            </w:r>
          </w:p>
        </w:tc>
      </w:tr>
      <w:tr>
        <w:trPr>
          <w:trHeight w:val="167"/>
        </w:trPr>
        <w:tc>
          <w:tcPr>
            <w:tcW w:w="5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Real estate — mortgage</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6,406</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4,708</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10,829</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13,999</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13,969</w:t>
            </w:r>
          </w:p>
        </w:tc>
      </w:tr>
      <w:tr>
        <w:trPr>
          <w:trHeight w:val="167"/>
        </w:trPr>
        <w:tc>
          <w:tcPr>
            <w:tcW w:w="5220" w:type="dxa"/>
            <w:vAlign w:val="bottom"/>
          </w:tcPr>
          <w:p>
            <w:pPr>
              <w:ind w:left="140"/>
              <w:spacing w:after="0"/>
              <w:rPr>
                <w:sz w:val="20"/>
                <w:szCs w:val="20"/>
                <w:color w:val="auto"/>
              </w:rPr>
            </w:pPr>
            <w:r>
              <w:rPr>
                <w:rFonts w:ascii="Arial" w:cs="Arial" w:eastAsia="Arial" w:hAnsi="Arial"/>
                <w:sz w:val="14"/>
                <w:szCs w:val="14"/>
                <w:color w:val="auto"/>
              </w:rPr>
              <w:t>Consumer</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65,251</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70,699</w:t>
            </w:r>
          </w:p>
        </w:tc>
        <w:tc>
          <w:tcPr>
            <w:tcW w:w="1260" w:type="dxa"/>
            <w:vAlign w:val="bottom"/>
            <w:gridSpan w:val="3"/>
          </w:tcPr>
          <w:p>
            <w:pPr>
              <w:jc w:val="right"/>
              <w:ind w:right="420"/>
              <w:spacing w:after="0"/>
              <w:rPr>
                <w:sz w:val="20"/>
                <w:szCs w:val="20"/>
                <w:color w:val="auto"/>
              </w:rPr>
            </w:pPr>
            <w:r>
              <w:rPr>
                <w:rFonts w:ascii="Arial" w:cs="Arial" w:eastAsia="Arial" w:hAnsi="Arial"/>
                <w:sz w:val="14"/>
                <w:szCs w:val="14"/>
                <w:color w:val="auto"/>
              </w:rPr>
              <w:t>74,856</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68,737</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53,124</w:t>
            </w:r>
          </w:p>
        </w:tc>
      </w:tr>
      <w:tr>
        <w:trPr>
          <w:trHeight w:val="20"/>
        </w:trPr>
        <w:tc>
          <w:tcPr>
            <w:tcW w:w="5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7"/>
        </w:trPr>
        <w:tc>
          <w:tcPr>
            <w:tcW w:w="5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charge-offs</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95,606</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107,617</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119,025</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127,520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124,582</w:t>
            </w:r>
          </w:p>
        </w:tc>
      </w:tr>
      <w:tr>
        <w:trPr>
          <w:trHeight w:val="167"/>
        </w:trPr>
        <w:tc>
          <w:tcPr>
            <w:tcW w:w="5220" w:type="dxa"/>
            <w:vAlign w:val="bottom"/>
          </w:tcPr>
          <w:p>
            <w:pPr>
              <w:spacing w:after="0"/>
              <w:rPr>
                <w:sz w:val="20"/>
                <w:szCs w:val="20"/>
                <w:color w:val="auto"/>
              </w:rPr>
            </w:pPr>
            <w:r>
              <w:rPr>
                <w:rFonts w:ascii="Arial" w:cs="Arial" w:eastAsia="Arial" w:hAnsi="Arial"/>
                <w:sz w:val="14"/>
                <w:szCs w:val="14"/>
                <w:color w:val="auto"/>
              </w:rPr>
              <w:t>Recoveries during year</w:t>
            </w:r>
          </w:p>
        </w:tc>
        <w:tc>
          <w:tcPr>
            <w:tcW w:w="58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5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Commercial, financial, agricultural, etc.</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4,119</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6,513</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13,581</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12,517</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3,129</w:t>
            </w:r>
          </w:p>
        </w:tc>
      </w:tr>
      <w:tr>
        <w:trPr>
          <w:trHeight w:val="167"/>
        </w:trPr>
        <w:tc>
          <w:tcPr>
            <w:tcW w:w="5220" w:type="dxa"/>
            <w:vAlign w:val="bottom"/>
          </w:tcPr>
          <w:p>
            <w:pPr>
              <w:ind w:left="140"/>
              <w:spacing w:after="0"/>
              <w:rPr>
                <w:sz w:val="20"/>
                <w:szCs w:val="20"/>
                <w:color w:val="auto"/>
              </w:rPr>
            </w:pPr>
            <w:r>
              <w:rPr>
                <w:rFonts w:ascii="Arial" w:cs="Arial" w:eastAsia="Arial" w:hAnsi="Arial"/>
                <w:sz w:val="14"/>
                <w:szCs w:val="14"/>
                <w:color w:val="auto"/>
              </w:rPr>
              <w:t>Real estate — construction</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4</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7"/>
        </w:trPr>
        <w:tc>
          <w:tcPr>
            <w:tcW w:w="5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Real estate — mortgage</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1,784</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3,887</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4,051</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3,436</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2,333</w:t>
            </w:r>
          </w:p>
        </w:tc>
      </w:tr>
      <w:tr>
        <w:trPr>
          <w:trHeight w:val="167"/>
        </w:trPr>
        <w:tc>
          <w:tcPr>
            <w:tcW w:w="5220" w:type="dxa"/>
            <w:vAlign w:val="bottom"/>
          </w:tcPr>
          <w:p>
            <w:pPr>
              <w:ind w:left="140"/>
              <w:spacing w:after="0"/>
              <w:rPr>
                <w:sz w:val="20"/>
                <w:szCs w:val="20"/>
                <w:color w:val="auto"/>
              </w:rPr>
            </w:pPr>
            <w:r>
              <w:rPr>
                <w:rFonts w:ascii="Arial" w:cs="Arial" w:eastAsia="Arial" w:hAnsi="Arial"/>
                <w:sz w:val="14"/>
                <w:szCs w:val="14"/>
                <w:color w:val="auto"/>
              </w:rPr>
              <w:t>Consumer</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21,988</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20,330</w:t>
            </w:r>
          </w:p>
        </w:tc>
        <w:tc>
          <w:tcPr>
            <w:tcW w:w="1260" w:type="dxa"/>
            <w:vAlign w:val="bottom"/>
            <w:gridSpan w:val="3"/>
          </w:tcPr>
          <w:p>
            <w:pPr>
              <w:jc w:val="right"/>
              <w:ind w:right="420"/>
              <w:spacing w:after="0"/>
              <w:rPr>
                <w:sz w:val="20"/>
                <w:szCs w:val="20"/>
                <w:color w:val="auto"/>
              </w:rPr>
            </w:pPr>
            <w:r>
              <w:rPr>
                <w:rFonts w:ascii="Arial" w:cs="Arial" w:eastAsia="Arial" w:hAnsi="Arial"/>
                <w:sz w:val="14"/>
                <w:szCs w:val="14"/>
                <w:color w:val="auto"/>
              </w:rPr>
              <w:t>19,700</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15,047</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11,370</w:t>
            </w:r>
          </w:p>
        </w:tc>
      </w:tr>
      <w:tr>
        <w:trPr>
          <w:trHeight w:val="20"/>
        </w:trPr>
        <w:tc>
          <w:tcPr>
            <w:tcW w:w="5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7"/>
        </w:trPr>
        <w:tc>
          <w:tcPr>
            <w:tcW w:w="5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recoveries</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27,891</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30,730</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37,332</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31,004</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16,832</w:t>
            </w:r>
          </w:p>
        </w:tc>
      </w:tr>
      <w:tr>
        <w:trPr>
          <w:trHeight w:val="167"/>
        </w:trPr>
        <w:tc>
          <w:tcPr>
            <w:tcW w:w="5220" w:type="dxa"/>
            <w:vAlign w:val="bottom"/>
          </w:tcPr>
          <w:p>
            <w:pPr>
              <w:spacing w:after="0"/>
              <w:rPr>
                <w:sz w:val="20"/>
                <w:szCs w:val="20"/>
                <w:color w:val="auto"/>
              </w:rPr>
            </w:pPr>
            <w:r>
              <w:rPr>
                <w:rFonts w:ascii="Arial" w:cs="Arial" w:eastAsia="Arial" w:hAnsi="Arial"/>
                <w:sz w:val="14"/>
                <w:szCs w:val="14"/>
                <w:color w:val="auto"/>
              </w:rPr>
              <w:t>Net charge-offs</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67,715</w:t>
            </w:r>
          </w:p>
        </w:tc>
        <w:tc>
          <w:tcPr>
            <w:tcW w:w="420" w:type="dxa"/>
            <w:vAlign w:val="bottom"/>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76,887</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81,693</w:t>
            </w:r>
          </w:p>
        </w:tc>
        <w:tc>
          <w:tcPr>
            <w:tcW w:w="420" w:type="dxa"/>
            <w:vAlign w:val="bottom"/>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96,516</w:t>
            </w:r>
          </w:p>
        </w:tc>
        <w:tc>
          <w:tcPr>
            <w:tcW w:w="420" w:type="dxa"/>
            <w:vAlign w:val="bottom"/>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107,750</w:t>
            </w:r>
          </w:p>
        </w:tc>
        <w:tc>
          <w:tcPr>
            <w:tcW w:w="120" w:type="dxa"/>
            <w:vAlign w:val="bottom"/>
          </w:tcPr>
          <w:p>
            <w:pPr>
              <w:spacing w:after="0"/>
              <w:rPr>
                <w:sz w:val="14"/>
                <w:szCs w:val="14"/>
                <w:color w:val="auto"/>
              </w:rPr>
            </w:pPr>
          </w:p>
        </w:tc>
      </w:tr>
      <w:tr>
        <w:trPr>
          <w:trHeight w:val="167"/>
        </w:trPr>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Provision for credit losses</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80,000</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88,000</w:t>
            </w: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95,000</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131,000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122,000</w:t>
            </w:r>
          </w:p>
        </w:tc>
      </w:tr>
      <w:tr>
        <w:trPr>
          <w:trHeight w:val="167"/>
        </w:trPr>
        <w:tc>
          <w:tcPr>
            <w:tcW w:w="5220" w:type="dxa"/>
            <w:vAlign w:val="bottom"/>
          </w:tcPr>
          <w:p>
            <w:pPr>
              <w:spacing w:after="0"/>
              <w:rPr>
                <w:sz w:val="20"/>
                <w:szCs w:val="20"/>
                <w:color w:val="auto"/>
              </w:rPr>
            </w:pPr>
            <w:r>
              <w:rPr>
                <w:rFonts w:ascii="Arial" w:cs="Arial" w:eastAsia="Arial" w:hAnsi="Arial"/>
                <w:sz w:val="14"/>
                <w:szCs w:val="14"/>
                <w:color w:val="auto"/>
              </w:rPr>
              <w:t>Allowance for credit losses acquired during the year</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4"/>
                <w:szCs w:val="14"/>
                <w:color w:val="auto"/>
              </w:rPr>
              <w:t>146,300</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7"/>
        </w:trPr>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Allowance related to loans sold or securitized</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(314)</w:t>
            </w: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(501)</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(3,198)</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(2,786)</w:t>
            </w:r>
          </w:p>
        </w:tc>
      </w:tr>
      <w:tr>
        <w:trPr>
          <w:trHeight w:val="181"/>
        </w:trPr>
        <w:tc>
          <w:tcPr>
            <w:tcW w:w="5220" w:type="dxa"/>
            <w:vAlign w:val="bottom"/>
          </w:tcPr>
          <w:p>
            <w:pPr>
              <w:spacing w:after="0"/>
              <w:rPr>
                <w:sz w:val="20"/>
                <w:szCs w:val="20"/>
                <w:color w:val="auto"/>
              </w:rPr>
            </w:pPr>
            <w:r>
              <w:rPr>
                <w:rFonts w:ascii="Arial" w:cs="Arial" w:eastAsia="Arial" w:hAnsi="Arial"/>
                <w:sz w:val="14"/>
                <w:szCs w:val="14"/>
                <w:color w:val="auto"/>
              </w:rPr>
              <w:t>Allowance for credit losses ending balance</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$ 649,948</w:t>
            </w:r>
          </w:p>
        </w:tc>
        <w:tc>
          <w:tcPr>
            <w:tcW w:w="42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$ 637,663</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$ 626,864</w:t>
            </w:r>
          </w:p>
        </w:tc>
        <w:tc>
          <w:tcPr>
            <w:tcW w:w="42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$ 614,058</w:t>
            </w:r>
          </w:p>
        </w:tc>
        <w:tc>
          <w:tcPr>
            <w:tcW w:w="42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$ 436,472</w:t>
            </w:r>
          </w:p>
        </w:tc>
        <w:tc>
          <w:tcPr>
            <w:tcW w:w="120" w:type="dxa"/>
            <w:vAlign w:val="bottom"/>
          </w:tcPr>
          <w:p>
            <w:pPr>
              <w:spacing w:after="0"/>
              <w:rPr>
                <w:sz w:val="15"/>
                <w:szCs w:val="15"/>
                <w:color w:val="auto"/>
              </w:rPr>
            </w:pPr>
          </w:p>
        </w:tc>
      </w:tr>
      <w:tr>
        <w:trPr>
          <w:trHeight w:val="172"/>
        </w:trPr>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Net charge-offs as a percent of:</w:t>
            </w: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7"/>
        </w:trPr>
        <w:tc>
          <w:tcPr>
            <w:tcW w:w="5220" w:type="dxa"/>
            <w:vAlign w:val="bottom"/>
          </w:tcPr>
          <w:p>
            <w:pPr>
              <w:ind w:left="140"/>
              <w:spacing w:after="0"/>
              <w:rPr>
                <w:sz w:val="20"/>
                <w:szCs w:val="20"/>
                <w:color w:val="auto"/>
              </w:rPr>
            </w:pPr>
            <w:r>
              <w:rPr>
                <w:rFonts w:ascii="Arial" w:cs="Arial" w:eastAsia="Arial" w:hAnsi="Arial"/>
                <w:sz w:val="14"/>
                <w:szCs w:val="14"/>
                <w:color w:val="auto"/>
              </w:rPr>
              <w:t>Provision for credit losses</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84.64%</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87.37%</w:t>
            </w:r>
          </w:p>
        </w:tc>
        <w:tc>
          <w:tcPr>
            <w:tcW w:w="1260" w:type="dxa"/>
            <w:vAlign w:val="bottom"/>
            <w:gridSpan w:val="3"/>
          </w:tcPr>
          <w:p>
            <w:pPr>
              <w:jc w:val="right"/>
              <w:ind w:right="300"/>
              <w:spacing w:after="0"/>
              <w:rPr>
                <w:sz w:val="20"/>
                <w:szCs w:val="20"/>
                <w:color w:val="auto"/>
              </w:rPr>
            </w:pPr>
            <w:r>
              <w:rPr>
                <w:rFonts w:ascii="Arial" w:cs="Arial" w:eastAsia="Arial" w:hAnsi="Arial"/>
                <w:sz w:val="14"/>
                <w:szCs w:val="14"/>
                <w:color w:val="auto"/>
              </w:rPr>
              <w:t>85.99%</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73.68%</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88.32%</w:t>
            </w:r>
          </w:p>
        </w:tc>
      </w:tr>
      <w:tr>
        <w:trPr>
          <w:trHeight w:val="167"/>
        </w:trPr>
        <w:tc>
          <w:tcPr>
            <w:tcW w:w="52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Average loans and leases, net of unearned discount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.16%</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w:t>
            </w:r>
          </w:p>
        </w:tc>
        <w:tc>
          <w:tcPr>
            <w:tcW w:w="126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.22%</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154"/>
        </w:trPr>
        <w:tc>
          <w:tcPr>
            <w:tcW w:w="5220" w:type="dxa"/>
            <w:vAlign w:val="bottom"/>
          </w:tcPr>
          <w:p>
            <w:pPr>
              <w:spacing w:after="0" w:line="155" w:lineRule="exact"/>
              <w:rPr>
                <w:sz w:val="20"/>
                <w:szCs w:val="20"/>
                <w:color w:val="auto"/>
              </w:rPr>
            </w:pPr>
            <w:r>
              <w:rPr>
                <w:rFonts w:ascii="Arial" w:cs="Arial" w:eastAsia="Arial" w:hAnsi="Arial"/>
                <w:sz w:val="14"/>
                <w:szCs w:val="14"/>
                <w:color w:val="auto"/>
                <w:w w:val="96"/>
              </w:rPr>
              <w:t>Allowance for credit losses as a percent of loans and leases, net of unearned discount,</w:t>
            </w: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82"/>
        </w:trPr>
        <w:tc>
          <w:tcPr>
            <w:tcW w:w="5220" w:type="dxa"/>
            <w:vAlign w:val="bottom"/>
          </w:tcPr>
          <w:p>
            <w:pPr>
              <w:ind w:left="140"/>
              <w:spacing w:after="0"/>
              <w:rPr>
                <w:sz w:val="20"/>
                <w:szCs w:val="20"/>
                <w:color w:val="auto"/>
              </w:rPr>
            </w:pPr>
            <w:r>
              <w:rPr>
                <w:rFonts w:ascii="Arial" w:cs="Arial" w:eastAsia="Arial" w:hAnsi="Arial"/>
                <w:sz w:val="14"/>
                <w:szCs w:val="14"/>
                <w:color w:val="auto"/>
              </w:rPr>
              <w:t>at year-end</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1.51%</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1.58%</w:t>
            </w:r>
          </w:p>
        </w:tc>
        <w:tc>
          <w:tcPr>
            <w:tcW w:w="1260" w:type="dxa"/>
            <w:vAlign w:val="bottom"/>
            <w:gridSpan w:val="3"/>
          </w:tcPr>
          <w:p>
            <w:pPr>
              <w:jc w:val="right"/>
              <w:ind w:right="300"/>
              <w:spacing w:after="0"/>
              <w:rPr>
                <w:sz w:val="20"/>
                <w:szCs w:val="20"/>
                <w:color w:val="auto"/>
              </w:rPr>
            </w:pPr>
            <w:r>
              <w:rPr>
                <w:rFonts w:ascii="Arial" w:cs="Arial" w:eastAsia="Arial" w:hAnsi="Arial"/>
                <w:sz w:val="14"/>
                <w:szCs w:val="14"/>
                <w:color w:val="auto"/>
              </w:rPr>
              <w:t>1.63%</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1.72%</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1.70%</w:t>
            </w:r>
          </w:p>
        </w:tc>
      </w:tr>
    </w:tbl>
    <w:p>
      <w:pPr>
        <w:spacing w:after="0" w:line="73" w:lineRule="exact"/>
        <w:rPr>
          <w:sz w:val="20"/>
          <w:szCs w:val="20"/>
          <w:color w:val="auto"/>
        </w:rPr>
      </w:pPr>
    </w:p>
    <w:p>
      <w:pPr>
        <w:ind w:left="680" w:right="60" w:firstLine="599"/>
        <w:spacing w:after="0" w:line="259" w:lineRule="auto"/>
        <w:rPr>
          <w:sz w:val="20"/>
          <w:szCs w:val="20"/>
          <w:color w:val="auto"/>
        </w:rPr>
      </w:pPr>
      <w:r>
        <w:rPr>
          <w:rFonts w:ascii="Arial" w:cs="Arial" w:eastAsia="Arial" w:hAnsi="Arial"/>
          <w:sz w:val="14"/>
          <w:szCs w:val="14"/>
          <w:color w:val="auto"/>
        </w:rPr>
        <w:t>Nonperforming loans, consisting of nonaccrual and restructured loans, aggregated $224 million or .52% of outstanding loans and leases at December 31, 2006, compared with $156 million or .39% at December 31, 2005 and $172 million or .45% at December 31, 2004. The increase in nonperforming loans at December 31, 2006 from a year earlier was largely due to the addition of four relationships with automobile dealers totaling approximately $41 million. The lower level of nonperforming loans at the</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2005 year-end as compared with a year earlier reflects an overall improvement in borrower repayment performance.</w:t>
      </w:r>
    </w:p>
    <w:p>
      <w:pPr>
        <w:spacing w:after="0" w:line="18" w:lineRule="exact"/>
        <w:rPr>
          <w:sz w:val="20"/>
          <w:szCs w:val="20"/>
          <w:color w:val="auto"/>
        </w:rPr>
      </w:pPr>
    </w:p>
    <w:p>
      <w:pPr>
        <w:ind w:left="680" w:firstLine="599"/>
        <w:spacing w:after="0" w:line="250" w:lineRule="auto"/>
        <w:rPr>
          <w:sz w:val="20"/>
          <w:szCs w:val="20"/>
          <w:color w:val="auto"/>
        </w:rPr>
      </w:pPr>
      <w:r>
        <w:rPr>
          <w:rFonts w:ascii="Arial" w:cs="Arial" w:eastAsia="Arial" w:hAnsi="Arial"/>
          <w:sz w:val="14"/>
          <w:szCs w:val="14"/>
          <w:color w:val="auto"/>
        </w:rPr>
        <w:t>Accruing loans past due 90 days or more were $111 million or .26% of total loans and leases at December 31, 2006, compared with $129 million or .32% at December 31, 2005 and $155 million or .40% at December 31, 2004. Those loans included loans guaranteed by government-related entities of $77 million, $106 million and $121 million at December 31, 2006, 2005 and 2004, respectively. Such guaranteed loans included one-to-four family residential mortgage loans serviced by the Company that were repurchased to reduce associated servicing costs, including a requirement to advance principal and interest payments that had not been received from individual mortgagors. The outstanding principal balances of the repurchased loans are fully guaranteed by government-related entities and totaled $65 million at December 31, 2006, $79 million at December 31, 2005 and $104 million at December 31, 2004. Loans past due 90 days or more and accruing interest that were guaranteed by government-related entities also included foreign commercial and industrial loans supported by the Export-Import Bank of the United States that totaled $11 million at December 31, 2006, compared with $26 million and $17 million at December 31, 2005 and 2004, respectively. A summary of nonperforming assets and certain past due loan data and credit quality ratios is presented in table 11.</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11</w:t>
      </w:r>
    </w:p>
    <w:p>
      <w:pPr>
        <w:spacing w:after="0" w:line="252" w:lineRule="exact"/>
        <w:rPr>
          <w:sz w:val="20"/>
          <w:szCs w:val="20"/>
          <w:color w:val="auto"/>
        </w:rPr>
      </w:pPr>
    </w:p>
    <w:p>
      <w:pPr>
        <w:ind w:left="3760"/>
        <w:spacing w:after="0"/>
        <w:rPr>
          <w:sz w:val="20"/>
          <w:szCs w:val="20"/>
          <w:color w:val="auto"/>
        </w:rPr>
      </w:pPr>
      <w:r>
        <w:rPr>
          <w:rFonts w:ascii="Arial" w:cs="Arial" w:eastAsia="Arial" w:hAnsi="Arial"/>
          <w:sz w:val="14"/>
          <w:szCs w:val="14"/>
          <w:b w:val="1"/>
          <w:bCs w:val="1"/>
          <w:color w:val="auto"/>
        </w:rPr>
        <w:t>NONPERFORMING ASSETS AND PAST DUE LOAN DATA</w:t>
      </w:r>
    </w:p>
    <w:p>
      <w:pPr>
        <w:spacing w:after="0" w:line="104"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5220" w:type="dxa"/>
            <w:vAlign w:val="bottom"/>
          </w:tcPr>
          <w:p>
            <w:pPr>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ecember 31</w:t>
            </w: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b w:val="1"/>
                <w:bCs w:val="1"/>
                <w:color w:val="auto"/>
              </w:rPr>
              <w:t>2006</w:t>
            </w: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b w:val="1"/>
                <w:bCs w:val="1"/>
                <w:color w:val="auto"/>
              </w:rPr>
              <w:t>2005</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b w:val="1"/>
                <w:bCs w:val="1"/>
                <w:color w:val="auto"/>
              </w:rPr>
              <w:t>2004</w:t>
            </w: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b w:val="1"/>
                <w:bCs w:val="1"/>
                <w:color w:val="auto"/>
              </w:rPr>
              <w:t>2003</w:t>
            </w: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b w:val="1"/>
                <w:bCs w:val="1"/>
                <w:color w:val="auto"/>
              </w:rPr>
              <w:t>2002</w:t>
            </w:r>
          </w:p>
        </w:tc>
        <w:tc>
          <w:tcPr>
            <w:tcW w:w="120" w:type="dxa"/>
            <w:vAlign w:val="bottom"/>
          </w:tcPr>
          <w:p>
            <w:pPr>
              <w:spacing w:after="0"/>
              <w:rPr>
                <w:sz w:val="11"/>
                <w:szCs w:val="11"/>
                <w:color w:val="auto"/>
              </w:rPr>
            </w:pPr>
          </w:p>
        </w:tc>
      </w:tr>
      <w:tr>
        <w:trPr>
          <w:trHeight w:val="131"/>
        </w:trPr>
        <w:tc>
          <w:tcPr>
            <w:tcW w:w="5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4"/>
          </w:tcPr>
          <w:p>
            <w:pPr>
              <w:ind w:left="100"/>
              <w:spacing w:after="0"/>
              <w:rPr>
                <w:sz w:val="20"/>
                <w:szCs w:val="20"/>
                <w:color w:val="auto"/>
              </w:rPr>
            </w:pPr>
            <w:r>
              <w:rPr>
                <w:rFonts w:ascii="Arial" w:cs="Arial" w:eastAsia="Arial" w:hAnsi="Arial"/>
                <w:sz w:val="10"/>
                <w:szCs w:val="10"/>
                <w:b w:val="1"/>
                <w:bCs w:val="1"/>
                <w:color w:val="auto"/>
              </w:rPr>
              <w:t>(Dollars in thousands)</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73"/>
        </w:trPr>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Nonaccrual loans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w w:val="90"/>
              </w:rPr>
              <w:t>209,272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4"/>
              </w:rPr>
              <w:t>141,067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w w:val="94"/>
              </w:rPr>
              <w:t>162,013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w w:val="90"/>
              </w:rPr>
              <w:t>232,983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4"/>
              </w:rPr>
              <w:t>207,038</w:t>
            </w:r>
          </w:p>
        </w:tc>
      </w:tr>
      <w:tr>
        <w:trPr>
          <w:trHeight w:val="167"/>
        </w:trPr>
        <w:tc>
          <w:tcPr>
            <w:tcW w:w="5220" w:type="dxa"/>
            <w:vAlign w:val="bottom"/>
          </w:tcPr>
          <w:p>
            <w:pPr>
              <w:spacing w:after="0"/>
              <w:rPr>
                <w:sz w:val="20"/>
                <w:szCs w:val="20"/>
                <w:color w:val="auto"/>
              </w:rPr>
            </w:pPr>
            <w:r>
              <w:rPr>
                <w:rFonts w:ascii="Arial" w:cs="Arial" w:eastAsia="Arial" w:hAnsi="Arial"/>
                <w:sz w:val="14"/>
                <w:szCs w:val="14"/>
                <w:color w:val="auto"/>
              </w:rPr>
              <w:t>Renegotiated loans</w:t>
            </w:r>
          </w:p>
        </w:tc>
        <w:tc>
          <w:tcPr>
            <w:tcW w:w="10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color w:val="auto"/>
              </w:rPr>
              <w:t>14,956</w:t>
            </w:r>
          </w:p>
        </w:tc>
        <w:tc>
          <w:tcPr>
            <w:tcW w:w="1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15,384</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rPr>
              <w:t>10,437</w:t>
            </w:r>
          </w:p>
        </w:tc>
        <w:tc>
          <w:tcPr>
            <w:tcW w:w="10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color w:val="auto"/>
              </w:rPr>
              <w:t>7,309</w:t>
            </w:r>
          </w:p>
        </w:tc>
        <w:tc>
          <w:tcPr>
            <w:tcW w:w="1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8,252</w:t>
            </w:r>
          </w:p>
        </w:tc>
      </w:tr>
      <w:tr>
        <w:trPr>
          <w:trHeight w:val="20"/>
        </w:trPr>
        <w:tc>
          <w:tcPr>
            <w:tcW w:w="5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7"/>
        </w:trPr>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Total nonperforming loans</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w w:val="90"/>
              </w:rPr>
              <w:t>224,228</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4"/>
              </w:rPr>
              <w:t>156,451</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w w:val="94"/>
              </w:rPr>
              <w:t>172,450</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w w:val="90"/>
              </w:rPr>
              <w:t>240,292</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4"/>
              </w:rPr>
              <w:t>215,290</w:t>
            </w:r>
          </w:p>
        </w:tc>
      </w:tr>
      <w:tr>
        <w:trPr>
          <w:trHeight w:val="167"/>
        </w:trPr>
        <w:tc>
          <w:tcPr>
            <w:tcW w:w="5220" w:type="dxa"/>
            <w:vAlign w:val="bottom"/>
          </w:tcPr>
          <w:p>
            <w:pPr>
              <w:spacing w:after="0"/>
              <w:rPr>
                <w:sz w:val="20"/>
                <w:szCs w:val="20"/>
                <w:color w:val="auto"/>
              </w:rPr>
            </w:pPr>
            <w:r>
              <w:rPr>
                <w:rFonts w:ascii="Arial" w:cs="Arial" w:eastAsia="Arial" w:hAnsi="Arial"/>
                <w:sz w:val="14"/>
                <w:szCs w:val="14"/>
                <w:color w:val="auto"/>
              </w:rPr>
              <w:t>Real estate and other assets owned</w:t>
            </w:r>
          </w:p>
        </w:tc>
        <w:tc>
          <w:tcPr>
            <w:tcW w:w="10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color w:val="auto"/>
              </w:rPr>
              <w:t>12,141</w:t>
            </w:r>
          </w:p>
        </w:tc>
        <w:tc>
          <w:tcPr>
            <w:tcW w:w="1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9,486</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rPr>
              <w:t>12,504</w:t>
            </w:r>
          </w:p>
        </w:tc>
        <w:tc>
          <w:tcPr>
            <w:tcW w:w="10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color w:val="auto"/>
              </w:rPr>
              <w:t>19,629</w:t>
            </w:r>
          </w:p>
        </w:tc>
        <w:tc>
          <w:tcPr>
            <w:tcW w:w="1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17,380</w:t>
            </w:r>
          </w:p>
        </w:tc>
      </w:tr>
      <w:tr>
        <w:trPr>
          <w:trHeight w:val="20"/>
        </w:trPr>
        <w:tc>
          <w:tcPr>
            <w:tcW w:w="5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Total nonperforming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w w:val="90"/>
              </w:rPr>
              <w:t>236,369</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4"/>
              </w:rPr>
              <w:t>165,937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w w:val="94"/>
              </w:rPr>
              <w:t>184,954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w w:val="90"/>
              </w:rPr>
              <w:t>259,921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4"/>
              </w:rPr>
              <w:t>232,670</w:t>
            </w:r>
          </w:p>
        </w:tc>
      </w:tr>
      <w:tr>
        <w:trPr>
          <w:trHeight w:val="177"/>
        </w:trPr>
        <w:tc>
          <w:tcPr>
            <w:tcW w:w="5220" w:type="dxa"/>
            <w:vAlign w:val="bottom"/>
          </w:tcPr>
          <w:p>
            <w:pPr>
              <w:spacing w:after="0"/>
              <w:rPr>
                <w:sz w:val="20"/>
                <w:szCs w:val="20"/>
                <w:color w:val="auto"/>
              </w:rPr>
            </w:pPr>
            <w:r>
              <w:rPr>
                <w:rFonts w:ascii="Arial" w:cs="Arial" w:eastAsia="Arial" w:hAnsi="Arial"/>
                <w:sz w:val="14"/>
                <w:szCs w:val="14"/>
                <w:color w:val="auto"/>
              </w:rPr>
              <w:t>Accruing loans past due 90 days or more(a)</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0"/>
              </w:rPr>
              <w:t>111,307</w:t>
            </w:r>
          </w:p>
        </w:tc>
        <w:tc>
          <w:tcPr>
            <w:tcW w:w="4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129,403</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154,590</w:t>
            </w:r>
          </w:p>
        </w:tc>
        <w:tc>
          <w:tcPr>
            <w:tcW w:w="4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0"/>
              </w:rPr>
              <w:t>154,759</w:t>
            </w:r>
          </w:p>
        </w:tc>
        <w:tc>
          <w:tcPr>
            <w:tcW w:w="4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153,803</w:t>
            </w:r>
          </w:p>
        </w:tc>
        <w:tc>
          <w:tcPr>
            <w:tcW w:w="120" w:type="dxa"/>
            <w:vAlign w:val="bottom"/>
          </w:tcPr>
          <w:p>
            <w:pPr>
              <w:spacing w:after="0"/>
              <w:rPr>
                <w:sz w:val="15"/>
                <w:szCs w:val="15"/>
                <w:color w:val="auto"/>
              </w:rPr>
            </w:pPr>
          </w:p>
        </w:tc>
      </w:tr>
      <w:tr>
        <w:trPr>
          <w:trHeight w:val="167"/>
        </w:trPr>
        <w:tc>
          <w:tcPr>
            <w:tcW w:w="5220" w:type="dxa"/>
            <w:vAlign w:val="bottom"/>
            <w:shd w:val="clear" w:color="auto" w:fill="CCEEFF"/>
          </w:tcPr>
          <w:p>
            <w:pPr>
              <w:spacing w:after="0"/>
              <w:rPr>
                <w:sz w:val="20"/>
                <w:szCs w:val="20"/>
                <w:color w:val="auto"/>
              </w:rPr>
            </w:pPr>
            <w:r>
              <w:rPr>
                <w:rFonts w:ascii="Arial" w:cs="Arial" w:eastAsia="Arial" w:hAnsi="Arial"/>
                <w:sz w:val="14"/>
                <w:szCs w:val="14"/>
                <w:color w:val="auto"/>
              </w:rPr>
              <w:t>Government guaranteed loans included in totals above:</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54"/>
        </w:trPr>
        <w:tc>
          <w:tcPr>
            <w:tcW w:w="5220" w:type="dxa"/>
            <w:vAlign w:val="bottom"/>
          </w:tcPr>
          <w:p>
            <w:pPr>
              <w:ind w:left="140"/>
              <w:spacing w:after="0" w:line="155" w:lineRule="exact"/>
              <w:rPr>
                <w:sz w:val="20"/>
                <w:szCs w:val="20"/>
                <w:color w:val="auto"/>
              </w:rPr>
            </w:pPr>
            <w:r>
              <w:rPr>
                <w:rFonts w:ascii="Arial" w:cs="Arial" w:eastAsia="Arial" w:hAnsi="Arial"/>
                <w:sz w:val="14"/>
                <w:szCs w:val="14"/>
                <w:color w:val="auto"/>
              </w:rPr>
              <w:t>Nonperforming loans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17,586</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13,845</w:t>
            </w:r>
          </w:p>
        </w:tc>
        <w:tc>
          <w:tcPr>
            <w:tcW w:w="4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15,273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19,355</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11,885</w:t>
            </w:r>
          </w:p>
        </w:tc>
      </w:tr>
      <w:tr>
        <w:trPr>
          <w:trHeight w:val="179"/>
        </w:trPr>
        <w:tc>
          <w:tcPr>
            <w:tcW w:w="5220" w:type="dxa"/>
            <w:vAlign w:val="bottom"/>
          </w:tcPr>
          <w:p>
            <w:pPr>
              <w:ind w:left="140"/>
              <w:spacing w:after="0"/>
              <w:rPr>
                <w:sz w:val="20"/>
                <w:szCs w:val="20"/>
                <w:color w:val="auto"/>
              </w:rPr>
            </w:pPr>
            <w:r>
              <w:rPr>
                <w:rFonts w:ascii="Arial" w:cs="Arial" w:eastAsia="Arial" w:hAnsi="Arial"/>
                <w:sz w:val="14"/>
                <w:szCs w:val="14"/>
                <w:color w:val="auto"/>
              </w:rPr>
              <w:t>Accruing loans past due 90 days or more</w:t>
            </w:r>
          </w:p>
        </w:tc>
        <w:tc>
          <w:tcPr>
            <w:tcW w:w="100" w:type="dxa"/>
            <w:vAlign w:val="bottom"/>
          </w:tcPr>
          <w:p>
            <w:pPr>
              <w:spacing w:after="0"/>
              <w:rPr>
                <w:sz w:val="15"/>
                <w:szCs w:val="15"/>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color w:val="auto"/>
              </w:rPr>
              <w:t>76,622</w:t>
            </w:r>
          </w:p>
        </w:tc>
        <w:tc>
          <w:tcPr>
            <w:tcW w:w="10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105,508</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w w:val="94"/>
              </w:rPr>
              <w:t>120,700</w:t>
            </w:r>
          </w:p>
        </w:tc>
        <w:tc>
          <w:tcPr>
            <w:tcW w:w="100" w:type="dxa"/>
            <w:vAlign w:val="bottom"/>
          </w:tcPr>
          <w:p>
            <w:pPr>
              <w:spacing w:after="0"/>
              <w:rPr>
                <w:sz w:val="15"/>
                <w:szCs w:val="15"/>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color w:val="auto"/>
                <w:w w:val="90"/>
              </w:rPr>
              <w:t>124,585</w:t>
            </w:r>
          </w:p>
        </w:tc>
        <w:tc>
          <w:tcPr>
            <w:tcW w:w="10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129,114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-104775</wp:posOffset>
            </wp:positionV>
            <wp:extent cx="6335395" cy="1060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35395" cy="106045"/>
                    </a:xfrm>
                    <a:prstGeom prst="rect">
                      <a:avLst/>
                    </a:prstGeom>
                    <a:noFill/>
                  </pic:spPr>
                </pic:pic>
              </a:graphicData>
            </a:graphic>
          </wp:anchor>
        </w:drawing>
      </w:r>
    </w:p>
    <w:tbl>
      <w:tblPr>
        <w:tblLayout w:type="fixed"/>
        <w:tblInd w:w="680" w:type="dxa"/>
        <w:tblCellMar>
          <w:top w:w="0" w:type="dxa"/>
          <w:left w:w="0" w:type="dxa"/>
          <w:bottom w:w="0" w:type="dxa"/>
          <w:right w:w="0" w:type="dxa"/>
        </w:tblCellMar>
      </w:tblPr>
      <w:tr>
        <w:trPr>
          <w:trHeight w:val="168"/>
        </w:trPr>
        <w:tc>
          <w:tcPr>
            <w:tcW w:w="5180" w:type="dxa"/>
            <w:vAlign w:val="bottom"/>
          </w:tcPr>
          <w:p>
            <w:pPr>
              <w:spacing w:after="0"/>
              <w:rPr>
                <w:sz w:val="20"/>
                <w:szCs w:val="20"/>
                <w:color w:val="auto"/>
              </w:rPr>
            </w:pPr>
            <w:r>
              <w:rPr>
                <w:rFonts w:ascii="Arial" w:cs="Arial" w:eastAsia="Arial" w:hAnsi="Arial"/>
                <w:sz w:val="14"/>
                <w:szCs w:val="14"/>
                <w:color w:val="auto"/>
              </w:rPr>
              <w:t>Nonperforming loans to total loans and leases, net of unearned discount</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.52%</w:t>
            </w:r>
          </w:p>
        </w:tc>
        <w:tc>
          <w:tcPr>
            <w:tcW w:w="1020" w:type="dxa"/>
            <w:vAlign w:val="bottom"/>
          </w:tcPr>
          <w:p>
            <w:pPr>
              <w:jc w:val="right"/>
              <w:ind w:right="288"/>
              <w:spacing w:after="0"/>
              <w:rPr>
                <w:sz w:val="20"/>
                <w:szCs w:val="20"/>
                <w:color w:val="auto"/>
              </w:rPr>
            </w:pPr>
            <w:r>
              <w:rPr>
                <w:rFonts w:ascii="Arial" w:cs="Arial" w:eastAsia="Arial" w:hAnsi="Arial"/>
                <w:sz w:val="14"/>
                <w:szCs w:val="14"/>
                <w:color w:val="auto"/>
              </w:rPr>
              <w:t>.39%</w:t>
            </w: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.45%</w:t>
            </w:r>
          </w:p>
        </w:tc>
        <w:tc>
          <w:tcPr>
            <w:tcW w:w="1020" w:type="dxa"/>
            <w:vAlign w:val="bottom"/>
          </w:tcPr>
          <w:p>
            <w:pPr>
              <w:jc w:val="right"/>
              <w:ind w:right="288"/>
              <w:spacing w:after="0"/>
              <w:rPr>
                <w:sz w:val="20"/>
                <w:szCs w:val="20"/>
                <w:color w:val="auto"/>
              </w:rPr>
            </w:pPr>
            <w:r>
              <w:rPr>
                <w:rFonts w:ascii="Arial" w:cs="Arial" w:eastAsia="Arial" w:hAnsi="Arial"/>
                <w:sz w:val="14"/>
                <w:szCs w:val="14"/>
                <w:color w:val="auto"/>
              </w:rPr>
              <w:t>.67%</w:t>
            </w:r>
          </w:p>
        </w:tc>
        <w:tc>
          <w:tcPr>
            <w:tcW w:w="66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154"/>
        </w:trPr>
        <w:tc>
          <w:tcPr>
            <w:tcW w:w="51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w w:val="99"/>
              </w:rPr>
              <w:t>Nonperforming assets to total net loans and leases and real estate and other assets</w:t>
            </w:r>
          </w:p>
        </w:tc>
        <w:tc>
          <w:tcPr>
            <w:tcW w:w="1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r>
      <w:tr>
        <w:trPr>
          <w:trHeight w:val="180"/>
        </w:trPr>
        <w:tc>
          <w:tcPr>
            <w:tcW w:w="5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owned</w:t>
            </w:r>
          </w:p>
        </w:tc>
        <w:tc>
          <w:tcPr>
            <w:tcW w:w="110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.55%</w:t>
            </w:r>
          </w:p>
        </w:tc>
        <w:tc>
          <w:tcPr>
            <w:tcW w:w="10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.41%</w:t>
            </w:r>
          </w:p>
        </w:tc>
        <w:tc>
          <w:tcPr>
            <w:tcW w:w="10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.48%</w:t>
            </w:r>
          </w:p>
        </w:tc>
        <w:tc>
          <w:tcPr>
            <w:tcW w:w="102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.73%</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r>
      <w:tr>
        <w:trPr>
          <w:trHeight w:val="154"/>
        </w:trPr>
        <w:tc>
          <w:tcPr>
            <w:tcW w:w="5180" w:type="dxa"/>
            <w:vAlign w:val="bottom"/>
          </w:tcPr>
          <w:p>
            <w:pPr>
              <w:spacing w:after="0" w:line="155" w:lineRule="exact"/>
              <w:rPr>
                <w:sz w:val="20"/>
                <w:szCs w:val="20"/>
                <w:color w:val="auto"/>
              </w:rPr>
            </w:pPr>
            <w:r>
              <w:rPr>
                <w:rFonts w:ascii="Arial" w:cs="Arial" w:eastAsia="Arial" w:hAnsi="Arial"/>
                <w:sz w:val="14"/>
                <w:szCs w:val="14"/>
                <w:color w:val="auto"/>
              </w:rPr>
              <w:t>Accruing loans past due 90 days or more to total loans and leases, net of unearned</w:t>
            </w:r>
          </w:p>
        </w:tc>
        <w:tc>
          <w:tcPr>
            <w:tcW w:w="1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82"/>
        </w:trPr>
        <w:tc>
          <w:tcPr>
            <w:tcW w:w="5180" w:type="dxa"/>
            <w:vAlign w:val="bottom"/>
          </w:tcPr>
          <w:p>
            <w:pPr>
              <w:ind w:left="140"/>
              <w:spacing w:after="0"/>
              <w:rPr>
                <w:sz w:val="20"/>
                <w:szCs w:val="20"/>
                <w:color w:val="auto"/>
              </w:rPr>
            </w:pPr>
            <w:r>
              <w:rPr>
                <w:rFonts w:ascii="Arial" w:cs="Arial" w:eastAsia="Arial" w:hAnsi="Arial"/>
                <w:sz w:val="14"/>
                <w:szCs w:val="14"/>
                <w:color w:val="auto"/>
              </w:rPr>
              <w:t>discount</w:t>
            </w:r>
          </w:p>
        </w:tc>
        <w:tc>
          <w:tcPr>
            <w:tcW w:w="1100" w:type="dxa"/>
            <w:vAlign w:val="bottom"/>
          </w:tcPr>
          <w:p>
            <w:pPr>
              <w:jc w:val="right"/>
              <w:ind w:right="288"/>
              <w:spacing w:after="0"/>
              <w:rPr>
                <w:sz w:val="20"/>
                <w:szCs w:val="20"/>
                <w:color w:val="auto"/>
              </w:rPr>
            </w:pPr>
            <w:r>
              <w:rPr>
                <w:rFonts w:ascii="Arial" w:cs="Arial" w:eastAsia="Arial" w:hAnsi="Arial"/>
                <w:sz w:val="14"/>
                <w:szCs w:val="14"/>
                <w:color w:val="auto"/>
              </w:rPr>
              <w:t>.26%</w:t>
            </w:r>
          </w:p>
        </w:tc>
        <w:tc>
          <w:tcPr>
            <w:tcW w:w="1020" w:type="dxa"/>
            <w:vAlign w:val="bottom"/>
          </w:tcPr>
          <w:p>
            <w:pPr>
              <w:jc w:val="right"/>
              <w:ind w:right="288"/>
              <w:spacing w:after="0"/>
              <w:rPr>
                <w:sz w:val="20"/>
                <w:szCs w:val="20"/>
                <w:color w:val="auto"/>
              </w:rPr>
            </w:pPr>
            <w:r>
              <w:rPr>
                <w:rFonts w:ascii="Arial" w:cs="Arial" w:eastAsia="Arial" w:hAnsi="Arial"/>
                <w:sz w:val="14"/>
                <w:szCs w:val="14"/>
                <w:color w:val="auto"/>
              </w:rPr>
              <w:t>.32%</w:t>
            </w:r>
          </w:p>
        </w:tc>
        <w:tc>
          <w:tcPr>
            <w:tcW w:w="1000" w:type="dxa"/>
            <w:vAlign w:val="bottom"/>
          </w:tcPr>
          <w:p>
            <w:pPr>
              <w:jc w:val="right"/>
              <w:ind w:right="268"/>
              <w:spacing w:after="0"/>
              <w:rPr>
                <w:sz w:val="20"/>
                <w:szCs w:val="20"/>
                <w:color w:val="auto"/>
              </w:rPr>
            </w:pPr>
            <w:r>
              <w:rPr>
                <w:rFonts w:ascii="Arial" w:cs="Arial" w:eastAsia="Arial" w:hAnsi="Arial"/>
                <w:sz w:val="14"/>
                <w:szCs w:val="14"/>
                <w:color w:val="auto"/>
              </w:rPr>
              <w:t>.40%</w:t>
            </w:r>
          </w:p>
        </w:tc>
        <w:tc>
          <w:tcPr>
            <w:tcW w:w="1020" w:type="dxa"/>
            <w:vAlign w:val="bottom"/>
          </w:tcPr>
          <w:p>
            <w:pPr>
              <w:jc w:val="right"/>
              <w:ind w:right="288"/>
              <w:spacing w:after="0"/>
              <w:rPr>
                <w:sz w:val="20"/>
                <w:szCs w:val="20"/>
                <w:color w:val="auto"/>
              </w:rPr>
            </w:pPr>
            <w:r>
              <w:rPr>
                <w:rFonts w:ascii="Arial" w:cs="Arial" w:eastAsia="Arial" w:hAnsi="Arial"/>
                <w:sz w:val="14"/>
                <w:szCs w:val="14"/>
                <w:color w:val="auto"/>
              </w:rPr>
              <w:t>.43%</w:t>
            </w:r>
          </w:p>
        </w:tc>
        <w:tc>
          <w:tcPr>
            <w:tcW w:w="660" w:type="dxa"/>
            <w:vAlign w:val="bottom"/>
          </w:tcPr>
          <w:p>
            <w:pPr>
              <w:jc w:val="right"/>
              <w:spacing w:after="0"/>
              <w:rPr>
                <w:sz w:val="20"/>
                <w:szCs w:val="20"/>
                <w:color w:val="auto"/>
              </w:rPr>
            </w:pPr>
            <w:r>
              <w:rPr>
                <w:rFonts w:ascii="Arial" w:cs="Arial" w:eastAsia="Arial" w:hAnsi="Arial"/>
                <w:sz w:val="14"/>
                <w:szCs w:val="14"/>
                <w:color w:val="auto"/>
              </w:rPr>
              <w:t>.60%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60960</wp:posOffset>
            </wp:positionV>
            <wp:extent cx="823595"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6" w:lineRule="exact"/>
        <w:rPr>
          <w:sz w:val="20"/>
          <w:szCs w:val="20"/>
          <w:color w:val="auto"/>
        </w:rPr>
      </w:pPr>
    </w:p>
    <w:p>
      <w:pPr>
        <w:ind w:left="1180" w:hanging="493"/>
        <w:spacing w:after="0"/>
        <w:tabs>
          <w:tab w:leader="none" w:pos="1180" w:val="left"/>
        </w:tabs>
        <w:numPr>
          <w:ilvl w:val="0"/>
          <w:numId w:val="18"/>
        </w:numPr>
        <w:rPr>
          <w:rFonts w:ascii="Arial" w:cs="Arial" w:eastAsia="Arial" w:hAnsi="Arial"/>
          <w:sz w:val="13"/>
          <w:szCs w:val="13"/>
          <w:i w:val="1"/>
          <w:iCs w:val="1"/>
          <w:color w:val="auto"/>
        </w:rPr>
      </w:pPr>
      <w:r>
        <w:rPr>
          <w:rFonts w:ascii="Arial" w:cs="Arial" w:eastAsia="Arial" w:hAnsi="Arial"/>
          <w:sz w:val="13"/>
          <w:szCs w:val="13"/>
          <w:i w:val="1"/>
          <w:iCs w:val="1"/>
          <w:color w:val="auto"/>
        </w:rPr>
        <w:t>Predominately residential mortgage loans.</w:t>
      </w:r>
    </w:p>
    <w:p>
      <w:pPr>
        <w:spacing w:after="0" w:line="92" w:lineRule="exact"/>
        <w:rPr>
          <w:sz w:val="20"/>
          <w:szCs w:val="20"/>
          <w:color w:val="auto"/>
        </w:rPr>
      </w:pPr>
    </w:p>
    <w:p>
      <w:pPr>
        <w:ind w:left="680" w:right="160" w:firstLine="599"/>
        <w:spacing w:after="0" w:line="253" w:lineRule="auto"/>
        <w:rPr>
          <w:sz w:val="20"/>
          <w:szCs w:val="20"/>
          <w:color w:val="auto"/>
        </w:rPr>
      </w:pPr>
      <w:r>
        <w:rPr>
          <w:rFonts w:ascii="Arial" w:cs="Arial" w:eastAsia="Arial" w:hAnsi="Arial"/>
          <w:sz w:val="14"/>
          <w:szCs w:val="14"/>
          <w:color w:val="auto"/>
        </w:rPr>
        <w:t>Factors that influence the Company’s credit loss experience include overall economic conditions affecting businesses and consumers, in general, and, due to the size of the Company’s commercial real estate loan portfolio, real estate valuations, in particular.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w:t>
      </w:r>
    </w:p>
    <w:p>
      <w:pPr>
        <w:spacing w:after="0" w:line="2" w:lineRule="exact"/>
        <w:rPr>
          <w:sz w:val="20"/>
          <w:szCs w:val="20"/>
          <w:color w:val="auto"/>
        </w:rPr>
      </w:pPr>
    </w:p>
    <w:p>
      <w:pPr>
        <w:ind w:left="680" w:right="220" w:firstLine="599"/>
        <w:spacing w:after="0" w:line="263" w:lineRule="auto"/>
        <w:rPr>
          <w:sz w:val="20"/>
          <w:szCs w:val="20"/>
          <w:color w:val="auto"/>
        </w:rPr>
      </w:pPr>
      <w:r>
        <w:rPr>
          <w:rFonts w:ascii="Arial" w:cs="Arial" w:eastAsia="Arial" w:hAnsi="Arial"/>
          <w:sz w:val="14"/>
          <w:szCs w:val="14"/>
          <w:color w:val="auto"/>
        </w:rPr>
        <w:t>Net charge-offs of commercial loans and leases totaled $20 million in each of 2006 and 2004, compared with $26 million in 2005. Nonperforming commercial loans and leases were $79 million at December 31, 2006, $39 million a year earlier and $45 million at December 31, 2004. As noted earlier,</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jc w:val="both"/>
        <w:ind w:left="680" w:right="100"/>
        <w:spacing w:after="0" w:line="255" w:lineRule="auto"/>
        <w:rPr>
          <w:sz w:val="20"/>
          <w:szCs w:val="20"/>
          <w:color w:val="auto"/>
        </w:rPr>
      </w:pPr>
      <w:r>
        <w:rPr>
          <w:rFonts w:ascii="Arial" w:cs="Arial" w:eastAsia="Arial" w:hAnsi="Arial"/>
          <w:sz w:val="14"/>
          <w:szCs w:val="14"/>
          <w:color w:val="auto"/>
        </w:rPr>
        <w:t>the increase in such loans from the 2005 year-end to December 31, 2006 largely reflects the addition of four relationships with automobile dealers aggregating $41 million. Continued slowing of domestic automobile sales in 2006 has resulted in a difficult operating environment for certain automobile dealers, leading to deteriorating financial results.</w:t>
      </w:r>
    </w:p>
    <w:p>
      <w:pPr>
        <w:ind w:left="680" w:firstLine="599"/>
        <w:spacing w:after="0" w:line="268" w:lineRule="auto"/>
        <w:rPr>
          <w:sz w:val="20"/>
          <w:szCs w:val="20"/>
          <w:color w:val="auto"/>
        </w:rPr>
      </w:pPr>
      <w:r>
        <w:rPr>
          <w:rFonts w:ascii="Arial" w:cs="Arial" w:eastAsia="Arial" w:hAnsi="Arial"/>
          <w:sz w:val="13"/>
          <w:szCs w:val="13"/>
          <w:color w:val="auto"/>
        </w:rPr>
        <w:t>Net charge-offs of commercial real estate loans during 2006 were $1 million, compared with net recoveries of $1 million in 2005 and net charge-offs of $3 million in 2004. Commercial real estate loans classified as nonperforming totaled $57 million at December 31, 2006, compared with $44 million at December 31, 2005 and</w:t>
      </w:r>
    </w:p>
    <w:p>
      <w:pPr>
        <w:jc w:val="center"/>
        <w:ind w:left="880" w:right="20"/>
        <w:spacing w:after="0" w:line="268" w:lineRule="auto"/>
        <w:rPr>
          <w:sz w:val="20"/>
          <w:szCs w:val="20"/>
          <w:color w:val="auto"/>
        </w:rPr>
      </w:pPr>
      <w:r>
        <w:rPr>
          <w:rFonts w:ascii="Arial" w:cs="Arial" w:eastAsia="Arial" w:hAnsi="Arial"/>
          <w:sz w:val="13"/>
          <w:szCs w:val="13"/>
          <w:color w:val="auto"/>
        </w:rPr>
        <w:t>$45 million at December 31, 2004. The increase from the end of 2005 to the 2006 year-end was largely due to the addition of a $10 million loan to an assisted living facility. Residential real estate loans charged off, net of recoveries, were $4 million in each of 2006 and 2004, compared with $2 million in 2005. Nonperforming</w:t>
      </w:r>
    </w:p>
    <w:p>
      <w:pPr>
        <w:ind w:left="680" w:right="140"/>
        <w:spacing w:after="0" w:line="249" w:lineRule="auto"/>
        <w:rPr>
          <w:sz w:val="20"/>
          <w:szCs w:val="20"/>
          <w:color w:val="auto"/>
        </w:rPr>
      </w:pPr>
      <w:r>
        <w:rPr>
          <w:rFonts w:ascii="Arial" w:cs="Arial" w:eastAsia="Arial" w:hAnsi="Arial"/>
          <w:sz w:val="14"/>
          <w:szCs w:val="14"/>
          <w:color w:val="auto"/>
        </w:rPr>
        <w:t>residential real estate loans at the 2006 year-end totaled $42 million, compared with $29 million and $44 million at December 31, 2005 and 2004, respectively. Residential real estate loans past due 90 days or more and accruing interest totaled $92 million, $96 million and $127 million at December 31, 2006, 2005 and 2004, respectively. A substantial portion of such amounts related to guaranteed loans repurchased from government-related entities.</w:t>
      </w:r>
    </w:p>
    <w:p>
      <w:pPr>
        <w:ind w:left="680" w:firstLine="599"/>
        <w:spacing w:after="0" w:line="249" w:lineRule="auto"/>
        <w:rPr>
          <w:sz w:val="20"/>
          <w:szCs w:val="20"/>
          <w:color w:val="auto"/>
        </w:rPr>
      </w:pPr>
      <w:r>
        <w:rPr>
          <w:rFonts w:ascii="Arial" w:cs="Arial" w:eastAsia="Arial" w:hAnsi="Arial"/>
          <w:sz w:val="14"/>
          <w:szCs w:val="14"/>
          <w:color w:val="auto"/>
        </w:rPr>
        <w:t>Net charge-offs of consumer loans and leases during 2006 totaled $43 million, representing .43% of average consumer loans and leases outstanding, compared with $50 million or .47% in 2005 and $55 million or .49% in 2004. Indirect automobile loans and leases represented the most significant category of consumer loan charge-offs in each of the past three years. Net charge-offs of indirect automobile loans and leases were $24 million during 2006, and $37 million during each of 2005 and 2004. Nonperforming consumer loans and leases were $46 million at December 31, 2006, representing .46% of outstanding consumer loans and leases, compared with $44 million or .42% at December 31, 2005 and $38 million or .35% at December 31, 2004. Consumer loans and leases past due 90 days or more and accruing interest totaled $3 million at December 31, 2006, $1 million at December 31, 2005 and $2 million at December 31, 2004.</w:t>
      </w:r>
    </w:p>
    <w:p>
      <w:pPr>
        <w:ind w:left="680" w:right="60" w:firstLine="599"/>
        <w:spacing w:after="0" w:line="268" w:lineRule="auto"/>
        <w:rPr>
          <w:sz w:val="20"/>
          <w:szCs w:val="20"/>
          <w:color w:val="auto"/>
        </w:rPr>
      </w:pPr>
      <w:r>
        <w:rPr>
          <w:rFonts w:ascii="Arial" w:cs="Arial" w:eastAsia="Arial" w:hAnsi="Arial"/>
          <w:sz w:val="13"/>
          <w:szCs w:val="13"/>
          <w:color w:val="auto"/>
        </w:rPr>
        <w:t>Management regularly assesses the adequacy of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 guarantees or indemnifications. Management evaluated the impact of changes in interest rates and overall economic conditions on the ability of borrowers to meet repayment obligations when quantifying the Company’s exposure to credit losses and assessing the adequacy of the Company’s allowance for such losses as of each reporting date. Factors also considered by management when performing its assessment, in addition to general economic conditions and the other factors described above, included, but were not limited to: (i) the concentration of commercial real estate loans in the Company’s loan portfolio, particularly the large concentration of loans secured by properties in New York State, in general, and in the New York City metropolitan area, in particular; (ii) 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and (iii) 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2" w:lineRule="exact"/>
        <w:rPr>
          <w:sz w:val="20"/>
          <w:szCs w:val="20"/>
          <w:color w:val="auto"/>
        </w:rPr>
      </w:pPr>
    </w:p>
    <w:p>
      <w:pPr>
        <w:ind w:left="680" w:right="20" w:firstLine="599"/>
        <w:spacing w:after="0" w:line="251" w:lineRule="auto"/>
        <w:rPr>
          <w:sz w:val="20"/>
          <w:szCs w:val="20"/>
          <w:color w:val="auto"/>
        </w:rPr>
      </w:pPr>
      <w:r>
        <w:rPr>
          <w:rFonts w:ascii="Arial" w:cs="Arial" w:eastAsia="Arial" w:hAnsi="Arial"/>
          <w:sz w:val="14"/>
          <w:szCs w:val="14"/>
          <w:color w:val="auto"/>
        </w:rPr>
        <w:t>Management cautiously and conservatively evaluated the allowance for credit losses as of December 31, 2006 in light of (i) the sluggish pace of economic growth in many of the markets served by the Company; (ii) continuing weakness in industrial employment in upstate New York and central Pennsylvania; and (iii) the significant subjectivity involved in commercial real estate valuations for properties located in areas with stagnant or low growth economies. Although the national economy experienced moderate growth in 2006 with inflation being reasonably well contained, concerns exist about the level and volatility of energy prices; a weakening housing market, particularly concerns about possible over-valued real estate; Federal Reserve positioning of monetary policy; the underlying impact on businesses’ operations and abilities to repay loans resulting from a higher level of interest rates;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ind w:left="680" w:right="360"/>
        <w:spacing w:after="0" w:line="258" w:lineRule="auto"/>
        <w:rPr>
          <w:sz w:val="20"/>
          <w:szCs w:val="20"/>
          <w:color w:val="auto"/>
        </w:rPr>
      </w:pPr>
      <w:r>
        <w:rPr>
          <w:rFonts w:ascii="Arial" w:cs="Arial" w:eastAsia="Arial" w:hAnsi="Arial"/>
          <w:sz w:val="14"/>
          <w:szCs w:val="14"/>
          <w:color w:val="auto"/>
        </w:rPr>
        <w:t>sluggish job creation, which could cause consumer spending to slow; continued stagnant population growth in the upstate New York and central Pennsylvania regions; continued slowing of domestic automobile sales; and modest loan demand in many market areas served by the Company.</w:t>
      </w:r>
    </w:p>
    <w:p>
      <w:pPr>
        <w:ind w:left="680" w:right="280" w:firstLine="599"/>
        <w:spacing w:after="0" w:line="249" w:lineRule="auto"/>
        <w:rPr>
          <w:sz w:val="20"/>
          <w:szCs w:val="20"/>
          <w:color w:val="auto"/>
        </w:rPr>
      </w:pPr>
      <w:r>
        <w:rPr>
          <w:rFonts w:ascii="Arial" w:cs="Arial" w:eastAsia="Arial" w:hAnsi="Arial"/>
          <w:sz w:val="14"/>
          <w:szCs w:val="14"/>
          <w:color w:val="auto"/>
        </w:rPr>
        <w:t>In ascertaining the adequacy of the allowance for credit losses, the Company estimates losses attributable to specific troubled credits and also estimates losses inherent in other loans and leases. The total allowance for credit losses, therefore, includes both specific and inherent base level loss components, as well as inherent unallocated loss components. The following paragraphs describe these components.</w:t>
      </w:r>
    </w:p>
    <w:p>
      <w:pPr>
        <w:ind w:left="1280"/>
        <w:spacing w:after="0"/>
        <w:rPr>
          <w:sz w:val="20"/>
          <w:szCs w:val="20"/>
          <w:color w:val="auto"/>
        </w:rPr>
      </w:pPr>
      <w:r>
        <w:rPr>
          <w:rFonts w:ascii="Arial" w:cs="Arial" w:eastAsia="Arial" w:hAnsi="Arial"/>
          <w:sz w:val="13"/>
          <w:szCs w:val="13"/>
          <w:color w:val="auto"/>
        </w:rPr>
        <w:t>For purposes of determining the level of the allowance for credit losses, the Company segments its loan and lease portfolio by loan type. The amount of specific</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loss components in the Company’s loan and lease portfolios is determined through a loan by loan analysis of commercial and commercial real estate loans greater than</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$350,000 which are in nonaccrual status. Measurement of the specific loss components is typically based on expected future cash flows, collateral values and other factors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that may impact the borrower’s ability to pay. Impaired loans, as defined in Statement of Financial Accounting Standards (“SFAS”) No. 114, “Accounting by Creditors for</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Impairment of a Loan,” as amended, are evaluated for specific loss components. Except for consumer loans and leases and residential real estate loans that are considered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smaller balance homogeneous loans and are evaluated collectively, the Company considers a loan to be impaired for purposes of applying SFAS No. 114 when, based on</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current information and events, it is probable that the Company will be unable to collect all amounts according to the contractual terms of the loan agreement or the loan is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delinquent 90 days or more. Loans less than 90 days delinquent are deemed to have a minimal delay in payment and are generally not considered to be impaired for</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purposes of applying SFAS No. 114.</w:t>
      </w:r>
    </w:p>
    <w:p>
      <w:pPr>
        <w:spacing w:after="0" w:line="6" w:lineRule="exact"/>
        <w:rPr>
          <w:sz w:val="20"/>
          <w:szCs w:val="20"/>
          <w:color w:val="auto"/>
        </w:rPr>
      </w:pPr>
    </w:p>
    <w:p>
      <w:pPr>
        <w:ind w:left="680" w:right="300" w:firstLine="599"/>
        <w:spacing w:after="0" w:line="290" w:lineRule="auto"/>
        <w:rPr>
          <w:sz w:val="20"/>
          <w:szCs w:val="20"/>
          <w:color w:val="auto"/>
        </w:rPr>
      </w:pPr>
      <w:r>
        <w:rPr>
          <w:rFonts w:ascii="Arial" w:cs="Arial" w:eastAsia="Arial" w:hAnsi="Arial"/>
          <w:sz w:val="12"/>
          <w:szCs w:val="12"/>
          <w:color w:val="auto"/>
        </w:rPr>
        <w:t>The inherent base level loss components are generally determined by applying loss factors to specific loan balances based on loan type and management’s classification of such loans under the Company’s loan grading system. The Company utilizes an extensive loan grading system which is applied to all commercial and commercial real estate credits. Loan officers are responsible for continually assigning grades to these loans based on standards outlined in the Company’s Credit Policy. Internal loan grades are also extensively monitored by the Company’s loan review department to ensure consistency and strict adherence to the prescribed standards.</w:t>
      </w:r>
    </w:p>
    <w:p>
      <w:pPr>
        <w:spacing w:after="0" w:line="1" w:lineRule="exact"/>
        <w:rPr>
          <w:sz w:val="20"/>
          <w:szCs w:val="20"/>
          <w:color w:val="auto"/>
        </w:rPr>
      </w:pPr>
    </w:p>
    <w:p>
      <w:pPr>
        <w:ind w:left="680" w:firstLine="599"/>
        <w:spacing w:after="0" w:line="268" w:lineRule="auto"/>
        <w:rPr>
          <w:sz w:val="20"/>
          <w:szCs w:val="20"/>
          <w:color w:val="auto"/>
        </w:rPr>
      </w:pPr>
      <w:r>
        <w:rPr>
          <w:rFonts w:ascii="Arial" w:cs="Arial" w:eastAsia="Arial" w:hAnsi="Arial"/>
          <w:sz w:val="13"/>
          <w:szCs w:val="13"/>
          <w:color w:val="auto"/>
        </w:rPr>
        <w:t>Loan balances utilized in the inherent base level loss component computations exclude loans and leases for which specific allocations are maintained. Loan grades are assigned loss component factors that reflect the Company’s loss estimate for each group of loans and leases. Factors considered in assigning loan grades and loss component factors include borrower-specific information related to expected future cash flows and operating results, collateral value, financial condition, payment status, and other information; levels of and trends in portfolio charge-offs and recoveries; levels of and trends in portfolio delinquencies and impaired loans; changes in the risk profile of specific portfolios; trends in volume and terms of loans; effects of changes in credit concentrations; and observed trends and practices in the banking industry.</w:t>
      </w:r>
    </w:p>
    <w:p>
      <w:pPr>
        <w:spacing w:after="0" w:line="1" w:lineRule="exact"/>
        <w:rPr>
          <w:sz w:val="20"/>
          <w:szCs w:val="20"/>
          <w:color w:val="auto"/>
        </w:rPr>
      </w:pPr>
    </w:p>
    <w:p>
      <w:pPr>
        <w:ind w:left="680" w:right="60" w:firstLine="599"/>
        <w:spacing w:after="0" w:line="268" w:lineRule="auto"/>
        <w:rPr>
          <w:sz w:val="20"/>
          <w:szCs w:val="20"/>
          <w:color w:val="auto"/>
        </w:rPr>
      </w:pPr>
      <w:r>
        <w:rPr>
          <w:rFonts w:ascii="Arial" w:cs="Arial" w:eastAsia="Arial" w:hAnsi="Arial"/>
          <w:sz w:val="13"/>
          <w:szCs w:val="13"/>
          <w:color w:val="auto"/>
        </w:rPr>
        <w:t>To better classify inherent losses by specific loan categories, beginning in 2006 amounts previously included in the inherent unallocated portion of the allowance for such things as customer, industry and geographic concentrations as well as for certain national and local economic conditions have been included in the inherent base level loss component. As a result, probable losses resulting from (i) comparatively poorer economic conditions and an unfavorable business climate in many market regions served by the Company, specifically upstate New York and central Pennsylvania, that resulted in such regions experiencing significantly poorer economic growth and vitality as compared with much of the rest of the country; (ii) portfolio concentrations regarding loan type, collateral type and geographic location, in particular the large concentration of commercial real estate loans secured by properties in the New York City metropolitan area and other areas of New York State; and (iii) additional risk associated with the Company’s portfolio of consumer loans, in particular automobile loans and leases, which generally have higher rates of loss than other types of collateralized loans, have been included in the inherent base level loss components at December 31, 2006.</w:t>
      </w:r>
    </w:p>
    <w:p>
      <w:pPr>
        <w:spacing w:after="0" w:line="1" w:lineRule="exact"/>
        <w:rPr>
          <w:sz w:val="20"/>
          <w:szCs w:val="20"/>
          <w:color w:val="auto"/>
        </w:rPr>
      </w:pPr>
    </w:p>
    <w:p>
      <w:pPr>
        <w:ind w:left="680" w:right="300" w:firstLine="599"/>
        <w:spacing w:after="0" w:line="301" w:lineRule="auto"/>
        <w:rPr>
          <w:sz w:val="20"/>
          <w:szCs w:val="20"/>
          <w:color w:val="auto"/>
        </w:rPr>
      </w:pPr>
      <w:r>
        <w:rPr>
          <w:rFonts w:ascii="Arial" w:cs="Arial" w:eastAsia="Arial" w:hAnsi="Arial"/>
          <w:sz w:val="13"/>
          <w:szCs w:val="13"/>
          <w:color w:val="auto"/>
        </w:rPr>
        <w:t>In evaluating collateral value, the Company relies extensively on internally and externally prepared valuations. Such valuations, in particular commercial real estate valuations, utilize many assumptions and, as a result, can be highly subjective. Specifically, commercial real estate values in the New York City</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ind w:left="680" w:right="60"/>
        <w:spacing w:after="0" w:line="269" w:lineRule="auto"/>
        <w:rPr>
          <w:sz w:val="20"/>
          <w:szCs w:val="20"/>
          <w:color w:val="auto"/>
        </w:rPr>
      </w:pPr>
      <w:r>
        <w:rPr>
          <w:rFonts w:ascii="Arial" w:cs="Arial" w:eastAsia="Arial" w:hAnsi="Arial"/>
          <w:sz w:val="13"/>
          <w:szCs w:val="13"/>
          <w:color w:val="auto"/>
        </w:rPr>
        <w:t>metropolitan area can be significantly affected over relatively short periods of time by changes in business climate, economic conditions and interest rates, and, in many cases, the results of operations of businesses and other occupants of the real property. Additionally, management is aware that there is oftentimes a delay in the recognition of credit quality changes in assigned loan grades due to the elapse of time between the manifestation and reporting of underlying events that impact credit quality and, accordingly, loss estimates derived from the inherent base level loss component computation are adjusted for current national and local economic conditions and trends. Economic indicators in the most significant market regions served by the Company were mixed during 2006. Private sector job growth in the upstate New York market was 0.2%, or well below the 1.5% national average. The manufacturing-oriented metropolitan areas of Buffalo, Rochester and Binghamton continued to experience weakness, including continued industrial downsizing. Job growth in areas of Pennsylvania served by the Company and in Maryland matched the national average. The results for the Pennsylvania markets are particularly noteworthy since job growth in that region had significantly lagged national averages for several years prior to 2006. Job growth in New York City (1.8%) and the Greater Washington D.C. region (3.0%), particularly northern Virginia (3.6%), was higher than the national average in 2006. These mixed signals on private sector job growth, combined with concerns about inflation, higher interest rates, high levels of consumer indebtedness, high and volatile energy prices, weak population growth in the upstate New York and central Pennsylvania regions that lagged national population growth trends and other factors, continue to indicate to management an environment of economic uncertainty, particularly in the markets served by the Company in New York and Pennsylvania where more than two-thirds of its lending business is conducted.</w:t>
      </w:r>
    </w:p>
    <w:p>
      <w:pPr>
        <w:spacing w:after="0" w:line="6" w:lineRule="exact"/>
        <w:rPr>
          <w:sz w:val="20"/>
          <w:szCs w:val="20"/>
          <w:color w:val="auto"/>
        </w:rPr>
      </w:pPr>
    </w:p>
    <w:p>
      <w:pPr>
        <w:ind w:left="680" w:right="20" w:firstLine="599"/>
        <w:spacing w:after="0" w:line="268" w:lineRule="auto"/>
        <w:rPr>
          <w:sz w:val="20"/>
          <w:szCs w:val="20"/>
          <w:color w:val="auto"/>
        </w:rPr>
      </w:pPr>
      <w:r>
        <w:rPr>
          <w:rFonts w:ascii="Arial" w:cs="Arial" w:eastAsia="Arial" w:hAnsi="Arial"/>
          <w:sz w:val="13"/>
          <w:szCs w:val="13"/>
          <w:color w:val="auto"/>
        </w:rPr>
        <w:t>The specific loss components and the inherent base level loss components together comprise the total base level or “allocated” allowance for credit losses. Such allocated portion of the allowance represents management’s assessment of losses existing in specific larger balance loans that are reviewed in detail by management and pools of other loans that are not individually analyzed. The inherent unallocated portion of the allowance is intended to provide for probable losses that are not otherwise identifiable. The inherent unallocated allowance includes management’s subjective determination of amounts necessary for such things as; (i) the effect of expansion into new markets, including market areas entered through acquisitions, for which the Company does not have the same degree of familiarity and experience regarding portfolio performance in changing market conditions; (ii) the introduction of new loan and lease product types, including loans and leases to foreign and domestic borrowers obtained through acquisitions; and (iii) the possible use of imprecise estimates in determining the allocated portion of the allowance.</w:t>
      </w:r>
    </w:p>
    <w:p>
      <w:pPr>
        <w:spacing w:after="0" w:line="1" w:lineRule="exact"/>
        <w:rPr>
          <w:sz w:val="20"/>
          <w:szCs w:val="20"/>
          <w:color w:val="auto"/>
        </w:rPr>
      </w:pPr>
    </w:p>
    <w:p>
      <w:pPr>
        <w:ind w:left="680" w:right="140" w:firstLine="599"/>
        <w:spacing w:after="0" w:line="268" w:lineRule="auto"/>
        <w:rPr>
          <w:sz w:val="20"/>
          <w:szCs w:val="20"/>
          <w:color w:val="auto"/>
        </w:rPr>
      </w:pPr>
      <w:r>
        <w:rPr>
          <w:rFonts w:ascii="Arial" w:cs="Arial" w:eastAsia="Arial" w:hAnsi="Arial"/>
          <w:sz w:val="13"/>
          <w:szCs w:val="13"/>
          <w:color w:val="auto"/>
        </w:rPr>
        <w:t>A comparative allocation of the allowance for credit losses for each of the past five year-ends is presented in table 12. Amounts were allocated to specific loan categories based on information available to management at the time of each year-end assessment and using the methodology described herein. Variations in the allocation of the allowance by loan category as a percentage of those loans reflect changes in management’s estimate of specific loss components and inherent base level loss components, including in 2006, the allocation of losses that were previously unallocated for such things as customer, industry and geographic concentrations, certain national and local economic conditions, and other factors. As described in note 4 of Notes to Financial Statements, loans considered impaired pursuant to the requirements of SFAS No. 114 were $153 million at December 31, 2006 and $93 million at December 31, 2005. The allocated portion of the allowance for credit losses related to impaired loans totaled $23 million at December 31, 2006 and $15 million at December 31, 2005. The unallocated portion of the allowance for credit losses was equal to</w:t>
      </w:r>
    </w:p>
    <w:p>
      <w:pPr>
        <w:spacing w:after="0" w:line="1" w:lineRule="exact"/>
        <w:rPr>
          <w:sz w:val="20"/>
          <w:szCs w:val="20"/>
          <w:color w:val="auto"/>
        </w:rPr>
      </w:pPr>
    </w:p>
    <w:p>
      <w:pPr>
        <w:ind w:left="680" w:right="20"/>
        <w:spacing w:after="0" w:line="251" w:lineRule="auto"/>
        <w:rPr>
          <w:sz w:val="20"/>
          <w:szCs w:val="20"/>
          <w:color w:val="auto"/>
        </w:rPr>
      </w:pPr>
      <w:r>
        <w:rPr>
          <w:rFonts w:ascii="Arial" w:cs="Arial" w:eastAsia="Arial" w:hAnsi="Arial"/>
          <w:sz w:val="14"/>
          <w:szCs w:val="14"/>
          <w:color w:val="auto"/>
        </w:rPr>
        <w:t>.21% and .51% of gross loans outstanding at December 31, 2006 and 2005, respectively. The decrease in the unallocated portion of the allowance for credit losses from year-end 2005 to December 31, 2006 was largely attributable to the factors described herein. Given the inherent imprecision in the many estimates used in the determination of the allocated portion of the allowance, management deliberately remained cautious and conservative in establishing the unallocated portion of the allowance for credit losses. Given the Company’s high concentration of commercial loans and commercial real estate loans in New York State, including the upstate New York region, and central Pennsylvania, and considering the other factors already discussed herein, management considers the allocated and unallocated portions of the allowance for credit losses to be prudent and</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reasonable. Nevertheless, the Company’s allowance is general in nature and is available to absorb losses from any loan or lease category.</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12</w:t>
      </w:r>
    </w:p>
    <w:p>
      <w:pPr>
        <w:spacing w:after="0" w:line="252" w:lineRule="exact"/>
        <w:rPr>
          <w:sz w:val="20"/>
          <w:szCs w:val="20"/>
          <w:color w:val="auto"/>
        </w:rPr>
      </w:pPr>
    </w:p>
    <w:p>
      <w:pPr>
        <w:ind w:left="2820"/>
        <w:spacing w:after="0"/>
        <w:rPr>
          <w:sz w:val="20"/>
          <w:szCs w:val="20"/>
          <w:color w:val="auto"/>
        </w:rPr>
      </w:pPr>
      <w:r>
        <w:rPr>
          <w:rFonts w:ascii="Arial" w:cs="Arial" w:eastAsia="Arial" w:hAnsi="Arial"/>
          <w:sz w:val="14"/>
          <w:szCs w:val="14"/>
          <w:b w:val="1"/>
          <w:bCs w:val="1"/>
          <w:color w:val="auto"/>
        </w:rPr>
        <w:t>ALLOCATION OF THE ALLOWANCE FOR CREDIT LOSSES TO LOAN CATEGORIES</w:t>
      </w:r>
    </w:p>
    <w:p>
      <w:pPr>
        <w:spacing w:after="0" w:line="104"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5300" w:type="dxa"/>
            <w:vAlign w:val="bottom"/>
          </w:tcPr>
          <w:p>
            <w:pPr>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ecember 31</w:t>
            </w: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b w:val="1"/>
                <w:bCs w:val="1"/>
                <w:color w:val="auto"/>
              </w:rPr>
              <w:t>2005</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0"/>
                <w:szCs w:val="10"/>
                <w:b w:val="1"/>
                <w:bCs w:val="1"/>
                <w:color w:val="auto"/>
              </w:rPr>
              <w:t>2004</w:t>
            </w:r>
          </w:p>
        </w:tc>
        <w:tc>
          <w:tcPr>
            <w:tcW w:w="400" w:type="dxa"/>
            <w:vAlign w:val="bottom"/>
          </w:tcPr>
          <w:p>
            <w:pPr>
              <w:spacing w:after="0"/>
              <w:rPr>
                <w:sz w:val="11"/>
                <w:szCs w:val="11"/>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b w:val="1"/>
                <w:bCs w:val="1"/>
                <w:color w:val="auto"/>
              </w:rPr>
              <w:t>2003</w:t>
            </w:r>
          </w:p>
        </w:tc>
        <w:tc>
          <w:tcPr>
            <w:tcW w:w="400" w:type="dxa"/>
            <w:vAlign w:val="bottom"/>
          </w:tcPr>
          <w:p>
            <w:pPr>
              <w:spacing w:after="0"/>
              <w:rPr>
                <w:sz w:val="11"/>
                <w:szCs w:val="11"/>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b w:val="1"/>
                <w:bCs w:val="1"/>
                <w:color w:val="auto"/>
              </w:rPr>
              <w:t>2002</w:t>
            </w:r>
          </w:p>
        </w:tc>
        <w:tc>
          <w:tcPr>
            <w:tcW w:w="100" w:type="dxa"/>
            <w:vAlign w:val="bottom"/>
          </w:tcPr>
          <w:p>
            <w:pPr>
              <w:spacing w:after="0"/>
              <w:rPr>
                <w:sz w:val="11"/>
                <w:szCs w:val="11"/>
                <w:color w:val="auto"/>
              </w:rPr>
            </w:pPr>
          </w:p>
        </w:tc>
      </w:tr>
      <w:tr>
        <w:trPr>
          <w:trHeight w:val="131"/>
        </w:trPr>
        <w:tc>
          <w:tcPr>
            <w:tcW w:w="5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0"/>
                <w:szCs w:val="10"/>
                <w:b w:val="1"/>
                <w:bCs w:val="1"/>
                <w:color w:val="auto"/>
              </w:rPr>
              <w:t>(Dollars in thousands)</w:t>
            </w: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3"/>
        </w:trPr>
        <w:tc>
          <w:tcPr>
            <w:tcW w:w="5300" w:type="dxa"/>
            <w:vAlign w:val="bottom"/>
            <w:shd w:val="clear" w:color="auto" w:fill="CCEEFF"/>
          </w:tcPr>
          <w:p>
            <w:pPr>
              <w:spacing w:after="0"/>
              <w:rPr>
                <w:sz w:val="20"/>
                <w:szCs w:val="20"/>
                <w:color w:val="auto"/>
              </w:rPr>
            </w:pPr>
            <w:r>
              <w:rPr>
                <w:rFonts w:ascii="Arial" w:cs="Arial" w:eastAsia="Arial" w:hAnsi="Arial"/>
                <w:sz w:val="14"/>
                <w:szCs w:val="14"/>
                <w:color w:val="auto"/>
              </w:rPr>
              <w:t>Commercial, financial, agricultural, etc</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color w:val="auto"/>
                <w:w w:val="94"/>
              </w:rPr>
              <w:t>212,945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4"/>
              </w:rPr>
              <w:t>136,852</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$ 147,550</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w w:val="89"/>
              </w:rPr>
              <w:t>$ 186,902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9"/>
              </w:rPr>
              <w:t>$ 120,627</w:t>
            </w:r>
          </w:p>
        </w:tc>
      </w:tr>
      <w:tr>
        <w:trPr>
          <w:trHeight w:val="167"/>
        </w:trPr>
        <w:tc>
          <w:tcPr>
            <w:tcW w:w="5300" w:type="dxa"/>
            <w:vAlign w:val="bottom"/>
          </w:tcPr>
          <w:p>
            <w:pPr>
              <w:spacing w:after="0"/>
              <w:rPr>
                <w:sz w:val="20"/>
                <w:szCs w:val="20"/>
                <w:color w:val="auto"/>
              </w:rPr>
            </w:pPr>
            <w:r>
              <w:rPr>
                <w:rFonts w:ascii="Arial" w:cs="Arial" w:eastAsia="Arial" w:hAnsi="Arial"/>
                <w:sz w:val="14"/>
                <w:szCs w:val="14"/>
                <w:color w:val="auto"/>
              </w:rPr>
              <w:t>Real estate</w:t>
            </w:r>
          </w:p>
        </w:tc>
        <w:tc>
          <w:tcPr>
            <w:tcW w:w="120" w:type="dxa"/>
            <w:vAlign w:val="bottom"/>
          </w:tcPr>
          <w:p>
            <w:pPr>
              <w:spacing w:after="0"/>
              <w:rPr>
                <w:sz w:val="14"/>
                <w:szCs w:val="14"/>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4"/>
                <w:szCs w:val="14"/>
                <w:color w:val="auto"/>
                <w:w w:val="94"/>
              </w:rPr>
              <w:t>221,747</w:t>
            </w:r>
          </w:p>
        </w:tc>
        <w:tc>
          <w:tcPr>
            <w:tcW w:w="12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w w:val="94"/>
              </w:rPr>
              <w:t>161,003</w:t>
            </w:r>
          </w:p>
        </w:tc>
        <w:tc>
          <w:tcPr>
            <w:tcW w:w="1300" w:type="dxa"/>
            <w:vAlign w:val="bottom"/>
            <w:gridSpan w:val="3"/>
          </w:tcPr>
          <w:p>
            <w:pPr>
              <w:jc w:val="right"/>
              <w:ind w:right="400"/>
              <w:spacing w:after="0"/>
              <w:rPr>
                <w:sz w:val="20"/>
                <w:szCs w:val="20"/>
                <w:color w:val="auto"/>
              </w:rPr>
            </w:pPr>
            <w:r>
              <w:rPr>
                <w:rFonts w:ascii="Arial" w:cs="Arial" w:eastAsia="Arial" w:hAnsi="Arial"/>
                <w:sz w:val="14"/>
                <w:szCs w:val="14"/>
                <w:color w:val="auto"/>
              </w:rPr>
              <w:t>166,910</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170,493</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152,758</w:t>
            </w:r>
          </w:p>
        </w:tc>
      </w:tr>
      <w:tr>
        <w:trPr>
          <w:trHeight w:val="167"/>
        </w:trPr>
        <w:tc>
          <w:tcPr>
            <w:tcW w:w="5300" w:type="dxa"/>
            <w:vAlign w:val="bottom"/>
            <w:shd w:val="clear" w:color="auto" w:fill="CCEEFF"/>
          </w:tcPr>
          <w:p>
            <w:pPr>
              <w:spacing w:after="0"/>
              <w:rPr>
                <w:sz w:val="20"/>
                <w:szCs w:val="20"/>
                <w:color w:val="auto"/>
              </w:rPr>
            </w:pPr>
            <w:r>
              <w:rPr>
                <w:rFonts w:ascii="Arial" w:cs="Arial" w:eastAsia="Arial" w:hAnsi="Arial"/>
                <w:sz w:val="14"/>
                <w:szCs w:val="14"/>
                <w:color w:val="auto"/>
              </w:rPr>
              <w:t>Consumer</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color w:val="auto"/>
                <w:w w:val="94"/>
              </w:rPr>
              <w:t>124,675</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4"/>
              </w:rPr>
              <w:t>133,541</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148,591</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152,759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113,711</w:t>
            </w:r>
          </w:p>
        </w:tc>
      </w:tr>
      <w:tr>
        <w:trPr>
          <w:trHeight w:val="167"/>
        </w:trPr>
        <w:tc>
          <w:tcPr>
            <w:tcW w:w="5300" w:type="dxa"/>
            <w:vAlign w:val="bottom"/>
          </w:tcPr>
          <w:p>
            <w:pPr>
              <w:spacing w:after="0"/>
              <w:rPr>
                <w:sz w:val="20"/>
                <w:szCs w:val="20"/>
                <w:color w:val="auto"/>
              </w:rPr>
            </w:pPr>
            <w:r>
              <w:rPr>
                <w:rFonts w:ascii="Arial" w:cs="Arial" w:eastAsia="Arial" w:hAnsi="Arial"/>
                <w:sz w:val="14"/>
                <w:szCs w:val="14"/>
                <w:color w:val="auto"/>
              </w:rPr>
              <w:t>Unallocated</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90,581</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206,267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color w:val="auto"/>
              </w:rPr>
              <w:t>163,813</w:t>
            </w: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103,904</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49,376</w:t>
            </w:r>
          </w:p>
        </w:tc>
      </w:tr>
      <w:tr>
        <w:trPr>
          <w:trHeight w:val="20"/>
        </w:trPr>
        <w:tc>
          <w:tcPr>
            <w:tcW w:w="5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53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649,948</w:t>
            </w: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637,663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w w:val="93"/>
              </w:rPr>
              <w:t>$ 626,864</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w w:val="89"/>
              </w:rPr>
              <w:t>$ 614,058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9"/>
              </w:rPr>
              <w:t>$ 436,472</w:t>
            </w:r>
          </w:p>
        </w:tc>
      </w:tr>
      <w:tr>
        <w:trPr>
          <w:trHeight w:val="288"/>
        </w:trPr>
        <w:tc>
          <w:tcPr>
            <w:tcW w:w="5300" w:type="dxa"/>
            <w:vAlign w:val="bottom"/>
          </w:tcPr>
          <w:p>
            <w:pPr>
              <w:spacing w:after="0"/>
              <w:rPr>
                <w:sz w:val="20"/>
                <w:szCs w:val="20"/>
                <w:color w:val="auto"/>
              </w:rPr>
            </w:pPr>
            <w:r>
              <w:rPr>
                <w:rFonts w:ascii="Arial" w:cs="Arial" w:eastAsia="Arial" w:hAnsi="Arial"/>
                <w:sz w:val="10"/>
                <w:szCs w:val="10"/>
                <w:b w:val="1"/>
                <w:bCs w:val="1"/>
                <w:color w:val="auto"/>
              </w:rPr>
              <w:t>As a Percentage of Gross Loans</w:t>
            </w: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5"/>
        </w:trPr>
        <w:tc>
          <w:tcPr>
            <w:tcW w:w="5300" w:type="dxa"/>
            <w:vAlign w:val="bottom"/>
          </w:tcPr>
          <w:p>
            <w:pPr>
              <w:spacing w:after="0"/>
              <w:rPr>
                <w:sz w:val="20"/>
                <w:szCs w:val="20"/>
                <w:color w:val="auto"/>
              </w:rPr>
            </w:pPr>
            <w:r>
              <w:rPr>
                <w:rFonts w:ascii="Arial" w:cs="Arial" w:eastAsia="Arial" w:hAnsi="Arial"/>
                <w:sz w:val="10"/>
                <w:szCs w:val="10"/>
                <w:b w:val="1"/>
                <w:bCs w:val="1"/>
                <w:u w:val="single" w:color="auto"/>
                <w:color w:val="auto"/>
              </w:rPr>
              <w:t>a</w:t>
            </w:r>
            <w:r>
              <w:rPr>
                <w:rFonts w:ascii="Arial" w:cs="Arial" w:eastAsia="Arial" w:hAnsi="Arial"/>
                <w:sz w:val="10"/>
                <w:szCs w:val="10"/>
                <w:b w:val="1"/>
                <w:bCs w:val="1"/>
                <w:color w:val="auto"/>
              </w:rPr>
              <w:t>nd Leases Outstanding</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49"/>
        </w:trPr>
        <w:tc>
          <w:tcPr>
            <w:tcW w:w="5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gridSpan w:val="2"/>
          </w:tcPr>
          <w:p>
            <w:pPr>
              <w:spacing w:after="0"/>
              <w:rPr>
                <w:sz w:val="4"/>
                <w:szCs w:val="4"/>
                <w:color w:val="auto"/>
              </w:rPr>
            </w:pPr>
          </w:p>
        </w:tc>
        <w:tc>
          <w:tcPr>
            <w:tcW w:w="1300" w:type="dxa"/>
            <w:vAlign w:val="bottom"/>
            <w:gridSpan w:val="3"/>
          </w:tcPr>
          <w:p>
            <w:pPr>
              <w:spacing w:after="0"/>
              <w:rPr>
                <w:sz w:val="4"/>
                <w:szCs w:val="4"/>
                <w:color w:val="auto"/>
              </w:rPr>
            </w:pPr>
          </w:p>
        </w:tc>
        <w:tc>
          <w:tcPr>
            <w:tcW w:w="980" w:type="dxa"/>
            <w:vAlign w:val="bottom"/>
            <w:gridSpan w:val="2"/>
          </w:tcPr>
          <w:p>
            <w:pPr>
              <w:spacing w:after="0"/>
              <w:rPr>
                <w:sz w:val="4"/>
                <w:szCs w:val="4"/>
                <w:color w:val="auto"/>
              </w:rPr>
            </w:pPr>
          </w:p>
        </w:tc>
        <w:tc>
          <w:tcPr>
            <w:tcW w:w="680" w:type="dxa"/>
            <w:vAlign w:val="bottom"/>
            <w:gridSpan w:val="2"/>
          </w:tcPr>
          <w:p>
            <w:pPr>
              <w:spacing w:after="0"/>
              <w:rPr>
                <w:sz w:val="4"/>
                <w:szCs w:val="4"/>
                <w:color w:val="auto"/>
              </w:rPr>
            </w:pPr>
          </w:p>
        </w:tc>
      </w:tr>
      <w:tr>
        <w:trPr>
          <w:trHeight w:val="167"/>
        </w:trPr>
        <w:tc>
          <w:tcPr>
            <w:tcW w:w="5300" w:type="dxa"/>
            <w:vAlign w:val="bottom"/>
            <w:shd w:val="clear" w:color="auto" w:fill="CCEEFF"/>
          </w:tcPr>
          <w:p>
            <w:pPr>
              <w:spacing w:after="0"/>
              <w:rPr>
                <w:sz w:val="20"/>
                <w:szCs w:val="20"/>
                <w:color w:val="auto"/>
              </w:rPr>
            </w:pPr>
            <w:r>
              <w:rPr>
                <w:rFonts w:ascii="Arial" w:cs="Arial" w:eastAsia="Arial" w:hAnsi="Arial"/>
                <w:sz w:val="14"/>
                <w:szCs w:val="14"/>
                <w:color w:val="auto"/>
              </w:rPr>
              <w:t>Commercial, financial, agricultural, etc</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1.23%</w:t>
            </w:r>
          </w:p>
        </w:tc>
        <w:tc>
          <w:tcPr>
            <w:tcW w:w="130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1.45%</w:t>
            </w:r>
          </w:p>
        </w:tc>
        <w:tc>
          <w:tcPr>
            <w:tcW w:w="98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1.99%</w:t>
            </w:r>
          </w:p>
        </w:tc>
        <w:tc>
          <w:tcPr>
            <w:tcW w:w="68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w w:val="90"/>
              </w:rPr>
              <w:t>2.23%</w:t>
            </w:r>
          </w:p>
        </w:tc>
      </w:tr>
      <w:tr>
        <w:trPr>
          <w:trHeight w:val="167"/>
        </w:trPr>
        <w:tc>
          <w:tcPr>
            <w:tcW w:w="5300" w:type="dxa"/>
            <w:vAlign w:val="bottom"/>
          </w:tcPr>
          <w:p>
            <w:pPr>
              <w:spacing w:after="0"/>
              <w:rPr>
                <w:sz w:val="20"/>
                <w:szCs w:val="20"/>
                <w:color w:val="auto"/>
              </w:rPr>
            </w:pPr>
            <w:r>
              <w:rPr>
                <w:rFonts w:ascii="Arial" w:cs="Arial" w:eastAsia="Arial" w:hAnsi="Arial"/>
                <w:sz w:val="14"/>
                <w:szCs w:val="14"/>
                <w:color w:val="auto"/>
              </w:rPr>
              <w:t>Real estate</w:t>
            </w:r>
          </w:p>
        </w:tc>
        <w:tc>
          <w:tcPr>
            <w:tcW w:w="1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color w:val="auto"/>
                <w:w w:val="87"/>
              </w:rPr>
              <w:t>1.04</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50"/>
              <w:spacing w:after="0"/>
              <w:rPr>
                <w:sz w:val="20"/>
                <w:szCs w:val="20"/>
                <w:color w:val="auto"/>
              </w:rPr>
            </w:pPr>
            <w:r>
              <w:rPr>
                <w:rFonts w:ascii="Arial" w:cs="Arial" w:eastAsia="Arial" w:hAnsi="Arial"/>
                <w:sz w:val="14"/>
                <w:szCs w:val="14"/>
                <w:color w:val="auto"/>
              </w:rPr>
              <w:t>.85</w:t>
            </w:r>
          </w:p>
        </w:tc>
        <w:tc>
          <w:tcPr>
            <w:tcW w:w="80" w:type="dxa"/>
            <w:vAlign w:val="bottom"/>
          </w:tcPr>
          <w:p>
            <w:pPr>
              <w:spacing w:after="0"/>
              <w:rPr>
                <w:sz w:val="14"/>
                <w:szCs w:val="14"/>
                <w:color w:val="auto"/>
              </w:rPr>
            </w:pPr>
          </w:p>
        </w:tc>
        <w:tc>
          <w:tcPr>
            <w:tcW w:w="900" w:type="dxa"/>
            <w:vAlign w:val="bottom"/>
            <w:gridSpan w:val="2"/>
          </w:tcPr>
          <w:p>
            <w:pPr>
              <w:jc w:val="right"/>
              <w:ind w:right="15"/>
              <w:spacing w:after="0"/>
              <w:rPr>
                <w:sz w:val="20"/>
                <w:szCs w:val="20"/>
                <w:color w:val="auto"/>
              </w:rPr>
            </w:pPr>
            <w:r>
              <w:rPr>
                <w:rFonts w:ascii="Arial" w:cs="Arial" w:eastAsia="Arial" w:hAnsi="Arial"/>
                <w:sz w:val="14"/>
                <w:szCs w:val="14"/>
                <w:color w:val="auto"/>
              </w:rPr>
              <w:t>.96</w:t>
            </w:r>
          </w:p>
        </w:tc>
        <w:tc>
          <w:tcPr>
            <w:tcW w:w="400" w:type="dxa"/>
            <w:vAlign w:val="bottom"/>
          </w:tcPr>
          <w:p>
            <w:pPr>
              <w:spacing w:after="0"/>
              <w:rPr>
                <w:sz w:val="14"/>
                <w:szCs w:val="14"/>
                <w:color w:val="auto"/>
              </w:rPr>
            </w:pPr>
          </w:p>
        </w:tc>
        <w:tc>
          <w:tcPr>
            <w:tcW w:w="580" w:type="dxa"/>
            <w:vAlign w:val="bottom"/>
          </w:tcPr>
          <w:p>
            <w:pPr>
              <w:ind w:left="280"/>
              <w:spacing w:after="0"/>
              <w:rPr>
                <w:sz w:val="20"/>
                <w:szCs w:val="20"/>
                <w:color w:val="auto"/>
              </w:rPr>
            </w:pPr>
            <w:r>
              <w:rPr>
                <w:rFonts w:ascii="Arial" w:cs="Arial" w:eastAsia="Arial" w:hAnsi="Arial"/>
                <w:sz w:val="14"/>
                <w:szCs w:val="14"/>
                <w:color w:val="auto"/>
              </w:rPr>
              <w:t>1.10</w:t>
            </w:r>
          </w:p>
        </w:tc>
        <w:tc>
          <w:tcPr>
            <w:tcW w:w="400" w:type="dxa"/>
            <w:vAlign w:val="bottom"/>
          </w:tcPr>
          <w:p>
            <w:pPr>
              <w:spacing w:after="0"/>
              <w:rPr>
                <w:sz w:val="14"/>
                <w:szCs w:val="14"/>
                <w:color w:val="auto"/>
              </w:rPr>
            </w:pPr>
          </w:p>
        </w:tc>
        <w:tc>
          <w:tcPr>
            <w:tcW w:w="580" w:type="dxa"/>
            <w:vAlign w:val="bottom"/>
          </w:tcPr>
          <w:p>
            <w:pPr>
              <w:ind w:left="300"/>
              <w:spacing w:after="0"/>
              <w:rPr>
                <w:sz w:val="20"/>
                <w:szCs w:val="20"/>
                <w:color w:val="auto"/>
              </w:rPr>
            </w:pPr>
            <w:r>
              <w:rPr>
                <w:rFonts w:ascii="Arial" w:cs="Arial" w:eastAsia="Arial" w:hAnsi="Arial"/>
                <w:sz w:val="14"/>
                <w:szCs w:val="14"/>
                <w:color w:val="auto"/>
                <w:w w:val="95"/>
              </w:rPr>
              <w:t>1.17</w:t>
            </w:r>
          </w:p>
        </w:tc>
        <w:tc>
          <w:tcPr>
            <w:tcW w:w="100" w:type="dxa"/>
            <w:vAlign w:val="bottom"/>
          </w:tcPr>
          <w:p>
            <w:pPr>
              <w:spacing w:after="0"/>
              <w:rPr>
                <w:sz w:val="14"/>
                <w:szCs w:val="14"/>
                <w:color w:val="auto"/>
              </w:rPr>
            </w:pPr>
          </w:p>
        </w:tc>
      </w:tr>
      <w:tr>
        <w:trPr>
          <w:trHeight w:val="167"/>
        </w:trPr>
        <w:tc>
          <w:tcPr>
            <w:tcW w:w="5300" w:type="dxa"/>
            <w:vAlign w:val="bottom"/>
            <w:shd w:val="clear" w:color="auto" w:fill="CCEEFF"/>
          </w:tcPr>
          <w:p>
            <w:pPr>
              <w:spacing w:after="0"/>
              <w:rPr>
                <w:sz w:val="20"/>
                <w:szCs w:val="20"/>
                <w:color w:val="auto"/>
              </w:rPr>
            </w:pPr>
            <w:r>
              <w:rPr>
                <w:rFonts w:ascii="Arial" w:cs="Arial" w:eastAsia="Arial" w:hAnsi="Arial"/>
                <w:sz w:val="14"/>
                <w:szCs w:val="14"/>
                <w:color w:val="auto"/>
              </w:rPr>
              <w:t>Consumer</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1.26</w:t>
            </w: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1.27</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5"/>
              <w:spacing w:after="0"/>
              <w:rPr>
                <w:sz w:val="20"/>
                <w:szCs w:val="20"/>
                <w:color w:val="auto"/>
              </w:rPr>
            </w:pPr>
            <w:r>
              <w:rPr>
                <w:rFonts w:ascii="Arial" w:cs="Arial" w:eastAsia="Arial" w:hAnsi="Arial"/>
                <w:sz w:val="14"/>
                <w:szCs w:val="14"/>
                <w:color w:val="auto"/>
              </w:rPr>
              <w:t>1.33</w:t>
            </w: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1.37</w:t>
            </w:r>
          </w:p>
        </w:tc>
        <w:tc>
          <w:tcPr>
            <w:tcW w:w="400" w:type="dxa"/>
            <w:vAlign w:val="bottom"/>
            <w:shd w:val="clear" w:color="auto" w:fill="CCEEFF"/>
          </w:tcPr>
          <w:p>
            <w:pPr>
              <w:spacing w:after="0"/>
              <w:rPr>
                <w:sz w:val="14"/>
                <w:szCs w:val="14"/>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5"/>
              </w:rPr>
              <w:t>1.51</w:t>
            </w:r>
          </w:p>
        </w:tc>
        <w:tc>
          <w:tcPr>
            <w:tcW w:w="100" w:type="dxa"/>
            <w:vAlign w:val="bottom"/>
            <w:shd w:val="clear" w:color="auto" w:fill="CCEEFF"/>
          </w:tcPr>
          <w:p>
            <w:pPr>
              <w:spacing w:after="0"/>
              <w:rPr>
                <w:sz w:val="14"/>
                <w:szCs w:val="14"/>
                <w:color w:val="auto"/>
              </w:rPr>
            </w:pPr>
          </w:p>
        </w:tc>
      </w:tr>
    </w:tbl>
    <w:p>
      <w:pPr>
        <w:spacing w:after="0" w:line="76" w:lineRule="exact"/>
        <w:rPr>
          <w:sz w:val="20"/>
          <w:szCs w:val="20"/>
          <w:color w:val="auto"/>
        </w:rPr>
      </w:pPr>
    </w:p>
    <w:p>
      <w:pPr>
        <w:ind w:left="680" w:firstLine="599"/>
        <w:spacing w:after="0" w:line="270" w:lineRule="auto"/>
        <w:rPr>
          <w:sz w:val="20"/>
          <w:szCs w:val="20"/>
          <w:color w:val="auto"/>
        </w:rPr>
      </w:pPr>
      <w:r>
        <w:rPr>
          <w:rFonts w:ascii="Arial" w:cs="Arial" w:eastAsia="Arial" w:hAnsi="Arial"/>
          <w:sz w:val="13"/>
          <w:szCs w:val="13"/>
          <w:color w:val="auto"/>
        </w:rPr>
        <w:t>Management believes that the allowance for credit losses at December 31, 2006 was adequate to absorb credit losses inherent in the portfolio as of that date. The allowance for credit losses was $650 million or 1.51% of total loans and leases at December 31, 2006, compared with $638 million or 1.58% at December 31, 2005 and $627 million or 1.63% at December 31, 2004. The decline in the level of the allowance as a percentage of outstanding loans and leases from the 2005 year end to December 31, 2006 reflects management’s evaluation of the loan portfolio as described herein, including a change in portfolio mix resulting from higher balances of residential real estate loans and lower balances of consumer loans. In general, the Company experiences significantly lower charge-off rates on residential real estate loans than on consumer loans. The decline in the level of the allowance as a percentage of outstanding loans and leases from December 31, 2004 to December 31, 2005 also reflects improvement in certain credit factors, including decreases in net charge-offs and nonperforming loans. Should the various credit factors considered by management in establishing the allowance for credit losses change and should management’s assessment of losses inherent in the loan portfolios also change, the level of the allowance as a percentage of loans could increase or decrease in future periods. The ratio of the allowance to nonperforming loans at the end of 2006, 2005 and 2004 was 290%, 408% and 364%, respectively. The level of the allowance reflects management’s evaluation of the loan and lease portfolio as of each respective date.</w:t>
      </w:r>
    </w:p>
    <w:p>
      <w:pPr>
        <w:spacing w:after="0" w:line="1" w:lineRule="exact"/>
        <w:rPr>
          <w:sz w:val="20"/>
          <w:szCs w:val="20"/>
          <w:color w:val="auto"/>
        </w:rPr>
      </w:pPr>
    </w:p>
    <w:p>
      <w:pPr>
        <w:ind w:left="680" w:right="200" w:firstLine="599"/>
        <w:spacing w:after="0" w:line="253" w:lineRule="auto"/>
        <w:rPr>
          <w:sz w:val="20"/>
          <w:szCs w:val="20"/>
          <w:color w:val="auto"/>
        </w:rPr>
      </w:pPr>
      <w:r>
        <w:rPr>
          <w:rFonts w:ascii="Arial" w:cs="Arial" w:eastAsia="Arial" w:hAnsi="Arial"/>
          <w:sz w:val="14"/>
          <w:szCs w:val="14"/>
          <w:color w:val="auto"/>
        </w:rPr>
        <w:t>In establishing the allowance for credit losses, management follows the methodology described herein, including taking a conservative view of borrowers’ abilities to repay loans. The establishment of the allowance is extremely subjective and requires management to make many judgments about borrower, industry, regional and national economic health and performance. In order to present examples of the possible impact on the allowance from certain changes in credit quality factors, the Company assumed the following scenarios for possible deterioration of credit quality:</w:t>
      </w:r>
    </w:p>
    <w:p>
      <w:pPr>
        <w:spacing w:after="0" w:line="66" w:lineRule="exact"/>
        <w:rPr>
          <w:sz w:val="20"/>
          <w:szCs w:val="20"/>
          <w:color w:val="auto"/>
        </w:rPr>
      </w:pPr>
    </w:p>
    <w:p>
      <w:pPr>
        <w:ind w:left="1280" w:hanging="190"/>
        <w:spacing w:after="0"/>
        <w:tabs>
          <w:tab w:leader="none" w:pos="12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For consumer loans and leases considered smaller balance homogenous loans and evaluated collectively, a 20 basis point increase in loss factors;</w:t>
      </w:r>
    </w:p>
    <w:p>
      <w:pPr>
        <w:spacing w:after="0" w:line="84" w:lineRule="exact"/>
        <w:rPr>
          <w:rFonts w:ascii="Arial" w:cs="Arial" w:eastAsia="Arial" w:hAnsi="Arial"/>
          <w:sz w:val="14"/>
          <w:szCs w:val="14"/>
          <w:color w:val="auto"/>
        </w:rPr>
      </w:pPr>
    </w:p>
    <w:p>
      <w:pPr>
        <w:ind w:left="1280" w:right="500" w:hanging="190"/>
        <w:spacing w:after="0" w:line="280" w:lineRule="auto"/>
        <w:tabs>
          <w:tab w:leader="none" w:pos="12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For residential real estate loans and home equity loans and lines of credit, also considered smaller balance homogenous loans and evaluated collectively, a 10 basis point increase in loss factors; and</w:t>
      </w:r>
    </w:p>
    <w:p>
      <w:pPr>
        <w:spacing w:after="0" w:line="37" w:lineRule="exact"/>
        <w:rPr>
          <w:rFonts w:ascii="Arial" w:cs="Arial" w:eastAsia="Arial" w:hAnsi="Arial"/>
          <w:sz w:val="14"/>
          <w:szCs w:val="14"/>
          <w:color w:val="auto"/>
        </w:rPr>
      </w:pPr>
    </w:p>
    <w:p>
      <w:pPr>
        <w:ind w:left="1280" w:right="440" w:hanging="190"/>
        <w:spacing w:after="0" w:line="280" w:lineRule="auto"/>
        <w:tabs>
          <w:tab w:leader="none" w:pos="128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For commercial loans and commercial real estate loans, which are not similar in nature, a migration of loans to lower-ranked risk grades resulting in a 30% increase in the balance of classified credits in each risk grade.</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For possible improvement in credit quality factors, the scenarios assumed were:</w:t>
      </w:r>
    </w:p>
    <w:p>
      <w:pPr>
        <w:spacing w:after="0" w:line="95" w:lineRule="exact"/>
        <w:rPr>
          <w:sz w:val="20"/>
          <w:szCs w:val="20"/>
          <w:color w:val="auto"/>
        </w:rPr>
      </w:pPr>
    </w:p>
    <w:p>
      <w:pPr>
        <w:ind w:left="460" w:hanging="225"/>
        <w:spacing w:after="0"/>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For consumer loans and leases, a 10 basis point decrease in loss factors;</w:t>
      </w:r>
    </w:p>
    <w:p>
      <w:pPr>
        <w:spacing w:after="0" w:line="84" w:lineRule="exact"/>
        <w:rPr>
          <w:rFonts w:ascii="Arial" w:cs="Arial" w:eastAsia="Arial" w:hAnsi="Arial"/>
          <w:sz w:val="14"/>
          <w:szCs w:val="14"/>
          <w:color w:val="auto"/>
        </w:rPr>
      </w:pPr>
    </w:p>
    <w:p>
      <w:pPr>
        <w:ind w:left="460" w:hanging="225"/>
        <w:spacing w:after="0"/>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For residential real estate loans and home equity loans and lines of credit, a 5 basis point decrease in loss factors; and</w:t>
      </w:r>
    </w:p>
    <w:p>
      <w:pPr>
        <w:spacing w:after="0" w:line="84" w:lineRule="exact"/>
        <w:rPr>
          <w:rFonts w:ascii="Arial" w:cs="Arial" w:eastAsia="Arial" w:hAnsi="Arial"/>
          <w:sz w:val="14"/>
          <w:szCs w:val="14"/>
          <w:color w:val="auto"/>
        </w:rPr>
      </w:pPr>
    </w:p>
    <w:p>
      <w:pPr>
        <w:ind w:left="460" w:hanging="225"/>
        <w:spacing w:after="0"/>
        <w:tabs>
          <w:tab w:leader="none" w:pos="460" w:val="left"/>
        </w:tabs>
        <w:numPr>
          <w:ilvl w:val="0"/>
          <w:numId w:val="20"/>
        </w:numPr>
        <w:rPr>
          <w:rFonts w:ascii="Arial" w:cs="Arial" w:eastAsia="Arial" w:hAnsi="Arial"/>
          <w:sz w:val="13"/>
          <w:szCs w:val="13"/>
          <w:color w:val="auto"/>
        </w:rPr>
      </w:pPr>
      <w:r>
        <w:rPr>
          <w:rFonts w:ascii="Arial" w:cs="Arial" w:eastAsia="Arial" w:hAnsi="Arial"/>
          <w:sz w:val="13"/>
          <w:szCs w:val="13"/>
          <w:color w:val="auto"/>
        </w:rPr>
        <w:t>For commercial loans and commercial real estate loans, a migration of loans to higher-ranked risk grades resulting in a 5% decrease in the balance of classified credits in each risk grade.</w:t>
      </w:r>
    </w:p>
    <w:p>
      <w:pPr>
        <w:spacing w:after="0" w:line="67" w:lineRule="exact"/>
        <w:rPr>
          <w:sz w:val="20"/>
          <w:szCs w:val="20"/>
          <w:color w:val="auto"/>
        </w:rPr>
      </w:pPr>
    </w:p>
    <w:p>
      <w:pPr>
        <w:ind w:right="180" w:firstLine="459"/>
        <w:spacing w:after="0" w:line="255" w:lineRule="auto"/>
        <w:rPr>
          <w:sz w:val="20"/>
          <w:szCs w:val="20"/>
          <w:color w:val="auto"/>
        </w:rPr>
      </w:pPr>
      <w:r>
        <w:rPr>
          <w:rFonts w:ascii="Arial" w:cs="Arial" w:eastAsia="Arial" w:hAnsi="Arial"/>
          <w:sz w:val="14"/>
          <w:szCs w:val="14"/>
          <w:color w:val="auto"/>
        </w:rPr>
        <w:t>The scenario analyses resulted in an additional $48 million in losses that could be identifiable under the assumptions for credit deterioration, whereas under the assumptions for credit improvement an $18 million reduction in such losses could occur. These examples are only a few of numerous reasonably possible scenarios that could be utilized in assessing the sensitivity of the allowance for credit losses based on changes in assumptions and other factors.</w:t>
      </w:r>
    </w:p>
    <w:p>
      <w:pPr>
        <w:ind w:right="240" w:firstLine="459"/>
        <w:spacing w:after="0" w:line="249" w:lineRule="auto"/>
        <w:rPr>
          <w:sz w:val="20"/>
          <w:szCs w:val="20"/>
          <w:color w:val="auto"/>
        </w:rPr>
      </w:pPr>
      <w:r>
        <w:rPr>
          <w:rFonts w:ascii="Arial" w:cs="Arial" w:eastAsia="Arial" w:hAnsi="Arial"/>
          <w:sz w:val="14"/>
          <w:szCs w:val="14"/>
          <w:color w:val="auto"/>
        </w:rPr>
        <w:t>Commercial real estate loans secured by multifamily properties and properties used in providing retail goods and services in the New York City metropolitan area represented 4% and 5%, respectively, of loans outstanding at December 31, 2006. The Company had no concentrations of credit extended to any specific industry that exceeded 10% of total loans at December 31, 2006. Outstanding loans to foreign borrowers were $176 million at December 31, 2006, or .4% of total loans and leases.</w:t>
      </w:r>
    </w:p>
    <w:p>
      <w:pPr>
        <w:ind w:left="460"/>
        <w:spacing w:after="0"/>
        <w:rPr>
          <w:sz w:val="20"/>
          <w:szCs w:val="20"/>
          <w:color w:val="auto"/>
        </w:rPr>
      </w:pPr>
      <w:r>
        <w:rPr>
          <w:rFonts w:ascii="Arial" w:cs="Arial" w:eastAsia="Arial" w:hAnsi="Arial"/>
          <w:sz w:val="13"/>
          <w:szCs w:val="13"/>
          <w:color w:val="auto"/>
        </w:rPr>
        <w:t>Assets acquired in settlement of defaulted loans totaled $12 million at December 31, 2006, compared with $9 million and $13 million at December 31, 2005 and 2004,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Income</w:t>
      </w:r>
    </w:p>
    <w:p>
      <w:pPr>
        <w:spacing w:after="0" w:line="22" w:lineRule="exact"/>
        <w:rPr>
          <w:sz w:val="20"/>
          <w:szCs w:val="20"/>
          <w:color w:val="auto"/>
        </w:rPr>
      </w:pPr>
    </w:p>
    <w:p>
      <w:pPr>
        <w:ind w:right="140"/>
        <w:spacing w:after="0" w:line="268" w:lineRule="auto"/>
        <w:rPr>
          <w:sz w:val="20"/>
          <w:szCs w:val="20"/>
          <w:color w:val="auto"/>
        </w:rPr>
      </w:pPr>
      <w:r>
        <w:rPr>
          <w:rFonts w:ascii="Arial" w:cs="Arial" w:eastAsia="Arial" w:hAnsi="Arial"/>
          <w:sz w:val="13"/>
          <w:szCs w:val="13"/>
          <w:color w:val="auto"/>
        </w:rPr>
        <w:t>Other income rose 10% to $1.05 billion in 2006 from $950 million in 2005. Higher levels of mortgage banking revenues, service charges on deposit accounts, trust income, brokerage services income, and other revenues contributed to that improvement. As discussed previously, included in other income for 2006 was a $13 million gain from the accelerated recognition of a purchase accounting premium related to the call of a $200 million borrowing from the FHLB of Atlanta. In addition, other income in 2005 reflects the already discussed $29 million other-than-temporary impairment charge related to the Company’s investment in certain preferred stock issuances of FNMA and FHLMC. Excluding gains and losses from investment securities from both years and the $13 million gain on the called borrowing in 2006, other income increased 5% from 2005 to 2006. Other income in 2005 was 1% above the $943 million earned in 2004. Higher mortgage banking revenues, corporate financing advisory fees, gains on sales of commercial lease equipment and other property, and other revenues were offset by losses from investment securities, which reflect the $29 million impairment charge. Excluding gains and losses from investment securities, other income in 2005 rose $38 million or 4% from 2004.</w:t>
      </w:r>
    </w:p>
    <w:p>
      <w:pPr>
        <w:spacing w:after="0" w:line="1" w:lineRule="exact"/>
        <w:rPr>
          <w:sz w:val="20"/>
          <w:szCs w:val="20"/>
          <w:color w:val="auto"/>
        </w:rPr>
      </w:pPr>
    </w:p>
    <w:p>
      <w:pPr>
        <w:ind w:right="140" w:firstLine="459"/>
        <w:spacing w:after="0" w:line="249" w:lineRule="auto"/>
        <w:rPr>
          <w:sz w:val="20"/>
          <w:szCs w:val="20"/>
          <w:color w:val="auto"/>
        </w:rPr>
      </w:pPr>
      <w:r>
        <w:rPr>
          <w:rFonts w:ascii="Arial" w:cs="Arial" w:eastAsia="Arial" w:hAnsi="Arial"/>
          <w:sz w:val="14"/>
          <w:szCs w:val="14"/>
          <w:color w:val="auto"/>
        </w:rPr>
        <w:t>Mortgage banking revenues were $143 million in 2006, compared with $136 million in 2005 and $124 million in 2004. Mortgage banking revenues are comprised of both residential and commercial mortgage banking activities. The Company’s involvement in commercial mortgage banking activities is largely comprised of the origination, sales and servicing of loans in conjunction with the FNMA DUS program.</w:t>
      </w:r>
    </w:p>
    <w:p>
      <w:pPr>
        <w:ind w:right="160" w:firstLine="459"/>
        <w:spacing w:after="0" w:line="249" w:lineRule="auto"/>
        <w:rPr>
          <w:sz w:val="20"/>
          <w:szCs w:val="20"/>
          <w:color w:val="auto"/>
        </w:rPr>
      </w:pPr>
      <w:r>
        <w:rPr>
          <w:rFonts w:ascii="Arial" w:cs="Arial" w:eastAsia="Arial" w:hAnsi="Arial"/>
          <w:sz w:val="14"/>
          <w:szCs w:val="14"/>
          <w:color w:val="auto"/>
        </w:rPr>
        <w:t>Residential mortgage banking revenues, which consist of gains from sales of residential mortgage loans and loan servicing rights, residential mortgage loan servicing fees, and other residential mortgage loan-related fees and income, increased 7% to $114 million in 2006 from $107 million in 2005. Higher revenue from servicing residential mortgage loans for others was the leading factor in the improvement. Residential mortgage banking revenues in 2005 were 7% higher than the $100 million earned in 2004. Higher origination activity was the most significant factor contributing to that increase.</w:t>
      </w:r>
    </w:p>
    <w:p>
      <w:pPr>
        <w:ind w:right="100" w:firstLine="459"/>
        <w:spacing w:after="0" w:line="253" w:lineRule="auto"/>
        <w:rPr>
          <w:sz w:val="20"/>
          <w:szCs w:val="20"/>
          <w:color w:val="auto"/>
        </w:rPr>
      </w:pPr>
      <w:r>
        <w:rPr>
          <w:rFonts w:ascii="Arial" w:cs="Arial" w:eastAsia="Arial" w:hAnsi="Arial"/>
          <w:sz w:val="14"/>
          <w:szCs w:val="14"/>
          <w:color w:val="auto"/>
        </w:rPr>
        <w:t>Residential mortgage loans originated for sale to other investors totaled approximately $6.4 billion in 2006, compared with $6.5 billion in 2005 and $4.8 billion in 2004. Realized gains from sales of residential mortgage loans and loan servicing rights and recognized net unrealized gains or losses attributable to residential mortgage loans held for sale, commitments to originate loans for sale and commitments to sell loans totaled $41 million in 2006, compared with $42 million in 2005, and $32 million in 2004. On May 1, 2005, the Company assumed the operations of Regions Financial Corporation’s wholesale residential mortgage business. Those operations added 13 locations and</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3" w:lineRule="exact"/>
        <w:rPr>
          <w:sz w:val="20"/>
          <w:szCs w:val="20"/>
          <w:color w:val="auto"/>
        </w:rPr>
      </w:pPr>
    </w:p>
    <w:p>
      <w:pPr>
        <w:ind w:right="140"/>
        <w:spacing w:after="0" w:line="258" w:lineRule="auto"/>
        <w:rPr>
          <w:sz w:val="20"/>
          <w:szCs w:val="20"/>
          <w:color w:val="auto"/>
        </w:rPr>
      </w:pPr>
      <w:r>
        <w:rPr>
          <w:rFonts w:ascii="Arial" w:cs="Arial" w:eastAsia="Arial" w:hAnsi="Arial"/>
          <w:sz w:val="13"/>
          <w:szCs w:val="13"/>
          <w:color w:val="auto"/>
        </w:rPr>
        <w:t>approximately 140 employees to the Company’s residential mortgage banking business. Approximately $1.9 billion and $1.7 billion of residential mortgage loans originated in 2006 and 2005, respectively, for sale to other investors were related to the assumed operations.</w:t>
      </w:r>
    </w:p>
    <w:p>
      <w:pPr>
        <w:spacing w:after="0" w:line="1" w:lineRule="exact"/>
        <w:rPr>
          <w:sz w:val="20"/>
          <w:szCs w:val="20"/>
          <w:color w:val="auto"/>
        </w:rPr>
      </w:pPr>
    </w:p>
    <w:p>
      <w:pPr>
        <w:ind w:right="100" w:firstLine="459"/>
        <w:spacing w:after="0" w:line="268" w:lineRule="auto"/>
        <w:rPr>
          <w:sz w:val="20"/>
          <w:szCs w:val="20"/>
          <w:color w:val="auto"/>
        </w:rPr>
      </w:pPr>
      <w:r>
        <w:rPr>
          <w:rFonts w:ascii="Arial" w:cs="Arial" w:eastAsia="Arial" w:hAnsi="Arial"/>
          <w:sz w:val="13"/>
          <w:szCs w:val="13"/>
          <w:color w:val="auto"/>
        </w:rPr>
        <w:t>Revenues from servicing residential mortgage loans for others rose to $66 million in 2006 from $58 million in 2005 and $57 million in 2004. Included in such servicing revenues were amounts related to purchased servicing rights associated with small balance commercial mortgage loans totaling $14 million, $10 million and $6 million in 2006, 2005 and 2004, respectively. Residential mortgage loans serviced for others totaled $16.7 billion at December 31, 2006, $15.6 billion a year earlier and $14.9 billion at December 31, 2004, including the small balance commercial mortgage loans noted above of approximately $3.3 billion, $2.4 billion and $1.6 billion at December 31, 2006, 2005 and 2004, respectively. Capitalized residential mortgage loan servicing assets, net of a valuation allowance for possible impairment, totaled $153 million at December 31, 2006, compared with $140 million and $133 million at December 31, 2005 and 2004, respectively. Included in capitalized residential mortgage servicing assets were purchased servicing rights associated with the small balance commercial mortgage loans noted above of $36 million, $23 million and $13 million at December 31, 2006, 2005 and 2004, respectively. Additional information about the Company’s capitalized residential mortgage loan servicing assets, including information about the calculation of estimated fair value, is presented herein under the heading “Other Expense” and in note 7 of Notes to Financial Statements. Commitments to sell residential mortgage loans and commitments to originate residential mortgage loans for sale at pre-determined rates were $1.8 billion and $680 million, respectively, at December 31, 2006, $923 million and $352 million, respectively, at December 31, 2005 and $764 million and $422 million, respectively, at December 31, 2004. Net unrealized gains on hedged residential mortgage loans held for sale, commitments to sell loans, and commitments to originate loans for sale were $4 million and $3 million at December 31, 2006 and 2004, respectively, compared with net unrealized losses of</w:t>
      </w:r>
    </w:p>
    <w:p>
      <w:pPr>
        <w:spacing w:after="0" w:line="2" w:lineRule="exact"/>
        <w:rPr>
          <w:sz w:val="20"/>
          <w:szCs w:val="20"/>
          <w:color w:val="auto"/>
        </w:rPr>
      </w:pPr>
    </w:p>
    <w:p>
      <w:pPr>
        <w:ind w:right="60"/>
        <w:spacing w:after="0" w:line="249" w:lineRule="auto"/>
        <w:rPr>
          <w:sz w:val="20"/>
          <w:szCs w:val="20"/>
          <w:color w:val="auto"/>
        </w:rPr>
      </w:pPr>
      <w:r>
        <w:rPr>
          <w:rFonts w:ascii="Arial" w:cs="Arial" w:eastAsia="Arial" w:hAnsi="Arial"/>
          <w:sz w:val="14"/>
          <w:szCs w:val="14"/>
          <w:color w:val="auto"/>
        </w:rPr>
        <w:t>$5 million at December 31, 2005. Changes in such net unrealized gains and losses are recorded in mortgage banking revenues and resulted in a net increase in revenue of $2 million in 2006, and net decreases in revenue of $8 million in 2005 and $4 million in 2004.</w:t>
      </w:r>
    </w:p>
    <w:p>
      <w:pPr>
        <w:ind w:left="460"/>
        <w:spacing w:after="0"/>
        <w:rPr>
          <w:sz w:val="20"/>
          <w:szCs w:val="20"/>
          <w:color w:val="auto"/>
        </w:rPr>
      </w:pPr>
      <w:r>
        <w:rPr>
          <w:rFonts w:ascii="Arial" w:cs="Arial" w:eastAsia="Arial" w:hAnsi="Arial"/>
          <w:sz w:val="13"/>
          <w:szCs w:val="13"/>
          <w:color w:val="auto"/>
        </w:rPr>
        <w:t>Commercial mortgage banking revenues totaled $29 million in each of 2006 and 2005, compared with $25 million in 2004. Revenues from loan origination and sales activities were</w:t>
      </w:r>
    </w:p>
    <w:p>
      <w:pPr>
        <w:spacing w:after="0" w:line="18" w:lineRule="exact"/>
        <w:rPr>
          <w:sz w:val="20"/>
          <w:szCs w:val="20"/>
          <w:color w:val="auto"/>
        </w:rPr>
      </w:pPr>
    </w:p>
    <w:p>
      <w:pPr>
        <w:spacing w:after="0" w:line="268" w:lineRule="auto"/>
        <w:rPr>
          <w:sz w:val="20"/>
          <w:szCs w:val="20"/>
          <w:color w:val="auto"/>
        </w:rPr>
      </w:pPr>
      <w:r>
        <w:rPr>
          <w:rFonts w:ascii="Arial" w:cs="Arial" w:eastAsia="Arial" w:hAnsi="Arial"/>
          <w:sz w:val="13"/>
          <w:szCs w:val="13"/>
          <w:color w:val="auto"/>
        </w:rPr>
        <w:t>$15 million in 2006, compared with $14 million during 2005 and $13 million in 2004. Loan servicing revenues totaled $14 million in 2006, $15 million in 2005 and $12 million in 2004. Capitalized commercial mortgage loan servicing assets totaled $21 million at each of December 31, 2006 and 2005, and $22 million at December 31, 2004. Commercial mortgage loans serviced for other investors totaled $4.9 billion, $4.3 billion and $4.1 billion at December 31, 2006, 2005 and 2004, respectively, and included $939 million, $941 million and $926 million, respectively, of loan balances for which investors had recourse to the Company if such balances are ultimately uncollectible. Commitments to sell commercial mortgage loans and commitments to originate commercial mortgage loans for sale were $115 million and $66 million, respectively, at December 31, 2006, $241 million and $42 million, respectively, at December 31, 2005 and $167 million and $106 million, respectively, at December 31, 2004. Commercial mortgage loans held for sale totaled $49 million, $199 million and $61 million at December 31, 2006, 2005 and 2004, respectively.</w:t>
      </w:r>
    </w:p>
    <w:p>
      <w:pPr>
        <w:spacing w:after="0" w:line="1" w:lineRule="exact"/>
        <w:rPr>
          <w:sz w:val="20"/>
          <w:szCs w:val="20"/>
          <w:color w:val="auto"/>
        </w:rPr>
      </w:pPr>
    </w:p>
    <w:p>
      <w:pPr>
        <w:ind w:right="100" w:firstLine="459"/>
        <w:spacing w:after="0" w:line="249" w:lineRule="auto"/>
        <w:rPr>
          <w:sz w:val="20"/>
          <w:szCs w:val="20"/>
          <w:color w:val="auto"/>
        </w:rPr>
      </w:pPr>
      <w:r>
        <w:rPr>
          <w:rFonts w:ascii="Arial" w:cs="Arial" w:eastAsia="Arial" w:hAnsi="Arial"/>
          <w:sz w:val="14"/>
          <w:szCs w:val="14"/>
          <w:color w:val="auto"/>
        </w:rPr>
        <w:t>Service charges on deposit accounts increased 3% to $381 million in 2006 from $370 million in 2005. Deposit account service charges in 2004 were $366 million. The higher levels of such revenues in 2006 and 2005 as compared with the immediately preceding years resulted from increased consumer service charges, largely resulting from higher debit card transaction volumes and overdraft fees, partially offset by lower commercial service charges.</w:t>
      </w:r>
    </w:p>
    <w:p>
      <w:pPr>
        <w:ind w:right="60" w:firstLine="459"/>
        <w:spacing w:after="0" w:line="252" w:lineRule="auto"/>
        <w:rPr>
          <w:sz w:val="20"/>
          <w:szCs w:val="20"/>
          <w:color w:val="auto"/>
        </w:rPr>
      </w:pPr>
      <w:r>
        <w:rPr>
          <w:rFonts w:ascii="Arial" w:cs="Arial" w:eastAsia="Arial" w:hAnsi="Arial"/>
          <w:sz w:val="14"/>
          <w:szCs w:val="14"/>
          <w:color w:val="auto"/>
        </w:rPr>
        <w:t>Trust income includes fees for trust and custody services provided to personal, corporate and institutional customers, and investment management and advisory fees that are often based on a percentage of the market value of assets under management. Trust income rose 5% to $141 million in 2006 from $135 million in 2005, due in part to higher personal trust revenues. Trust income totaled $136 million in 2004. The impact of lower balances in proprietary mutual funds caused the decline in revenues from 2004 to 2005. Total trust assets, which include assets under management and assets under administration, aggregated $142.4 billion at December 31, 2006, compared with $134.0 billion at December 31, 2005. Trust assets under management were $14.8 billion and $13.2 billion at December 31,</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343" w:right="25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ind w:left="680"/>
        <w:spacing w:after="0" w:line="253" w:lineRule="auto"/>
        <w:rPr>
          <w:sz w:val="20"/>
          <w:szCs w:val="20"/>
          <w:color w:val="auto"/>
        </w:rPr>
      </w:pPr>
      <w:r>
        <w:rPr>
          <w:rFonts w:ascii="Arial" w:cs="Arial" w:eastAsia="Arial" w:hAnsi="Arial"/>
          <w:sz w:val="14"/>
          <w:szCs w:val="14"/>
          <w:color w:val="auto"/>
        </w:rPr>
        <w:t>2006 and 2005, respectively. The Company’s proprietary mutual funds, the MTB Group of Funds, had assets of $8.9 billion and $8.4 billion at December 31, 2006 and 2005, respectively. Brokerage services income, which includes revenues from the sale of mutual funds and annuities and securities brokerage fees, aggregated $60 million in 2006, up 8% from $56 million in 2005, primarily the result of increased revenues from the sale of annuities. Brokerage services income was $54 million in 2004. The increase from 2004 to 2005 was due largely to increased revenues earned from the sale of mutual funds.</w:t>
      </w:r>
    </w:p>
    <w:p>
      <w:pPr>
        <w:spacing w:after="0" w:line="2" w:lineRule="exact"/>
        <w:rPr>
          <w:sz w:val="20"/>
          <w:szCs w:val="20"/>
          <w:color w:val="auto"/>
        </w:rPr>
      </w:pPr>
    </w:p>
    <w:p>
      <w:pPr>
        <w:ind w:left="680" w:right="20" w:firstLine="599"/>
        <w:spacing w:after="0" w:line="268" w:lineRule="auto"/>
        <w:rPr>
          <w:sz w:val="20"/>
          <w:szCs w:val="20"/>
          <w:color w:val="auto"/>
        </w:rPr>
      </w:pPr>
      <w:r>
        <w:rPr>
          <w:rFonts w:ascii="Arial" w:cs="Arial" w:eastAsia="Arial" w:hAnsi="Arial"/>
          <w:sz w:val="13"/>
          <w:szCs w:val="13"/>
          <w:color w:val="auto"/>
        </w:rPr>
        <w:t>Trading account and foreign exchange activity resulted in gains of $25 million in 2006, $23 million in 2005 and $19 million in 2004. The higher gains in 2006 as compared with 2005 resulted largely from net increases in the market values of trading assets held in connection with deferred compensation plans. The increased gains in 2005 as compared with 2004 were due in part to higher volumes of trading assets and liabilities and reflected fees and market value changes related to interest rate swap agreements and foreign exchange contracts executed. The Company enters into interest rate and foreign exchange contracts with customers who need such services and concomitantly enters into offsetting trading positions with third parties to minimize the risks involved with these types of transactions. Information about the notional amount of interest rate, foreign exchange and other contracts entered into by the Company for trading account purposes is included in note 17 of Notes to Financial Statements and herein under the heading “Liquidity, Market Risk, and Interest Rate Sensitivity.” Trading account revenues related to interest rate and foreign exchange contracts totaled $15 million in each of 2006 and 2005, and were $11 million in 2004. Trading account assets held in connection with deferred compensation plans were $45 million and $41 million at December 31, 2006 and 2005, respectively. Trading account revenues resulting from net increases in the market values of such assets were $5 million in 2006, $3 million in 2005 and $4 million in 2004. A largely offsetting expense resulting from corresponding increases in liabilities related to deferred compensation is included in other costs of operations. Gains on investment securities were $3 million in each of 2006 and 2004, while as a result of the previously described charge for the other-than-temporary impairment in value of the FNMA and FHLMC preferred stock, losses on investment securities aggregated $28 million during 2005.</w:t>
      </w:r>
    </w:p>
    <w:p>
      <w:pPr>
        <w:spacing w:after="0" w:line="2" w:lineRule="exact"/>
        <w:rPr>
          <w:sz w:val="20"/>
          <w:szCs w:val="20"/>
          <w:color w:val="auto"/>
        </w:rPr>
      </w:pPr>
    </w:p>
    <w:p>
      <w:pPr>
        <w:ind w:left="680" w:right="20" w:firstLine="599"/>
        <w:spacing w:after="0" w:line="249" w:lineRule="auto"/>
        <w:rPr>
          <w:sz w:val="20"/>
          <w:szCs w:val="20"/>
          <w:color w:val="auto"/>
        </w:rPr>
      </w:pPr>
      <w:r>
        <w:rPr>
          <w:rFonts w:ascii="Arial" w:cs="Arial" w:eastAsia="Arial" w:hAnsi="Arial"/>
          <w:sz w:val="14"/>
          <w:szCs w:val="14"/>
          <w:color w:val="auto"/>
        </w:rPr>
        <w:t>Other revenues from operations were $293 million in 2006, up from $259 million in 2005 and $240 million in 2004. Significant contributors to the 13% rise in such revenues from 2005 to 2006 were the previously noted $13 million gain from the call of an FHLB borrowing and an increase of $9 million in insurance-related revenues, largely the result of the February 1, 2006 acquisition by M</w:t>
      </w:r>
      <w:r>
        <w:rPr>
          <w:rFonts w:ascii="Arial" w:cs="Arial" w:eastAsia="Arial" w:hAnsi="Arial"/>
          <w:sz w:val="13"/>
          <w:szCs w:val="13"/>
          <w:color w:val="auto"/>
        </w:rPr>
        <w:t>&amp;</w:t>
      </w:r>
      <w:r>
        <w:rPr>
          <w:rFonts w:ascii="Arial" w:cs="Arial" w:eastAsia="Arial" w:hAnsi="Arial"/>
          <w:sz w:val="14"/>
          <w:szCs w:val="14"/>
          <w:color w:val="auto"/>
        </w:rPr>
        <w:t>T Bank of a commercial insurance and surety brokerage agency based in Maryland. Also contributing to the increase from 2005 to 2006 were higher income from educational lending services of $8 million and income from bank owned life insurance of $6 million. An increase of $5 million in revenues from providing corporate financing advisory services and a $7 million increase in gains on sales of commercial lease equipment and other property contributed to the higher revenues in 2005 as compared with 2004.</w:t>
      </w:r>
    </w:p>
    <w:p>
      <w:pPr>
        <w:ind w:left="1280"/>
        <w:spacing w:after="0"/>
        <w:rPr>
          <w:sz w:val="20"/>
          <w:szCs w:val="20"/>
          <w:color w:val="auto"/>
        </w:rPr>
      </w:pPr>
      <w:r>
        <w:rPr>
          <w:rFonts w:ascii="Arial" w:cs="Arial" w:eastAsia="Arial" w:hAnsi="Arial"/>
          <w:sz w:val="14"/>
          <w:szCs w:val="14"/>
          <w:color w:val="auto"/>
        </w:rPr>
        <w:t>Included in other revenues from operations were the following significant components. Letter of credit and other credit-related fees totaled $77 million,</w:t>
      </w:r>
    </w:p>
    <w:p>
      <w:pPr>
        <w:spacing w:after="0" w:line="6" w:lineRule="exact"/>
        <w:rPr>
          <w:sz w:val="20"/>
          <w:szCs w:val="20"/>
          <w:color w:val="auto"/>
        </w:rPr>
      </w:pPr>
    </w:p>
    <w:p>
      <w:pPr>
        <w:ind w:left="680" w:right="40"/>
        <w:spacing w:after="0" w:line="251" w:lineRule="auto"/>
        <w:rPr>
          <w:sz w:val="20"/>
          <w:szCs w:val="20"/>
          <w:color w:val="auto"/>
        </w:rPr>
      </w:pPr>
      <w:r>
        <w:rPr>
          <w:rFonts w:ascii="Arial" w:cs="Arial" w:eastAsia="Arial" w:hAnsi="Arial"/>
          <w:sz w:val="14"/>
          <w:szCs w:val="14"/>
          <w:color w:val="auto"/>
        </w:rPr>
        <w:t>$75 million and $74 million in 2006, 2005 and 2004, respectively. Tax-exempt income earned from bank owned life insurance aggregated $53 million, $47 million and $48 million in 2006, 2005 and 2004, respectively. Such income includes increases in cash surrender value of life insurance policies and benefits received. Revenues from merchant discount and credit card fees were $32 million in 2006, $30 million in 2005 and $28 million in 2004. Insurance-related sales commissions and other revenues totaled $32 million in 2006, compared with $22 million in each of 2005 and 2004. The higher revenues in 2006 as compared with the preceding two years was primarily the result of the already noted insurance agency acquisition in February 2006. Automated teller machine (“ATM”) usage fees aggregated $15 million in 2006, compared with $22 million in 2005 and in 2004. The decrease in such fees in 2006 was largely the result of the reduction or elimination of fees charged for use of ATMs at certain non-branch locations.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Other Expense</w:t>
      </w:r>
    </w:p>
    <w:p>
      <w:pPr>
        <w:spacing w:after="0" w:line="22" w:lineRule="exact"/>
        <w:rPr>
          <w:sz w:val="20"/>
          <w:szCs w:val="20"/>
          <w:color w:val="auto"/>
        </w:rPr>
      </w:pPr>
    </w:p>
    <w:p>
      <w:pPr>
        <w:jc w:val="both"/>
        <w:ind w:left="680" w:right="520"/>
        <w:spacing w:after="0" w:line="256" w:lineRule="auto"/>
        <w:rPr>
          <w:sz w:val="20"/>
          <w:szCs w:val="20"/>
          <w:color w:val="auto"/>
        </w:rPr>
      </w:pPr>
      <w:r>
        <w:rPr>
          <w:rFonts w:ascii="Arial" w:cs="Arial" w:eastAsia="Arial" w:hAnsi="Arial"/>
          <w:sz w:val="14"/>
          <w:szCs w:val="14"/>
          <w:color w:val="auto"/>
        </w:rPr>
        <w:t>Other expense totaled $1.55 billion in 2006, compared with $1.49 billion in 2005 and $1.52 billion in 2004. Included in such amounts are expenses considered to be “nonoperating” in nature consisting of amortization of core deposit and other intangible assets of $63 million, $57 million and $75 million in 2006, 2005 and 2004, respectively, and merger-related integration expenses of $5 million in 2006. There</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ind w:left="680"/>
        <w:spacing w:after="0" w:line="251" w:lineRule="auto"/>
        <w:rPr>
          <w:sz w:val="20"/>
          <w:szCs w:val="20"/>
          <w:color w:val="auto"/>
        </w:rPr>
      </w:pPr>
      <w:r>
        <w:rPr>
          <w:rFonts w:ascii="Arial" w:cs="Arial" w:eastAsia="Arial" w:hAnsi="Arial"/>
          <w:sz w:val="14"/>
          <w:szCs w:val="14"/>
          <w:color w:val="auto"/>
        </w:rPr>
        <w:t>were no merger-related expenses in either 2005 or 2004. Exclusive of these nonoperating expenses, noninterest operating expenses were $1.48 billion in 2006, up 4% from $1.43 billion in 2005. Included in 2006’s operating expenses was the $18 million charitable contribution already discussed. Excluding the impact of the charitable contribution, operating expenses in 2006 increased $37 million, or less than 3% from 2005, due primarily to higher salaries costs, including merit pay increases and incentive compensation. Noninterest operating expenses were $1.44 billion in 2004. As previously noted, such expenses reflect a $25 million charitable contribution. Excluding that contribution, operating expenses in 2005 increased $13 million, or less than 1%, from 2004. That increase from 2004 resulted from higher costs of providing health care and retirement benefits to employees and increased professional services expenses, partially offset by a higher reversal of a portion of the valuation allowance for the impairment of capitalized residential mortgage servicing rights, due to higher residential mortgage loan interest rates. Table 2 provides a reconciliation of other expense to noninterest operating expense.</w:t>
      </w:r>
    </w:p>
    <w:p>
      <w:pPr>
        <w:spacing w:after="0" w:line="2" w:lineRule="exact"/>
        <w:rPr>
          <w:sz w:val="20"/>
          <w:szCs w:val="20"/>
          <w:color w:val="auto"/>
        </w:rPr>
      </w:pPr>
    </w:p>
    <w:p>
      <w:pPr>
        <w:ind w:left="680" w:right="80" w:firstLine="599"/>
        <w:spacing w:after="0" w:line="268" w:lineRule="auto"/>
        <w:rPr>
          <w:sz w:val="20"/>
          <w:szCs w:val="20"/>
          <w:color w:val="auto"/>
        </w:rPr>
      </w:pPr>
      <w:r>
        <w:rPr>
          <w:rFonts w:ascii="Arial" w:cs="Arial" w:eastAsia="Arial" w:hAnsi="Arial"/>
          <w:sz w:val="13"/>
          <w:szCs w:val="13"/>
          <w:color w:val="auto"/>
        </w:rPr>
        <w:t>Salaries and employee benefits expense totaled $873 million in 2006, up 6% from $822 million in 2005. The most significant contributor to the increase was a higher level of salaries expense in 2006, reflecting the impact of merit pay increases and higher stock-based compensation costs and other incentive pay. Salaries and employee benefits expense was $807 million in 2004. Expenses related to providing employee health care and retirement benefits were the most significant contributors to the rise in salaries and benefits from 2004 to 2005. The Company recognizes expense for stock-based compensation using the fair value method of accounting for all stock-based compensation granted to employees after January 1, 1995. As a result, salaries and employee benefits expense in 2006, 2005 and 2004 included $51 million, $45 million and $48 million, respectively, of stock-based compensation. The higher level of stock-based compensation in 2006 was largely due to the adoption of</w:t>
      </w:r>
    </w:p>
    <w:p>
      <w:pPr>
        <w:spacing w:after="0" w:line="1" w:lineRule="exact"/>
        <w:rPr>
          <w:sz w:val="20"/>
          <w:szCs w:val="20"/>
          <w:color w:val="auto"/>
        </w:rPr>
      </w:pPr>
    </w:p>
    <w:p>
      <w:pPr>
        <w:ind w:left="680" w:right="60"/>
        <w:spacing w:after="0" w:line="249" w:lineRule="auto"/>
        <w:rPr>
          <w:sz w:val="20"/>
          <w:szCs w:val="20"/>
          <w:color w:val="auto"/>
        </w:rPr>
      </w:pPr>
      <w:r>
        <w:rPr>
          <w:rFonts w:ascii="Arial" w:cs="Arial" w:eastAsia="Arial" w:hAnsi="Arial"/>
          <w:sz w:val="14"/>
          <w:szCs w:val="14"/>
          <w:color w:val="auto"/>
        </w:rPr>
        <w:t>SFAS No. 123 (revised 2004), “Share-Based Payment,” (“SFAS No. 123R”), effective January 1, 2006. As required, coincident with the adoption of SFAS No. 123R, the Company began accelerating the recognition of compensation costs for stock-based awards granted to retirement-eligible employees and employees who will become retirement-eligible prior to full vesting of the award. As a result, stock-based compensation expense during 2006 included $4 million that would otherwise have been recognized over the normal four year vesting period if not for the required adoption of SFAS No. 123R. That acceleration had no effect on the value of stock-based compensation awarded to employees. The number of full-time equivalent employees was 12,721 at December 31, 2006, compared with 12,780 and 12,678 at December 31, 2005 and 2004, respectively.</w:t>
      </w:r>
    </w:p>
    <w:p>
      <w:pPr>
        <w:ind w:left="680" w:firstLine="599"/>
        <w:spacing w:after="0" w:line="268" w:lineRule="auto"/>
        <w:rPr>
          <w:sz w:val="20"/>
          <w:szCs w:val="20"/>
          <w:color w:val="auto"/>
        </w:rPr>
      </w:pPr>
      <w:r>
        <w:rPr>
          <w:rFonts w:ascii="Arial" w:cs="Arial" w:eastAsia="Arial" w:hAnsi="Arial"/>
          <w:sz w:val="13"/>
          <w:szCs w:val="13"/>
          <w:color w:val="auto"/>
        </w:rPr>
        <w:t>Pension benefit expense is a significant cost to the Company and totaled $28 million in 2006, $38 million in 2005 and $30 million in 2004. The Company sponsors both defined benefit and defined contribution pension plans. The expense for 2006 includes $7 million related to a new qualified defined contribution plan introduced on January 1, 2006. The determination of pension expense and the recognition of net pension assets and liabilities for defined benefit pension plans requires management to make various assumptions that can significantly impact the actuarial calculations related thereto. Those assumptions include the expected long-term rate of return on plan assets, the rate of increase in future compensation levels and the discount rate. Changes in any of those assumptions will impact the Company’s pension expense. The expected long-term rate of return assumption is determined by taking into consideration asset allocations, historical returns on the types of assets held and current economic factors. Returns on invested assets are periodically compared with target market indices for each asset type to aid management in evaluating such returns. The discount rate used by the Company to determine the present value of the Company’s future benefit obligations reflects specific market yields for a hypothetical portfolio of highly rated corporate bonds that would produce cash flows similar to the Company’s benefit plan obligations and the level of market interest rates in general. Other factors used to estimate the projected benefit obligations include actuarial assumptions for mortality rate, turnover rate, retirement rate and disability rate. Those other factors do not tend to change significantly over time. The Company reviews its pension plan assumptions annually to ensure that such assumptions are reasonable and adjusts those assumptions, as necessary, to reflect changes in future expectations. The Company utilizes actuaries and others to aid in that assessment.</w:t>
      </w:r>
    </w:p>
    <w:p>
      <w:pPr>
        <w:spacing w:after="0" w:line="2" w:lineRule="exact"/>
        <w:rPr>
          <w:sz w:val="20"/>
          <w:szCs w:val="20"/>
          <w:color w:val="auto"/>
        </w:rPr>
      </w:pPr>
    </w:p>
    <w:p>
      <w:pPr>
        <w:ind w:left="680" w:right="440" w:firstLine="599"/>
        <w:spacing w:after="0" w:line="263" w:lineRule="auto"/>
        <w:rPr>
          <w:sz w:val="20"/>
          <w:szCs w:val="20"/>
          <w:color w:val="auto"/>
        </w:rPr>
      </w:pPr>
      <w:r>
        <w:rPr>
          <w:rFonts w:ascii="Arial" w:cs="Arial" w:eastAsia="Arial" w:hAnsi="Arial"/>
          <w:sz w:val="14"/>
          <w:szCs w:val="14"/>
          <w:color w:val="auto"/>
        </w:rPr>
        <w:t>The Company’s 2006 pension expense for its defined benefit plans was determined using the following assumptions: a long-term rate of return on assets of 8.50%; a rate of future compensation increase of 4.90%; and a discount rate of 5.50%. To demonstrate the sensitivity of pension expense to</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3" w:lineRule="exact"/>
        <w:rPr>
          <w:sz w:val="20"/>
          <w:szCs w:val="20"/>
          <w:color w:val="auto"/>
        </w:rPr>
      </w:pPr>
    </w:p>
    <w:p>
      <w:pPr>
        <w:ind w:right="60"/>
        <w:spacing w:after="0" w:line="274" w:lineRule="auto"/>
        <w:rPr>
          <w:sz w:val="20"/>
          <w:szCs w:val="20"/>
          <w:color w:val="auto"/>
        </w:rPr>
      </w:pPr>
      <w:r>
        <w:rPr>
          <w:rFonts w:ascii="Arial" w:cs="Arial" w:eastAsia="Arial" w:hAnsi="Arial"/>
          <w:sz w:val="12"/>
          <w:szCs w:val="12"/>
          <w:color w:val="auto"/>
        </w:rPr>
        <w:t>changes in the Company’s pension plan assumptions, 25 basis point increases in: the rate of return on plan assets would have resulted in a decrease in pension expense of $1 million; the rate of increase in compensation would have resulted in an increase in pension expense of $.5 million; and the discount rate would have resulted in a decrease in pension expense of $3 million. Decreases of 25 basis points in those assumptions would have resulted in similar changes in amount, but in the opposite direction from the changes presented in the preceding sentence. The accounting guidance for defined benefit pension plans reflects the long-term nature of benefit obligations and the investment horizon of plan assets, and has the effect of reducing earnings volatility related to short-term changes in interest rates and market valuations. Actuarial gains and losses include the impact of plan amendments and various unrecognized gains and losses resulting from changes in assumptions and investment returns which are different from that which is assumed. As of December 31, 2006, the Company had cumulative unrecognized actuarial losses of approximately $101 million that could result in an increase in the Company’s future pension expense depending on several factors, including whether such losses at each measurement date exceed ten percent of the greater of the projected benefit obligation or the market-related value of plan assets. In accordance with GAAP, net unrecognized gains or losses that exceed that threshold are required to be amortized over the expected service period of active employees, and are included as a component of net pension cost. Amortization of these net unrealized losses had the effect of increasing the Company’s pension expense by approximately $8 million in 2006, $5 million in 2005 and $2 million in 2004.</w:t>
      </w:r>
    </w:p>
    <w:p>
      <w:pPr>
        <w:spacing w:after="0" w:line="5" w:lineRule="exact"/>
        <w:rPr>
          <w:sz w:val="20"/>
          <w:szCs w:val="20"/>
          <w:color w:val="auto"/>
        </w:rPr>
      </w:pPr>
    </w:p>
    <w:p>
      <w:pPr>
        <w:ind w:right="20" w:firstLine="459"/>
        <w:spacing w:after="0" w:line="268" w:lineRule="auto"/>
        <w:rPr>
          <w:sz w:val="20"/>
          <w:szCs w:val="20"/>
          <w:color w:val="auto"/>
        </w:rPr>
      </w:pPr>
      <w:r>
        <w:rPr>
          <w:rFonts w:ascii="Arial" w:cs="Arial" w:eastAsia="Arial" w:hAnsi="Arial"/>
          <w:sz w:val="13"/>
          <w:szCs w:val="13"/>
          <w:color w:val="auto"/>
        </w:rPr>
        <w:t>In September 2006, the Financial Accounting Standards Board (“FASB”) issued SFAS No. 158, “Employers’ Accounting for Defined Benefit Pension and Other Postretirement Plans,” which requires an employer to recognize in its balance sheet as an asset or liability the overfunded or underfunded status of a defined benefit postretirement plan, measured as the difference between the fair value of plan assets and the benefit obligation. For a pension plan, the benefit obligation is the projected benefit obligation; for any other postretirement benefit plan, such as a retiree health care plan, the benefit obligation is the accumulated postretirement benefit obligation. SFAS No. 158 requires that gains or losses and prior service costs or credits that arise during the period, but are not included as components of net periodic benefit cost pursuant to SFAS No. 87 or SFAS No. 106, be recognized as a component of other comprehensive income. An employer with publicly-traded equity securities is required to initially recognize the funded status of a defined benefit postretirement plan as of the end of the fiscal year ending after December 15, 2006. As of December 31, 2006, the combined benefit obligations (as defined under SFAS No. 158) of the Company’s defined benefit postretirement plans exceeded the fair value of the assets of such plans by approximately</w:t>
      </w:r>
    </w:p>
    <w:p>
      <w:pPr>
        <w:spacing w:after="0" w:line="2" w:lineRule="exact"/>
        <w:rPr>
          <w:sz w:val="20"/>
          <w:szCs w:val="20"/>
          <w:color w:val="auto"/>
        </w:rPr>
      </w:pPr>
    </w:p>
    <w:p>
      <w:pPr>
        <w:jc w:val="both"/>
        <w:ind w:right="180"/>
        <w:spacing w:after="0" w:line="268" w:lineRule="auto"/>
        <w:rPr>
          <w:sz w:val="20"/>
          <w:szCs w:val="20"/>
          <w:color w:val="auto"/>
        </w:rPr>
      </w:pPr>
      <w:r>
        <w:rPr>
          <w:rFonts w:ascii="Arial" w:cs="Arial" w:eastAsia="Arial" w:hAnsi="Arial"/>
          <w:sz w:val="13"/>
          <w:szCs w:val="13"/>
          <w:color w:val="auto"/>
        </w:rPr>
        <w:t>$205 million. Of that amount, $96 million was related to qualified defined benefit plans that are periodically funded by the Company and $109 million related to non-qualified pension and other postretirement plans that are generally not funded until benefits are paid. As a result of the adoption of SFAS No. 158, the Company was required to have a net pension and postretirement benefit liability for those plans that was at least equal to $205 million at December 31, 2006. Accordingly, as of December 31, 2006 the Company recorded an additional postretirement benefit liability of $46 million. After applicable tax effect, that liability reduced accumulated other comprehensive income (and thereby stockholders’ equity) by $28 million. Because the recognition requirements of SFAS No. 158 were required to be applied at the end of the year of adoption, the Company had to first recognize the additional minimum liability amounts required under the provisions of</w:t>
      </w:r>
    </w:p>
    <w:p>
      <w:pPr>
        <w:spacing w:after="0" w:line="1" w:lineRule="exact"/>
        <w:rPr>
          <w:sz w:val="20"/>
          <w:szCs w:val="20"/>
          <w:color w:val="auto"/>
        </w:rPr>
      </w:pPr>
    </w:p>
    <w:p>
      <w:pPr>
        <w:ind w:right="20"/>
        <w:spacing w:after="0" w:line="251" w:lineRule="auto"/>
        <w:rPr>
          <w:sz w:val="20"/>
          <w:szCs w:val="20"/>
          <w:color w:val="auto"/>
        </w:rPr>
      </w:pPr>
      <w:r>
        <w:rPr>
          <w:rFonts w:ascii="Arial" w:cs="Arial" w:eastAsia="Arial" w:hAnsi="Arial"/>
          <w:sz w:val="14"/>
          <w:szCs w:val="14"/>
          <w:color w:val="auto"/>
        </w:rPr>
        <w:t>SFAS No. 87. As a result, as of December 31, 2006 the Company decreased its previously recorded minimum pension liability by $51 million with a corresponding increase to other comprehensive income that, net of applicable deferred taxes, was approximately $31 million. A combination of better than expected investment returns on plan assets during 2006 and a 25 basis point increase in the discount rate assumption to 5.75% at December 31, 2006 from 5.50% at December 31, 2005 were the significant factors contributing to the increase to other comprehensive income recorded in 2006 under the provisions of SFAS No. 87. In order to recognize the funded status of the Company’s other combined defined benefit postretirement plans under the provisions of SFAS No. 158, the Company then recorded an incremental minimum liability of approximately $16 million with a corresponding reduction of stockholders’ equity that, net of applicable deferred taxes, was approximately $10 million. As a result, including the effects of adopting SFAS No. 158, the Company decreased its minimum liability from that which was recorded at December 31, 2005 by approximately $35 million with a corresponding increase to</w:t>
      </w:r>
    </w:p>
    <w:p>
      <w:pPr>
        <w:spacing w:after="0" w:line="15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ind w:right="360"/>
        <w:spacing w:after="0" w:line="273" w:lineRule="auto"/>
        <w:rPr>
          <w:sz w:val="20"/>
          <w:szCs w:val="20"/>
          <w:color w:val="auto"/>
        </w:rPr>
      </w:pPr>
      <w:r>
        <w:rPr>
          <w:rFonts w:ascii="Arial" w:cs="Arial" w:eastAsia="Arial" w:hAnsi="Arial"/>
          <w:sz w:val="13"/>
          <w:szCs w:val="13"/>
          <w:color w:val="auto"/>
        </w:rPr>
        <w:t>stockholders’ equity that, net of applicable deferred taxes, was approximately $21 million. Under the provisions of SFAS No. 158, a 25 basis point decrease in the assumed discount rate as of December 31, 2006 to 5.50% would have resulted in increases in the combined benefit obligations of all defined benefit postretirement plans (including pension and other plans) of $25 million. Under that scenario, the minimum postretirement liability adjustment at December 31, 2006 would have been $71 million, rather than the $46 million that was actually recorded, and the corresponding after tax-effect charge to accumulated other comprehensive income at December 31, 2006 would have been $44 million, rather than the $28 million that was actually recorded. A</w:t>
      </w:r>
    </w:p>
    <w:p>
      <w:pPr>
        <w:ind w:right="300"/>
        <w:spacing w:after="0" w:line="249" w:lineRule="auto"/>
        <w:rPr>
          <w:sz w:val="20"/>
          <w:szCs w:val="20"/>
          <w:color w:val="auto"/>
        </w:rPr>
      </w:pPr>
      <w:r>
        <w:rPr>
          <w:rFonts w:ascii="Arial" w:cs="Arial" w:eastAsia="Arial" w:hAnsi="Arial"/>
          <w:sz w:val="14"/>
          <w:szCs w:val="14"/>
          <w:color w:val="auto"/>
        </w:rPr>
        <w:t>25 basis point increase in the assumed discount rate to 6.00% would have decreased the combined benefit obligations of all defined benefit postretirement plans by $24 million. Under this latter scenario, the aggregate liability adjustment at December 31, 2006 would have been $22 million rather than the $46 million actually recorded and the corresponding after tax-effect charge to accumulated other comprehensive income would have been $14 million rather than $28 million. The Company made contributions to its qualified defined benefit pension plans in 2006 totaling approximately $36 million. Information about the Company’s pension plans, including significant assumptions utilized in completing actuarial calculations for the plans, is included in note 11 of Notes to Financial Statements.</w:t>
      </w:r>
    </w:p>
    <w:p>
      <w:pPr>
        <w:ind w:right="60" w:firstLine="459"/>
        <w:spacing w:after="0" w:line="268" w:lineRule="auto"/>
        <w:rPr>
          <w:sz w:val="20"/>
          <w:szCs w:val="20"/>
          <w:color w:val="auto"/>
        </w:rPr>
      </w:pPr>
      <w:r>
        <w:rPr>
          <w:rFonts w:ascii="Arial" w:cs="Arial" w:eastAsia="Arial" w:hAnsi="Arial"/>
          <w:sz w:val="13"/>
          <w:szCs w:val="13"/>
          <w:color w:val="auto"/>
        </w:rPr>
        <w:t>Effective January 1, 2006, the Company amended certain provisions of its defined benefit pension plans. Such amendments had the effect of reducing future benefits earned under the plans. The formula was changed to reduce the future accrual of benefits by lowering the accrual percentage and through use of a career-average-pay formula as opposed to the previous final-average-pay formula. The amendments affected benefits earned for service periods beginning after December 31, 2005. Active participants at that time had the choice of electing to remain in the defined benefit plan under the reduced benefit formula or electing to participate in a new qualified defined contribution pension plan. Under the new defined contribution pension plan, the Company makes contributions to the plan each year in an amount that is based on an individual participant’s total compensation (generally defined as total wages, incentive compensation, commissions and bonuses) and years of service. Participants do not contribute to the defined contribution pension plan. New employees are not eligible to participate in the defined benefit plan, but do participate in the defined contribution pension plan. The amendment caused the projected benefit obligation associated with the defined benefit plans to decrease by approximately $98 million as of December 31, 2005. Certain gains associated with the $98 million in pension benefit obligation reduction attributable to employees who remained in the plan are not subject to the ten percent corridor previously noted. Guidance contained in SFAS No. 87 requires that these gains be amortized and recognized as a component of net periodic benefit cost over the remaining expected service period for active employees. Amortization of these gains had the effect of reducing the Company’s pension expense for 2006 by approximately $7 million.</w:t>
      </w:r>
    </w:p>
    <w:p>
      <w:pPr>
        <w:spacing w:after="0" w:line="2" w:lineRule="exact"/>
        <w:rPr>
          <w:sz w:val="20"/>
          <w:szCs w:val="20"/>
          <w:color w:val="auto"/>
        </w:rPr>
      </w:pPr>
    </w:p>
    <w:p>
      <w:pPr>
        <w:ind w:firstLine="459"/>
        <w:spacing w:after="0" w:line="249" w:lineRule="auto"/>
        <w:rPr>
          <w:sz w:val="20"/>
          <w:szCs w:val="20"/>
          <w:color w:val="auto"/>
        </w:rPr>
      </w:pPr>
      <w:r>
        <w:rPr>
          <w:rFonts w:ascii="Arial" w:cs="Arial" w:eastAsia="Arial" w:hAnsi="Arial"/>
          <w:sz w:val="14"/>
          <w:szCs w:val="14"/>
          <w:color w:val="auto"/>
        </w:rPr>
        <w:t>In addition to the changes described above, the Company also amended its retirement savings plan (“RSP”), effective January 1, 2006, to allow for greater amounts of employee compensation to be eligible for contribution to the RSP. The RSP is a defined contribution plan in which eligible employees of the Company may defer up to 50% of qualified compensation via contributions to the plan. The Company makes an employer matching contribution in an amount equal to 75% of an employee’s contribution, up to 4.5% of the employee’s qualified compensation. RSP expense totaled $21 million in 2006, $17 million in 2005 and $16 million in 2004.</w:t>
      </w:r>
    </w:p>
    <w:p>
      <w:pPr>
        <w:ind w:right="100" w:firstLine="459"/>
        <w:spacing w:after="0" w:line="249" w:lineRule="auto"/>
        <w:rPr>
          <w:sz w:val="20"/>
          <w:szCs w:val="20"/>
          <w:color w:val="auto"/>
        </w:rPr>
      </w:pPr>
      <w:r>
        <w:rPr>
          <w:rFonts w:ascii="Arial" w:cs="Arial" w:eastAsia="Arial" w:hAnsi="Arial"/>
          <w:sz w:val="14"/>
          <w:szCs w:val="14"/>
          <w:color w:val="auto"/>
        </w:rPr>
        <w:t>As a result of the amendments to the defined benefit pension plans and the RSP and the introduction of the defined contribution pension plan, the Company hoped to limit increases in future period expenses associated with these plans. Reflecting the impact of these changes, expenses associated with the defined benefit and defined contribution pension plans and the RSP totaled $49 million in 2006, compared with $55 million in 2005 and $46 million in 2004.</w:t>
      </w:r>
    </w:p>
    <w:p>
      <w:pPr>
        <w:ind w:left="460"/>
        <w:spacing w:after="0"/>
        <w:rPr>
          <w:sz w:val="20"/>
          <w:szCs w:val="20"/>
          <w:color w:val="auto"/>
        </w:rPr>
      </w:pPr>
      <w:r>
        <w:rPr>
          <w:rFonts w:ascii="Arial" w:cs="Arial" w:eastAsia="Arial" w:hAnsi="Arial"/>
          <w:sz w:val="13"/>
          <w:szCs w:val="13"/>
          <w:color w:val="auto"/>
        </w:rPr>
        <w:t>Excluding the nonoperating expense items already noted, nonpersonnel operating expenses aggregated $611 million in 2006, up 1% from $606 million in 2005. That increase reflects the</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$18 million charitable contribution made in 2006. Exclusive of the contribution, nonpersonnel operating expenses decreased $13 million or 2% from 2005, due largely to lower costs for professional</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services, furniture and equipment. Nonpersonnel operating expenses were $634 million in 2004 and included a $25 million charitable contribution. Excluding the impact of that contribution, other</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nonpersonnel operating</w:t>
      </w:r>
    </w:p>
    <w:p>
      <w:pPr>
        <w:spacing w:after="0" w:line="167" w:lineRule="exact"/>
        <w:rPr>
          <w:sz w:val="20"/>
          <w:szCs w:val="20"/>
          <w:color w:val="auto"/>
        </w:rPr>
      </w:pPr>
    </w:p>
    <w:p>
      <w:pP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expenses in 2005 decreased $3 million from 2004. As compared with 2004, a $7 million higher reversal in 2005 of a portion of the valuation allowance for the impairment of capitalized residential mortgage servicing rights, and lower equipment, net occupancy and other operating expenses were partially offset by higher professional services costs. The higher expenses incurred for professional services in 2005 were due in part to several initiatives of the Company, including projects focused on procurement practices, consolidation of loan application systems, revenue enhancement opportunities and operational efficiencies, as well as costs related to the already discussed subordinated note exchange.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Taxes</w:t>
      </w:r>
    </w:p>
    <w:p>
      <w:pPr>
        <w:spacing w:after="0" w:line="22" w:lineRule="exact"/>
        <w:rPr>
          <w:sz w:val="20"/>
          <w:szCs w:val="20"/>
          <w:color w:val="auto"/>
        </w:rPr>
      </w:pPr>
    </w:p>
    <w:p>
      <w:pPr>
        <w:ind w:right="60"/>
        <w:spacing w:after="0" w:line="268" w:lineRule="auto"/>
        <w:rPr>
          <w:sz w:val="20"/>
          <w:szCs w:val="20"/>
          <w:color w:val="auto"/>
        </w:rPr>
      </w:pPr>
      <w:r>
        <w:rPr>
          <w:rFonts w:ascii="Arial" w:cs="Arial" w:eastAsia="Arial" w:hAnsi="Arial"/>
          <w:sz w:val="13"/>
          <w:szCs w:val="13"/>
          <w:color w:val="auto"/>
        </w:rPr>
        <w:t>The provision for income taxes was $392 million in 2006, compared with $389 million in 2005 and $344 million in 2004. The effective tax rates were 31.9%, 33.2% and 32.3% in 2006, 2005 and 2004, respectively. The decline in the Company’s effective tax rate from 2005 to 2006 reflects higher levels of income that were exempt from tax in certain jurisdictions and a $3 million favorable impact from settlement of refund claims originally filed by Allfirst Financial Inc. prior to its April 1, 2003 acquisition by M</w:t>
      </w:r>
      <w:r>
        <w:rPr>
          <w:rFonts w:ascii="Arial" w:cs="Arial" w:eastAsia="Arial" w:hAnsi="Arial"/>
          <w:sz w:val="12"/>
          <w:szCs w:val="12"/>
          <w:color w:val="auto"/>
        </w:rPr>
        <w:t>&amp;</w:t>
      </w:r>
      <w:r>
        <w:rPr>
          <w:rFonts w:ascii="Arial" w:cs="Arial" w:eastAsia="Arial" w:hAnsi="Arial"/>
          <w:sz w:val="13"/>
          <w:szCs w:val="13"/>
          <w:color w:val="auto"/>
        </w:rPr>
        <w:t>T. The refunds received, consisting of income taxes and taxable interest, exceeded the amounts previously accrued for such items by $5 million (pre-tax). The increase in the effective tax rate from 2004 to 2005 was largely due to the impact of the third quarter 2004 reorganization of two of the Company’s subsidiaries that altered the taxable status of such subsidiaries in certain jurisdictions thereby decreasing the Company’s effective state income tax rate for 2004. As a result of the reorganizations, both income tax expense and deferred tax liabilities at September 30, 2004 were reduced by $12 million.</w:t>
      </w:r>
    </w:p>
    <w:p>
      <w:pPr>
        <w:spacing w:after="0" w:line="1" w:lineRule="exact"/>
        <w:rPr>
          <w:sz w:val="20"/>
          <w:szCs w:val="20"/>
          <w:color w:val="auto"/>
        </w:rPr>
      </w:pPr>
    </w:p>
    <w:p>
      <w:pPr>
        <w:ind w:right="80" w:firstLine="459"/>
        <w:spacing w:after="0" w:line="252" w:lineRule="auto"/>
        <w:rPr>
          <w:sz w:val="20"/>
          <w:szCs w:val="20"/>
          <w:color w:val="auto"/>
        </w:rPr>
      </w:pPr>
      <w:r>
        <w:rPr>
          <w:rFonts w:ascii="Arial" w:cs="Arial" w:eastAsia="Arial" w:hAnsi="Arial"/>
          <w:sz w:val="14"/>
          <w:szCs w:val="14"/>
          <w:color w:val="auto"/>
        </w:rPr>
        <w:t>The effective tax rate in future periods will be affected by the results of operations attributable to the various tax jurisdictions within which the Company operates, any changes in income tax regulations or interpretations of such regulations that differ from the Company’s interpretations by tax authorities within those jurisdictions, and the impact of changes in the accounting for income taxes resulting from the required adoption on January 1, 2007 of FASB Interpretation (“FIN”) No. 48, “Accounting for Uncertainty in Income Taxes.” The projected impact of that adoption is included herein under the heading “Recent Accounting Developments.” A reconciliation of income tax expense to the amount computed by applying the statutory federal income tax rate to pre-tax income is provided in note 12 of Notes to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International Activities</w:t>
      </w:r>
    </w:p>
    <w:p>
      <w:pPr>
        <w:spacing w:after="0" w:line="22"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The Company’s net investment in international assets totaled $185 million at December 31, 2006 and $230 million at December 31, 2005. Such assets included $176 million and $217 million, respectively, of loans to foreign borrowers. Offshore deposits totaled $5.4 billion at December 31, 2006 and $2.8 billion at December 31, 2005. The Company uses such deposits to facilitate customer demand and as an alternative to short-term borrowings when the costs of such deposits seem reasonable.</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Market Risk, and Interest Rate Sensitivity</w:t>
      </w:r>
    </w:p>
    <w:p>
      <w:pPr>
        <w:spacing w:after="0" w:line="22" w:lineRule="exact"/>
        <w:rPr>
          <w:sz w:val="20"/>
          <w:szCs w:val="20"/>
          <w:color w:val="auto"/>
        </w:rPr>
      </w:pPr>
    </w:p>
    <w:p>
      <w:pPr>
        <w:ind w:right="20"/>
        <w:spacing w:after="0" w:line="249" w:lineRule="auto"/>
        <w:rPr>
          <w:sz w:val="20"/>
          <w:szCs w:val="20"/>
          <w:color w:val="auto"/>
        </w:rPr>
      </w:pPr>
      <w:r>
        <w:rPr>
          <w:rFonts w:ascii="Arial" w:cs="Arial" w:eastAsia="Arial" w:hAnsi="Arial"/>
          <w:sz w:val="14"/>
          <w:szCs w:val="14"/>
          <w:color w:val="auto"/>
        </w:rPr>
        <w:t>As a financial intermediary, the Company is exposed to various risks, including liquidity and market risk. Liquidity refers to the Company’s ability to ensure that sufficient cash flow and liquid assets are available to satisfy current and future financial obligations, including demands for loans and deposit withdrawals, funding operating costs, and for other corporate purposes. Liquidity risk arises whenever the maturities of financial instruments included in assets and liabilities differ.</w:t>
      </w:r>
    </w:p>
    <w:p>
      <w:pPr>
        <w:ind w:firstLine="459"/>
        <w:spacing w:after="0" w:line="268" w:lineRule="auto"/>
        <w:rPr>
          <w:sz w:val="20"/>
          <w:szCs w:val="20"/>
          <w:color w:val="auto"/>
        </w:rPr>
      </w:pPr>
      <w:r>
        <w:rPr>
          <w:rFonts w:ascii="Arial" w:cs="Arial" w:eastAsia="Arial" w:hAnsi="Arial"/>
          <w:sz w:val="13"/>
          <w:szCs w:val="13"/>
          <w:color w:val="auto"/>
        </w:rPr>
        <w:t>Core deposits have historically been the most significant funding source for the Company, and are generated from a large base of consumer, corporate and institutional customers. That customer base has, over the past several years, become more geographically diverse as a result of acquisitions and expansion of the Company’s businesses. Nevertheless, in recent years the Company has faced increased competition in offering products and services from a large array of financial market participants, including banks, thrifts, mutual funds, securities dealers and others. Core deposits financed 57% of the Company’s earning assets at each of December 31, 2006 and December 31, 2005, compared with 59% at December 31, 2004.</w:t>
      </w:r>
    </w:p>
    <w:p>
      <w:pPr>
        <w:spacing w:after="0" w:line="1" w:lineRule="exact"/>
        <w:rPr>
          <w:sz w:val="20"/>
          <w:szCs w:val="20"/>
          <w:color w:val="auto"/>
        </w:rPr>
      </w:pPr>
    </w:p>
    <w:p>
      <w:pPr>
        <w:ind w:right="80" w:firstLine="459"/>
        <w:spacing w:after="0" w:line="263" w:lineRule="auto"/>
        <w:rPr>
          <w:sz w:val="20"/>
          <w:szCs w:val="20"/>
          <w:color w:val="auto"/>
        </w:rPr>
      </w:pPr>
      <w:r>
        <w:rPr>
          <w:rFonts w:ascii="Arial" w:cs="Arial" w:eastAsia="Arial" w:hAnsi="Arial"/>
          <w:sz w:val="14"/>
          <w:szCs w:val="14"/>
          <w:color w:val="auto"/>
        </w:rPr>
        <w:t>The Company supplements funding provided through core deposits with various short-term and long-term wholesale borrowings, including federal funds purchased and securities sold under agreements to repurchase, brokered certificates of deposit, offshore branch deposits and borrowings from the FHLBs</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and others. At December 31, 2006, M</w:t>
      </w:r>
      <w:r>
        <w:rPr>
          <w:rFonts w:ascii="Arial" w:cs="Arial" w:eastAsia="Arial" w:hAnsi="Arial"/>
          <w:sz w:val="13"/>
          <w:szCs w:val="13"/>
          <w:color w:val="auto"/>
        </w:rPr>
        <w:t>&amp;</w:t>
      </w:r>
      <w:r>
        <w:rPr>
          <w:rFonts w:ascii="Arial" w:cs="Arial" w:eastAsia="Arial" w:hAnsi="Arial"/>
          <w:sz w:val="14"/>
          <w:szCs w:val="14"/>
          <w:color w:val="auto"/>
        </w:rPr>
        <w:t>T Bank had short-term and long-term credit facilities with the FHLBs aggregating $6.8 billion. Outstanding borrowings under these credit facilities totaled $3.4 billion and $3.9 billion at December 31, 2006 and 2005, respectively. Such borrowings are secured by loans and investment securities. M</w:t>
      </w:r>
      <w:r>
        <w:rPr>
          <w:rFonts w:ascii="Arial" w:cs="Arial" w:eastAsia="Arial" w:hAnsi="Arial"/>
          <w:sz w:val="13"/>
          <w:szCs w:val="13"/>
          <w:color w:val="auto"/>
        </w:rPr>
        <w:t>&amp;</w:t>
      </w:r>
      <w:r>
        <w:rPr>
          <w:rFonts w:ascii="Arial" w:cs="Arial" w:eastAsia="Arial" w:hAnsi="Arial"/>
          <w:sz w:val="14"/>
          <w:szCs w:val="14"/>
          <w:color w:val="auto"/>
        </w:rPr>
        <w:t>T Bank and M</w:t>
      </w:r>
      <w:r>
        <w:rPr>
          <w:rFonts w:ascii="Arial" w:cs="Arial" w:eastAsia="Arial" w:hAnsi="Arial"/>
          <w:sz w:val="13"/>
          <w:szCs w:val="13"/>
          <w:color w:val="auto"/>
        </w:rPr>
        <w:t>&amp;</w:t>
      </w:r>
      <w:r>
        <w:rPr>
          <w:rFonts w:ascii="Arial" w:cs="Arial" w:eastAsia="Arial" w:hAnsi="Arial"/>
          <w:sz w:val="14"/>
          <w:szCs w:val="14"/>
          <w:color w:val="auto"/>
        </w:rPr>
        <w:t>T Bank, N.A. had available lines of credit with the Federal Reserve Bank of New York of approximately $4.3 billion at December 31, 2006. The amounts of these lines are dependent upon the balances of loans and securities pledged as collateral. There were no borrowings outstanding under these lines of credit at either December 31, 2006 or 2005.</w:t>
      </w:r>
    </w:p>
    <w:p>
      <w:pPr>
        <w:spacing w:after="0" w:line="2" w:lineRule="exact"/>
        <w:rPr>
          <w:sz w:val="20"/>
          <w:szCs w:val="20"/>
          <w:color w:val="auto"/>
        </w:rPr>
      </w:pPr>
    </w:p>
    <w:p>
      <w:pPr>
        <w:ind w:firstLine="459"/>
        <w:spacing w:after="0" w:line="268" w:lineRule="auto"/>
        <w:rPr>
          <w:sz w:val="20"/>
          <w:szCs w:val="20"/>
          <w:color w:val="auto"/>
        </w:rPr>
      </w:pPr>
      <w:r>
        <w:rPr>
          <w:rFonts w:ascii="Arial" w:cs="Arial" w:eastAsia="Arial" w:hAnsi="Arial"/>
          <w:sz w:val="13"/>
          <w:szCs w:val="13"/>
          <w:color w:val="auto"/>
        </w:rPr>
        <w:t>The Company has issued subordinated capital notes from time to time to provide liquidity and enhance regulatory capital ratios. Such notes qualify for inclusion in the Company’s total capital as defined by federal regulators. M</w:t>
      </w:r>
      <w:r>
        <w:rPr>
          <w:rFonts w:ascii="Arial" w:cs="Arial" w:eastAsia="Arial" w:hAnsi="Arial"/>
          <w:sz w:val="12"/>
          <w:szCs w:val="12"/>
          <w:color w:val="auto"/>
        </w:rPr>
        <w:t>&amp;</w:t>
      </w:r>
      <w:r>
        <w:rPr>
          <w:rFonts w:ascii="Arial" w:cs="Arial" w:eastAsia="Arial" w:hAnsi="Arial"/>
          <w:sz w:val="13"/>
          <w:szCs w:val="13"/>
          <w:color w:val="auto"/>
        </w:rPr>
        <w:t>T Bank issued $500 million of subordinated notes in December 2006. The notes bear a fixed rate of interest of 5.629% for ten years and a floating rate thereafter, at a rate equal to three-month LIBOR plus .64%. The notes are redeemable at the Company’s option after the fixed-rate period ends, subject to prior regulatory approval. In December 2005, M</w:t>
      </w:r>
      <w:r>
        <w:rPr>
          <w:rFonts w:ascii="Arial" w:cs="Arial" w:eastAsia="Arial" w:hAnsi="Arial"/>
          <w:sz w:val="12"/>
          <w:szCs w:val="12"/>
          <w:color w:val="auto"/>
        </w:rPr>
        <w:t>&amp;</w:t>
      </w:r>
      <w:r>
        <w:rPr>
          <w:rFonts w:ascii="Arial" w:cs="Arial" w:eastAsia="Arial" w:hAnsi="Arial"/>
          <w:sz w:val="13"/>
          <w:szCs w:val="13"/>
          <w:color w:val="auto"/>
        </w:rPr>
        <w:t>T Bank exchanged $363 million of its 8.0% subordinated notes due 2010 for new fixed rate/floating rate subordinated notes with a par value of $409 million due 2020. The notes bear interest at a fixed rate of 5.585% for ten years, while thereafter such notes will bear interest at a floating rate that resets monthly at a rate equal to one-month LIBOR plus 1.215%. The notes are redeemable after the fixed-rate period ends at the Company’s option, subject to regulatory approval. No new funding was received as a result of the exchange. A more detailed description of the 2006 and 2005 subordinated note transactions is included herein under the heading “Net Interest Income/Lending and Funding Activities” and in note 9 of Notes to Financial Statements. As an additional source of funding, in November 2002, the Company entered into a $500 million revolving asset-backed structured borrowing which is collateralized by approximately $565 million of automobile loans and related assets. The automobile loans and related assets have been transferred to a special purpose consolidated subsidiary of M</w:t>
      </w:r>
      <w:r>
        <w:rPr>
          <w:rFonts w:ascii="Arial" w:cs="Arial" w:eastAsia="Arial" w:hAnsi="Arial"/>
          <w:sz w:val="12"/>
          <w:szCs w:val="12"/>
          <w:color w:val="auto"/>
        </w:rPr>
        <w:t>&amp;</w:t>
      </w:r>
      <w:r>
        <w:rPr>
          <w:rFonts w:ascii="Arial" w:cs="Arial" w:eastAsia="Arial" w:hAnsi="Arial"/>
          <w:sz w:val="13"/>
          <w:szCs w:val="13"/>
          <w:color w:val="auto"/>
        </w:rPr>
        <w:t>T Bank. As existing automobile loans of the subsidiary pay down, monthly proceeds, after payment of certain fees and debt service costs, are used by the subsidiary to obtain additional automobile loans from M</w:t>
      </w:r>
      <w:r>
        <w:rPr>
          <w:rFonts w:ascii="Arial" w:cs="Arial" w:eastAsia="Arial" w:hAnsi="Arial"/>
          <w:sz w:val="12"/>
          <w:szCs w:val="12"/>
          <w:color w:val="auto"/>
        </w:rPr>
        <w:t>&amp;</w:t>
      </w:r>
      <w:r>
        <w:rPr>
          <w:rFonts w:ascii="Arial" w:cs="Arial" w:eastAsia="Arial" w:hAnsi="Arial"/>
          <w:sz w:val="13"/>
          <w:szCs w:val="13"/>
          <w:color w:val="auto"/>
        </w:rPr>
        <w:t>T Bank or another of its subsidiaries to replenish the collateral and maintain the existing borrowing base. Additional information about this borrowing is included in note 18 of Notes to Financial Statements.</w:t>
      </w:r>
    </w:p>
    <w:p>
      <w:pPr>
        <w:spacing w:after="0" w:line="2" w:lineRule="exact"/>
        <w:rPr>
          <w:sz w:val="20"/>
          <w:szCs w:val="20"/>
          <w:color w:val="auto"/>
        </w:rPr>
      </w:pPr>
    </w:p>
    <w:p>
      <w:pPr>
        <w:ind w:right="80" w:firstLine="459"/>
        <w:spacing w:after="0" w:line="268" w:lineRule="auto"/>
        <w:rPr>
          <w:sz w:val="20"/>
          <w:szCs w:val="20"/>
          <w:color w:val="auto"/>
        </w:rPr>
      </w:pPr>
      <w:r>
        <w:rPr>
          <w:rFonts w:ascii="Arial" w:cs="Arial" w:eastAsia="Arial" w:hAnsi="Arial"/>
          <w:sz w:val="13"/>
          <w:szCs w:val="13"/>
          <w:color w:val="auto"/>
        </w:rPr>
        <w:t>The Company has informal and sometimes reciprocal sources of funding available through various arrangements for unsecured short-term borrowings from a wide group of banks and other financial institutions. Short-term federal funds borrowings were $2.3 billion and $4.0 billion at December 31, 2006 and 2005, respectively. In general, those borrowings were unsecured and matured on the next business day. As already noted, offshore branch deposits and brokered certificates of deposit have been used by the Company as an alternative to short-term borrowings. Offshore branch deposits also generally mature on the next business day and totaled $5.4 billion and $2.8 billion at December 31, 2006 and 2005, respectively. Brokered certificates of deposit have longer maturity terms. Information regarding such deposits is included under the heading “Net Interest Income/Lending and Funding Activities.”</w:t>
      </w:r>
    </w:p>
    <w:p>
      <w:pPr>
        <w:spacing w:after="0" w:line="1" w:lineRule="exact"/>
        <w:rPr>
          <w:sz w:val="20"/>
          <w:szCs w:val="20"/>
          <w:color w:val="auto"/>
        </w:rPr>
      </w:pPr>
    </w:p>
    <w:p>
      <w:pPr>
        <w:ind w:right="20" w:firstLine="459"/>
        <w:spacing w:after="0" w:line="251" w:lineRule="auto"/>
        <w:rPr>
          <w:sz w:val="20"/>
          <w:szCs w:val="20"/>
          <w:color w:val="auto"/>
        </w:rPr>
      </w:pPr>
      <w:r>
        <w:rPr>
          <w:rFonts w:ascii="Arial" w:cs="Arial" w:eastAsia="Arial" w:hAnsi="Arial"/>
          <w:sz w:val="14"/>
          <w:szCs w:val="14"/>
          <w:color w:val="auto"/>
        </w:rPr>
        <w:t>The Company’s ability to obtain funding from these or other sources could be negatively impacted should the Company experience a substantial deterioration in its financial condition or its debt ratings, or should the availability of short-term funding become restricted due to a disruption in the financial markets. The Company attempts to quantify such credit-event risk by modeling scenarios that estimate the liquidity impact resulting from a short-term ratings downgrade over various grading levels. Such impact is estimated by attempting to measure the effect on available unsecured lines of credit, available capacity from secured borrowing sources and securitizable assets. Information about the credit ratings of M</w:t>
      </w:r>
      <w:r>
        <w:rPr>
          <w:rFonts w:ascii="Arial" w:cs="Arial" w:eastAsia="Arial" w:hAnsi="Arial"/>
          <w:sz w:val="13"/>
          <w:szCs w:val="13"/>
          <w:color w:val="auto"/>
        </w:rPr>
        <w:t>&amp;</w:t>
      </w:r>
      <w:r>
        <w:rPr>
          <w:rFonts w:ascii="Arial" w:cs="Arial" w:eastAsia="Arial" w:hAnsi="Arial"/>
          <w:sz w:val="14"/>
          <w:szCs w:val="14"/>
          <w:color w:val="auto"/>
        </w:rPr>
        <w:t>T and M</w:t>
      </w:r>
      <w:r>
        <w:rPr>
          <w:rFonts w:ascii="Arial" w:cs="Arial" w:eastAsia="Arial" w:hAnsi="Arial"/>
          <w:sz w:val="13"/>
          <w:szCs w:val="13"/>
          <w:color w:val="auto"/>
        </w:rPr>
        <w:t>&amp;</w:t>
      </w:r>
      <w:r>
        <w:rPr>
          <w:rFonts w:ascii="Arial" w:cs="Arial" w:eastAsia="Arial" w:hAnsi="Arial"/>
          <w:sz w:val="14"/>
          <w:szCs w:val="14"/>
          <w:color w:val="auto"/>
        </w:rPr>
        <w:t>T Bank is presented in table 13. Additional information regarding the terms and maturities of all of the Company’s short-term and long-term borrowings is provided in note 9 of Notes to Financial Statements. In addition to deposits and borrowings, other sources of liquidity include maturities of investment securities and other earning assets, repayments of loans and investment securities, and cash generated from operations, such as fees collected for services.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343" w:right="23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13</w:t>
      </w:r>
    </w:p>
    <w:p>
      <w:pPr>
        <w:spacing w:after="0" w:line="252"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DEBT RATINGS</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500" w:type="dxa"/>
            <w:vAlign w:val="bottom"/>
          </w:tcPr>
          <w:p>
            <w:pPr>
              <w:spacing w:after="0"/>
              <w:rPr>
                <w:sz w:val="10"/>
                <w:szCs w:val="10"/>
                <w:color w:val="auto"/>
              </w:rPr>
            </w:pPr>
          </w:p>
        </w:tc>
        <w:tc>
          <w:tcPr>
            <w:tcW w:w="1000" w:type="dxa"/>
            <w:vAlign w:val="bottom"/>
            <w:gridSpan w:val="2"/>
            <w:vMerge w:val="restart"/>
          </w:tcPr>
          <w:p>
            <w:pPr>
              <w:jc w:val="right"/>
              <w:ind w:right="460"/>
              <w:spacing w:after="0"/>
              <w:rPr>
                <w:sz w:val="20"/>
                <w:szCs w:val="20"/>
                <w:color w:val="auto"/>
              </w:rPr>
            </w:pPr>
            <w:r>
              <w:rPr>
                <w:rFonts w:ascii="Arial" w:cs="Arial" w:eastAsia="Arial" w:hAnsi="Arial"/>
                <w:sz w:val="10"/>
                <w:szCs w:val="10"/>
                <w:b w:val="1"/>
                <w:bCs w:val="1"/>
                <w:color w:val="auto"/>
              </w:rPr>
              <w:t>Moody’s</w:t>
            </w:r>
          </w:p>
        </w:tc>
        <w:tc>
          <w:tcPr>
            <w:tcW w:w="10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6"/>
              </w:rPr>
              <w:t>Standard</w:t>
            </w:r>
          </w:p>
        </w:tc>
        <w:tc>
          <w:tcPr>
            <w:tcW w:w="480" w:type="dxa"/>
            <w:vAlign w:val="bottom"/>
            <w:vMerge w:val="restart"/>
          </w:tcPr>
          <w:p>
            <w:pPr>
              <w:jc w:val="right"/>
              <w:ind w:right="51"/>
              <w:spacing w:after="0"/>
              <w:rPr>
                <w:sz w:val="20"/>
                <w:szCs w:val="20"/>
                <w:color w:val="auto"/>
              </w:rPr>
            </w:pPr>
            <w:r>
              <w:rPr>
                <w:rFonts w:ascii="Arial" w:cs="Arial" w:eastAsia="Arial" w:hAnsi="Arial"/>
                <w:sz w:val="10"/>
                <w:szCs w:val="10"/>
                <w:b w:val="1"/>
                <w:bCs w:val="1"/>
                <w:color w:val="auto"/>
              </w:rPr>
              <w:t>Fitch</w:t>
            </w:r>
          </w:p>
        </w:tc>
        <w:tc>
          <w:tcPr>
            <w:tcW w:w="0" w:type="dxa"/>
            <w:vAlign w:val="bottom"/>
          </w:tcPr>
          <w:p>
            <w:pPr>
              <w:spacing w:after="0"/>
              <w:rPr>
                <w:sz w:val="1"/>
                <w:szCs w:val="1"/>
                <w:color w:val="auto"/>
              </w:rPr>
            </w:pPr>
          </w:p>
        </w:tc>
      </w:tr>
      <w:tr>
        <w:trPr>
          <w:trHeight w:val="125"/>
        </w:trPr>
        <w:tc>
          <w:tcPr>
            <w:tcW w:w="75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6"/>
              </w:rPr>
              <w:t>and Poor’s</w:t>
            </w: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75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7500" w:type="dxa"/>
            <w:vAlign w:val="bottom"/>
            <w:shd w:val="clear" w:color="auto" w:fill="CCEEFF"/>
          </w:tcPr>
          <w:p>
            <w:pPr>
              <w:spacing w:after="0"/>
              <w:rPr>
                <w:sz w:val="20"/>
                <w:szCs w:val="20"/>
                <w:color w:val="auto"/>
              </w:rPr>
            </w:pPr>
            <w:r>
              <w:rPr>
                <w:rFonts w:ascii="Arial" w:cs="Arial" w:eastAsia="Arial" w:hAnsi="Arial"/>
                <w:sz w:val="14"/>
                <w:szCs w:val="14"/>
                <w:color w:val="auto"/>
              </w:rPr>
              <w:t>M</w:t>
            </w:r>
            <w:r>
              <w:rPr>
                <w:rFonts w:ascii="Arial" w:cs="Arial" w:eastAsia="Arial" w:hAnsi="Arial"/>
                <w:sz w:val="13"/>
                <w:szCs w:val="13"/>
                <w:color w:val="auto"/>
              </w:rPr>
              <w:t>&amp;T Bank Corporation</w:t>
            </w: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500" w:type="dxa"/>
            <w:vAlign w:val="bottom"/>
          </w:tcPr>
          <w:p>
            <w:pPr>
              <w:ind w:left="140"/>
              <w:spacing w:after="0"/>
              <w:rPr>
                <w:sz w:val="20"/>
                <w:szCs w:val="20"/>
                <w:color w:val="auto"/>
              </w:rPr>
            </w:pPr>
            <w:r>
              <w:rPr>
                <w:rFonts w:ascii="Arial" w:cs="Arial" w:eastAsia="Arial" w:hAnsi="Arial"/>
                <w:sz w:val="14"/>
                <w:szCs w:val="14"/>
                <w:color w:val="auto"/>
              </w:rPr>
              <w:t>Senior debt</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A3</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A−</w:t>
            </w:r>
          </w:p>
        </w:tc>
        <w:tc>
          <w:tcPr>
            <w:tcW w:w="480" w:type="dxa"/>
            <w:vAlign w:val="bottom"/>
          </w:tcPr>
          <w:p>
            <w:pPr>
              <w:jc w:val="right"/>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67"/>
        </w:trPr>
        <w:tc>
          <w:tcPr>
            <w:tcW w:w="7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Subordinated debt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Baa1</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BBB+</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BBB+</w:t>
            </w:r>
          </w:p>
        </w:tc>
        <w:tc>
          <w:tcPr>
            <w:tcW w:w="0" w:type="dxa"/>
            <w:vAlign w:val="bottom"/>
          </w:tcPr>
          <w:p>
            <w:pPr>
              <w:spacing w:after="0"/>
              <w:rPr>
                <w:sz w:val="1"/>
                <w:szCs w:val="1"/>
                <w:color w:val="auto"/>
              </w:rPr>
            </w:pPr>
          </w:p>
        </w:tc>
      </w:tr>
      <w:tr>
        <w:trPr>
          <w:trHeight w:val="167"/>
        </w:trPr>
        <w:tc>
          <w:tcPr>
            <w:tcW w:w="7500" w:type="dxa"/>
            <w:vAlign w:val="bottom"/>
          </w:tcPr>
          <w:p>
            <w:pPr>
              <w:spacing w:after="0"/>
              <w:rPr>
                <w:sz w:val="20"/>
                <w:szCs w:val="20"/>
                <w:color w:val="auto"/>
              </w:rPr>
            </w:pPr>
            <w:r>
              <w:rPr>
                <w:rFonts w:ascii="Arial" w:cs="Arial" w:eastAsia="Arial" w:hAnsi="Arial"/>
                <w:sz w:val="14"/>
                <w:szCs w:val="14"/>
                <w:color w:val="auto"/>
              </w:rPr>
              <w:t>M</w:t>
            </w:r>
            <w:r>
              <w:rPr>
                <w:rFonts w:ascii="Arial" w:cs="Arial" w:eastAsia="Arial" w:hAnsi="Arial"/>
                <w:sz w:val="13"/>
                <w:szCs w:val="13"/>
                <w:color w:val="auto"/>
              </w:rPr>
              <w:t>&amp;T Bank</w:t>
            </w: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7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Short-term deposits</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Prime-1</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A-1</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F1</w:t>
            </w:r>
          </w:p>
        </w:tc>
        <w:tc>
          <w:tcPr>
            <w:tcW w:w="0" w:type="dxa"/>
            <w:vAlign w:val="bottom"/>
          </w:tcPr>
          <w:p>
            <w:pPr>
              <w:spacing w:after="0"/>
              <w:rPr>
                <w:sz w:val="1"/>
                <w:szCs w:val="1"/>
                <w:color w:val="auto"/>
              </w:rPr>
            </w:pPr>
          </w:p>
        </w:tc>
      </w:tr>
      <w:tr>
        <w:trPr>
          <w:trHeight w:val="167"/>
        </w:trPr>
        <w:tc>
          <w:tcPr>
            <w:tcW w:w="7500" w:type="dxa"/>
            <w:vAlign w:val="bottom"/>
          </w:tcPr>
          <w:p>
            <w:pPr>
              <w:ind w:left="140"/>
              <w:spacing w:after="0"/>
              <w:rPr>
                <w:sz w:val="20"/>
                <w:szCs w:val="20"/>
                <w:color w:val="auto"/>
              </w:rPr>
            </w:pPr>
            <w:r>
              <w:rPr>
                <w:rFonts w:ascii="Arial" w:cs="Arial" w:eastAsia="Arial" w:hAnsi="Arial"/>
                <w:sz w:val="14"/>
                <w:szCs w:val="14"/>
                <w:color w:val="auto"/>
              </w:rPr>
              <w:t>Long-term deposits</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A2</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A</w:t>
            </w:r>
          </w:p>
        </w:tc>
        <w:tc>
          <w:tcPr>
            <w:tcW w:w="480" w:type="dxa"/>
            <w:vAlign w:val="bottom"/>
          </w:tcPr>
          <w:p>
            <w:pPr>
              <w:jc w:val="right"/>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67"/>
        </w:trPr>
        <w:tc>
          <w:tcPr>
            <w:tcW w:w="7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Senior debt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A2</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A</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82"/>
        </w:trPr>
        <w:tc>
          <w:tcPr>
            <w:tcW w:w="7500" w:type="dxa"/>
            <w:vAlign w:val="bottom"/>
          </w:tcPr>
          <w:p>
            <w:pPr>
              <w:ind w:left="140"/>
              <w:spacing w:after="0"/>
              <w:rPr>
                <w:sz w:val="20"/>
                <w:szCs w:val="20"/>
                <w:color w:val="auto"/>
              </w:rPr>
            </w:pPr>
            <w:r>
              <w:rPr>
                <w:rFonts w:ascii="Arial" w:cs="Arial" w:eastAsia="Arial" w:hAnsi="Arial"/>
                <w:sz w:val="14"/>
                <w:szCs w:val="14"/>
                <w:color w:val="auto"/>
              </w:rPr>
              <w:t>Subordinated debt</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A3</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A−</w:t>
            </w:r>
          </w:p>
        </w:tc>
        <w:tc>
          <w:tcPr>
            <w:tcW w:w="480" w:type="dxa"/>
            <w:vAlign w:val="bottom"/>
          </w:tcPr>
          <w:p>
            <w:pPr>
              <w:jc w:val="right"/>
              <w:spacing w:after="0"/>
              <w:rPr>
                <w:sz w:val="20"/>
                <w:szCs w:val="20"/>
                <w:color w:val="auto"/>
              </w:rPr>
            </w:pPr>
            <w:r>
              <w:rPr>
                <w:rFonts w:ascii="Arial" w:cs="Arial" w:eastAsia="Arial" w:hAnsi="Arial"/>
                <w:sz w:val="14"/>
                <w:szCs w:val="14"/>
                <w:color w:val="auto"/>
              </w:rPr>
              <w:t>BBB+</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680" w:right="80" w:firstLine="599"/>
        <w:spacing w:after="0" w:line="255" w:lineRule="auto"/>
        <w:rPr>
          <w:sz w:val="20"/>
          <w:szCs w:val="20"/>
          <w:color w:val="auto"/>
        </w:rPr>
      </w:pPr>
      <w:r>
        <w:rPr>
          <w:rFonts w:ascii="Arial" w:cs="Arial" w:eastAsia="Arial" w:hAnsi="Arial"/>
          <w:sz w:val="14"/>
          <w:szCs w:val="14"/>
          <w:color w:val="auto"/>
        </w:rPr>
        <w:t>Certain customers of the Company obtain financing through the issuance of variable rate demand bonds (“VRDBs”). The VRDBs are generally enhanced by direct-pay letters of credit provided by M</w:t>
      </w:r>
      <w:r>
        <w:rPr>
          <w:rFonts w:ascii="Arial" w:cs="Arial" w:eastAsia="Arial" w:hAnsi="Arial"/>
          <w:sz w:val="13"/>
          <w:szCs w:val="13"/>
          <w:color w:val="auto"/>
        </w:rPr>
        <w:t>&amp;</w:t>
      </w:r>
      <w:r>
        <w:rPr>
          <w:rFonts w:ascii="Arial" w:cs="Arial" w:eastAsia="Arial" w:hAnsi="Arial"/>
          <w:sz w:val="14"/>
          <w:szCs w:val="14"/>
          <w:color w:val="auto"/>
        </w:rPr>
        <w:t>T Bank. M</w:t>
      </w:r>
      <w:r>
        <w:rPr>
          <w:rFonts w:ascii="Arial" w:cs="Arial" w:eastAsia="Arial" w:hAnsi="Arial"/>
          <w:sz w:val="13"/>
          <w:szCs w:val="13"/>
          <w:color w:val="auto"/>
        </w:rPr>
        <w:t>&amp;</w:t>
      </w:r>
      <w:r>
        <w:rPr>
          <w:rFonts w:ascii="Arial" w:cs="Arial" w:eastAsia="Arial" w:hAnsi="Arial"/>
          <w:sz w:val="14"/>
          <w:szCs w:val="14"/>
          <w:color w:val="auto"/>
        </w:rPr>
        <w:t>T Bank oftentimes acts as remarketing agent for the VRDBs and, at its discretion, may from time-to-time own some of the VRDBs while such instruments are remarketed. When this occurs, the VRDBs are classified as trading assets in the Company’s consolidated balance sheet. Nevertheless, M</w:t>
      </w:r>
      <w:r>
        <w:rPr>
          <w:rFonts w:ascii="Arial" w:cs="Arial" w:eastAsia="Arial" w:hAnsi="Arial"/>
          <w:sz w:val="13"/>
          <w:szCs w:val="13"/>
          <w:color w:val="auto"/>
        </w:rPr>
        <w:t>&amp;</w:t>
      </w:r>
      <w:r>
        <w:rPr>
          <w:rFonts w:ascii="Arial" w:cs="Arial" w:eastAsia="Arial" w:hAnsi="Arial"/>
          <w:sz w:val="14"/>
          <w:szCs w:val="14"/>
          <w:color w:val="auto"/>
        </w:rPr>
        <w:t>T Bank is not contractually obligated to purchase the VRDBs. The value of VRDBs in the Company’s trading account totaled $6 million and $58 million at December 31, 2006 and 2005, respectively. At both December 31, 2006 and 2005, the VRDBs outstanding backed by M</w:t>
      </w:r>
      <w:r>
        <w:rPr>
          <w:rFonts w:ascii="Arial" w:cs="Arial" w:eastAsia="Arial" w:hAnsi="Arial"/>
          <w:sz w:val="13"/>
          <w:szCs w:val="13"/>
          <w:color w:val="auto"/>
        </w:rPr>
        <w:t>&amp;</w:t>
      </w:r>
      <w:r>
        <w:rPr>
          <w:rFonts w:ascii="Arial" w:cs="Arial" w:eastAsia="Arial" w:hAnsi="Arial"/>
          <w:sz w:val="14"/>
          <w:szCs w:val="14"/>
          <w:color w:val="auto"/>
        </w:rPr>
        <w:t>T Bank letters of credit totaled $1.7 billion. M</w:t>
      </w:r>
      <w:r>
        <w:rPr>
          <w:rFonts w:ascii="Arial" w:cs="Arial" w:eastAsia="Arial" w:hAnsi="Arial"/>
          <w:sz w:val="13"/>
          <w:szCs w:val="13"/>
          <w:color w:val="auto"/>
        </w:rPr>
        <w:t>&amp;</w:t>
      </w:r>
      <w:r>
        <w:rPr>
          <w:rFonts w:ascii="Arial" w:cs="Arial" w:eastAsia="Arial" w:hAnsi="Arial"/>
          <w:sz w:val="14"/>
          <w:szCs w:val="14"/>
          <w:color w:val="auto"/>
        </w:rPr>
        <w:t>T Bank also serves as remarketing agent for most of those bonds.</w:t>
      </w:r>
    </w:p>
    <w:p>
      <w:pPr>
        <w:spacing w:after="0" w:line="139"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14</w:t>
      </w:r>
    </w:p>
    <w:p>
      <w:pPr>
        <w:spacing w:after="0" w:line="252" w:lineRule="exact"/>
        <w:rPr>
          <w:sz w:val="20"/>
          <w:szCs w:val="20"/>
          <w:color w:val="auto"/>
        </w:rPr>
      </w:pPr>
    </w:p>
    <w:p>
      <w:pPr>
        <w:ind w:left="3860"/>
        <w:spacing w:after="0"/>
        <w:rPr>
          <w:sz w:val="20"/>
          <w:szCs w:val="20"/>
          <w:color w:val="auto"/>
        </w:rPr>
      </w:pPr>
      <w:r>
        <w:rPr>
          <w:rFonts w:ascii="Arial" w:cs="Arial" w:eastAsia="Arial" w:hAnsi="Arial"/>
          <w:sz w:val="14"/>
          <w:szCs w:val="14"/>
          <w:b w:val="1"/>
          <w:bCs w:val="1"/>
          <w:color w:val="auto"/>
        </w:rPr>
        <w:t>MATURITY DISTRIBUTION OF SELECTED LOANS(a)</w:t>
      </w:r>
    </w:p>
    <w:p>
      <w:pPr>
        <w:spacing w:after="0" w:line="104"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5700" w:type="dxa"/>
            <w:vAlign w:val="bottom"/>
            <w:gridSpan w:val="2"/>
          </w:tcPr>
          <w:p>
            <w:pPr>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ecember 31, 2006</w:t>
            </w:r>
          </w:p>
        </w:tc>
        <w:tc>
          <w:tcPr>
            <w:tcW w:w="160" w:type="dxa"/>
            <w:vAlign w:val="bottom"/>
          </w:tcPr>
          <w:p>
            <w:pPr>
              <w:spacing w:after="0"/>
              <w:rPr>
                <w:sz w:val="11"/>
                <w:szCs w:val="11"/>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rPr>
              <w:t>Demand</w:t>
            </w:r>
          </w:p>
        </w:tc>
        <w:tc>
          <w:tcPr>
            <w:tcW w:w="140" w:type="dxa"/>
            <w:vAlign w:val="bottom"/>
          </w:tcPr>
          <w:p>
            <w:pPr>
              <w:spacing w:after="0"/>
              <w:rPr>
                <w:sz w:val="11"/>
                <w:szCs w:val="11"/>
                <w:color w:val="auto"/>
              </w:rPr>
            </w:pPr>
          </w:p>
        </w:tc>
        <w:tc>
          <w:tcPr>
            <w:tcW w:w="660" w:type="dxa"/>
            <w:vAlign w:val="bottom"/>
          </w:tcPr>
          <w:p>
            <w:pPr>
              <w:jc w:val="right"/>
              <w:ind w:right="236"/>
              <w:spacing w:after="0"/>
              <w:rPr>
                <w:sz w:val="20"/>
                <w:szCs w:val="20"/>
                <w:color w:val="auto"/>
              </w:rPr>
            </w:pPr>
            <w:r>
              <w:rPr>
                <w:rFonts w:ascii="Arial" w:cs="Arial" w:eastAsia="Arial" w:hAnsi="Arial"/>
                <w:sz w:val="10"/>
                <w:szCs w:val="10"/>
                <w:b w:val="1"/>
                <w:bCs w:val="1"/>
                <w:color w:val="auto"/>
              </w:rPr>
              <w:t>2007</w:t>
            </w:r>
          </w:p>
        </w:tc>
        <w:tc>
          <w:tcPr>
            <w:tcW w:w="380" w:type="dxa"/>
            <w:vAlign w:val="bottom"/>
            <w:vMerge w:val="restart"/>
          </w:tcPr>
          <w:p>
            <w:pPr>
              <w:spacing w:after="0"/>
              <w:rPr>
                <w:sz w:val="20"/>
                <w:szCs w:val="20"/>
                <w:color w:val="auto"/>
              </w:rPr>
            </w:pPr>
            <w:r>
              <w:rPr>
                <w:rFonts w:ascii="Arial" w:cs="Arial" w:eastAsia="Arial" w:hAnsi="Arial"/>
                <w:sz w:val="9"/>
                <w:szCs w:val="9"/>
                <w:b w:val="1"/>
                <w:bCs w:val="1"/>
                <w:color w:val="auto"/>
                <w:w w:val="74"/>
              </w:rPr>
              <w:t>thousands)</w:t>
            </w:r>
          </w:p>
        </w:tc>
        <w:tc>
          <w:tcPr>
            <w:tcW w:w="140" w:type="dxa"/>
            <w:vAlign w:val="bottom"/>
          </w:tcPr>
          <w:p>
            <w:pPr>
              <w:spacing w:after="0"/>
              <w:rPr>
                <w:sz w:val="11"/>
                <w:szCs w:val="11"/>
                <w:color w:val="auto"/>
              </w:rPr>
            </w:pPr>
          </w:p>
        </w:tc>
        <w:tc>
          <w:tcPr>
            <w:tcW w:w="660" w:type="dxa"/>
            <w:vAlign w:val="bottom"/>
          </w:tcPr>
          <w:p>
            <w:pPr>
              <w:jc w:val="right"/>
              <w:ind w:right="111"/>
              <w:spacing w:after="0"/>
              <w:rPr>
                <w:sz w:val="20"/>
                <w:szCs w:val="20"/>
                <w:color w:val="auto"/>
              </w:rPr>
            </w:pPr>
            <w:r>
              <w:rPr>
                <w:rFonts w:ascii="Arial" w:cs="Arial" w:eastAsia="Arial" w:hAnsi="Arial"/>
                <w:sz w:val="10"/>
                <w:szCs w:val="10"/>
                <w:b w:val="1"/>
                <w:bCs w:val="1"/>
                <w:color w:val="auto"/>
                <w:w w:val="96"/>
              </w:rPr>
              <w:t>2008-2011</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After 2011</w:t>
            </w: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56"/>
              <w:spacing w:after="0"/>
              <w:rPr>
                <w:sz w:val="20"/>
                <w:szCs w:val="20"/>
                <w:color w:val="auto"/>
              </w:rPr>
            </w:pPr>
            <w:r>
              <w:rPr>
                <w:rFonts w:ascii="Arial" w:cs="Arial" w:eastAsia="Arial" w:hAnsi="Arial"/>
                <w:sz w:val="10"/>
                <w:szCs w:val="10"/>
                <w:b w:val="1"/>
                <w:bCs w:val="1"/>
                <w:color w:val="auto"/>
              </w:rPr>
              <w:t>(In</w:t>
            </w:r>
          </w:p>
        </w:tc>
        <w:tc>
          <w:tcPr>
            <w:tcW w:w="380" w:type="dxa"/>
            <w:vAlign w:val="bottom"/>
            <w:vMerge w:val="continue"/>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 financial, agricultural, etc</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5,040,099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333"/>
              <w:spacing w:after="0"/>
              <w:rPr>
                <w:sz w:val="20"/>
                <w:szCs w:val="20"/>
                <w:color w:val="auto"/>
              </w:rPr>
            </w:pPr>
            <w:r>
              <w:rPr>
                <w:rFonts w:ascii="Arial" w:cs="Arial" w:eastAsia="Arial" w:hAnsi="Arial"/>
                <w:sz w:val="14"/>
                <w:szCs w:val="14"/>
                <w:color w:val="auto"/>
              </w:rPr>
              <w:t>1,132,361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3,610,454</w:t>
            </w:r>
          </w:p>
        </w:tc>
        <w:tc>
          <w:tcPr>
            <w:tcW w:w="3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9"/>
              </w:rPr>
              <w:t>$ 615,443</w:t>
            </w:r>
          </w:p>
        </w:tc>
        <w:tc>
          <w:tcPr>
            <w:tcW w:w="0" w:type="dxa"/>
            <w:vAlign w:val="bottom"/>
          </w:tcPr>
          <w:p>
            <w:pPr>
              <w:spacing w:after="0"/>
              <w:rPr>
                <w:sz w:val="1"/>
                <w:szCs w:val="1"/>
                <w:color w:val="auto"/>
              </w:rPr>
            </w:pPr>
          </w:p>
        </w:tc>
      </w:tr>
      <w:tr>
        <w:trPr>
          <w:trHeight w:val="167"/>
        </w:trPr>
        <w:tc>
          <w:tcPr>
            <w:tcW w:w="5700" w:type="dxa"/>
            <w:vAlign w:val="bottom"/>
            <w:gridSpan w:val="2"/>
          </w:tcPr>
          <w:p>
            <w:pPr>
              <w:spacing w:after="0"/>
              <w:rPr>
                <w:sz w:val="20"/>
                <w:szCs w:val="20"/>
                <w:color w:val="auto"/>
              </w:rPr>
            </w:pPr>
            <w:r>
              <w:rPr>
                <w:rFonts w:ascii="Arial" w:cs="Arial" w:eastAsia="Arial" w:hAnsi="Arial"/>
                <w:sz w:val="14"/>
                <w:szCs w:val="14"/>
                <w:color w:val="auto"/>
              </w:rPr>
              <w:t>Real estate — construction</w:t>
            </w:r>
          </w:p>
        </w:tc>
        <w:tc>
          <w:tcPr>
            <w:tcW w:w="16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color w:val="auto"/>
              </w:rPr>
              <w:t>565,845</w:t>
            </w:r>
          </w:p>
        </w:tc>
        <w:tc>
          <w:tcPr>
            <w:tcW w:w="140" w:type="dxa"/>
            <w:vAlign w:val="bottom"/>
          </w:tcPr>
          <w:p>
            <w:pPr>
              <w:spacing w:after="0"/>
              <w:rPr>
                <w:sz w:val="14"/>
                <w:szCs w:val="14"/>
                <w:color w:val="auto"/>
              </w:rPr>
            </w:pPr>
          </w:p>
        </w:tc>
        <w:tc>
          <w:tcPr>
            <w:tcW w:w="1040" w:type="dxa"/>
            <w:vAlign w:val="bottom"/>
            <w:gridSpan w:val="2"/>
          </w:tcPr>
          <w:p>
            <w:pPr>
              <w:jc w:val="right"/>
              <w:ind w:right="333"/>
              <w:spacing w:after="0"/>
              <w:rPr>
                <w:sz w:val="20"/>
                <w:szCs w:val="20"/>
                <w:color w:val="auto"/>
              </w:rPr>
            </w:pPr>
            <w:r>
              <w:rPr>
                <w:rFonts w:ascii="Arial" w:cs="Arial" w:eastAsia="Arial" w:hAnsi="Arial"/>
                <w:sz w:val="14"/>
                <w:szCs w:val="14"/>
                <w:color w:val="auto"/>
              </w:rPr>
              <w:t>1,623,072</w:t>
            </w:r>
          </w:p>
        </w:tc>
        <w:tc>
          <w:tcPr>
            <w:tcW w:w="14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1,170,550</w:t>
            </w:r>
          </w:p>
        </w:tc>
        <w:tc>
          <w:tcPr>
            <w:tcW w:w="38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74,995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7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5,605,944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333"/>
              <w:spacing w:after="0"/>
              <w:rPr>
                <w:sz w:val="20"/>
                <w:szCs w:val="20"/>
                <w:color w:val="auto"/>
              </w:rPr>
            </w:pPr>
            <w:r>
              <w:rPr>
                <w:rFonts w:ascii="Arial" w:cs="Arial" w:eastAsia="Arial" w:hAnsi="Arial"/>
                <w:sz w:val="14"/>
                <w:szCs w:val="14"/>
                <w:color w:val="auto"/>
              </w:rPr>
              <w:t>2,755,433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4,781,004</w:t>
            </w:r>
          </w:p>
        </w:tc>
        <w:tc>
          <w:tcPr>
            <w:tcW w:w="3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9"/>
              </w:rPr>
              <w:t>$ 690,438</w:t>
            </w:r>
          </w:p>
        </w:tc>
        <w:tc>
          <w:tcPr>
            <w:tcW w:w="0" w:type="dxa"/>
            <w:vAlign w:val="bottom"/>
          </w:tcPr>
          <w:p>
            <w:pPr>
              <w:spacing w:after="0"/>
              <w:rPr>
                <w:sz w:val="1"/>
                <w:szCs w:val="1"/>
                <w:color w:val="auto"/>
              </w:rPr>
            </w:pPr>
          </w:p>
        </w:tc>
      </w:tr>
      <w:tr>
        <w:trPr>
          <w:trHeight w:val="177"/>
        </w:trPr>
        <w:tc>
          <w:tcPr>
            <w:tcW w:w="5700" w:type="dxa"/>
            <w:vAlign w:val="bottom"/>
            <w:gridSpan w:val="2"/>
          </w:tcPr>
          <w:p>
            <w:pPr>
              <w:spacing w:after="0"/>
              <w:rPr>
                <w:sz w:val="20"/>
                <w:szCs w:val="20"/>
                <w:color w:val="auto"/>
              </w:rPr>
            </w:pPr>
            <w:r>
              <w:rPr>
                <w:rFonts w:ascii="Arial" w:cs="Arial" w:eastAsia="Arial" w:hAnsi="Arial"/>
                <w:sz w:val="14"/>
                <w:szCs w:val="14"/>
                <w:color w:val="auto"/>
              </w:rPr>
              <w:t>Floating or adjustable interest rates</w:t>
            </w: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3,855,531</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$ 478,330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Fixed or predetermined interest rates</w:t>
            </w: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925,473</w:t>
            </w:r>
          </w:p>
        </w:tc>
        <w:tc>
          <w:tcPr>
            <w:tcW w:w="3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212,108</w:t>
            </w:r>
          </w:p>
        </w:tc>
        <w:tc>
          <w:tcPr>
            <w:tcW w:w="0" w:type="dxa"/>
            <w:vAlign w:val="bottom"/>
          </w:tcPr>
          <w:p>
            <w:pPr>
              <w:spacing w:after="0"/>
              <w:rPr>
                <w:sz w:val="1"/>
                <w:szCs w:val="1"/>
                <w:color w:val="auto"/>
              </w:rPr>
            </w:pPr>
          </w:p>
        </w:tc>
      </w:tr>
      <w:tr>
        <w:trPr>
          <w:trHeight w:val="176"/>
        </w:trPr>
        <w:tc>
          <w:tcPr>
            <w:tcW w:w="5700" w:type="dxa"/>
            <w:vAlign w:val="bottom"/>
            <w:gridSpan w:val="2"/>
          </w:tcPr>
          <w:p>
            <w:pPr>
              <w:ind w:left="140"/>
              <w:spacing w:after="0"/>
              <w:rPr>
                <w:sz w:val="20"/>
                <w:szCs w:val="20"/>
                <w:color w:val="auto"/>
              </w:rPr>
            </w:pPr>
            <w:r>
              <w:rPr>
                <w:rFonts w:ascii="Arial" w:cs="Arial" w:eastAsia="Arial" w:hAnsi="Arial"/>
                <w:sz w:val="14"/>
                <w:szCs w:val="14"/>
                <w:color w:val="auto"/>
              </w:rPr>
              <w:t>Total</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4,781,004</w:t>
            </w:r>
          </w:p>
        </w:tc>
        <w:tc>
          <w:tcPr>
            <w:tcW w:w="2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3"/>
              </w:rPr>
              <w:t>$ 690,438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40"/>
        <w:spacing w:after="0"/>
        <w:rPr>
          <w:sz w:val="20"/>
          <w:szCs w:val="20"/>
          <w:color w:val="auto"/>
        </w:rPr>
      </w:pPr>
      <w:r>
        <w:rPr>
          <w:rFonts w:ascii="Arial" w:cs="Arial" w:eastAsia="Arial" w:hAnsi="Arial"/>
          <w:sz w:val="13"/>
          <w:szCs w:val="13"/>
          <w:i w:val="1"/>
          <w:iCs w:val="1"/>
          <w:color w:val="auto"/>
        </w:rPr>
        <w:t>(a)  The data do not include nonaccrual loans.</w:t>
      </w:r>
    </w:p>
    <w:p>
      <w:pPr>
        <w:spacing w:after="0" w:line="92" w:lineRule="exact"/>
        <w:rPr>
          <w:sz w:val="20"/>
          <w:szCs w:val="20"/>
          <w:color w:val="auto"/>
        </w:rPr>
      </w:pPr>
    </w:p>
    <w:p>
      <w:pPr>
        <w:ind w:left="680" w:right="80" w:firstLine="599"/>
        <w:spacing w:after="0" w:line="255" w:lineRule="auto"/>
        <w:rPr>
          <w:sz w:val="20"/>
          <w:szCs w:val="20"/>
          <w:color w:val="auto"/>
        </w:rPr>
      </w:pPr>
      <w:r>
        <w:rPr>
          <w:rFonts w:ascii="Arial" w:cs="Arial" w:eastAsia="Arial" w:hAnsi="Arial"/>
          <w:sz w:val="14"/>
          <w:szCs w:val="14"/>
          <w:color w:val="auto"/>
        </w:rPr>
        <w:t>In the normal course of business, the Company enters into contractual obligations which require future cash payments. The contractual amounts and timing of those payments as of December 31, 2006 are summarized in table 15. Off-balance sheet commitments to customers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discussion of these commitments is provided in note 20 of Notes to Financial Statements. Table 15 summarizes the Company’s other commitments as of December 31, 2006 and the timing of the expiration of such commitments.</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15</w:t>
      </w:r>
    </w:p>
    <w:p>
      <w:pPr>
        <w:spacing w:after="0" w:line="252" w:lineRule="exact"/>
        <w:rPr>
          <w:sz w:val="20"/>
          <w:szCs w:val="20"/>
          <w:color w:val="auto"/>
        </w:rPr>
      </w:pPr>
    </w:p>
    <w:p>
      <w:pPr>
        <w:ind w:left="3540"/>
        <w:spacing w:after="0"/>
        <w:rPr>
          <w:sz w:val="20"/>
          <w:szCs w:val="20"/>
          <w:color w:val="auto"/>
        </w:rPr>
      </w:pPr>
      <w:r>
        <w:rPr>
          <w:rFonts w:ascii="Arial" w:cs="Arial" w:eastAsia="Arial" w:hAnsi="Arial"/>
          <w:sz w:val="14"/>
          <w:szCs w:val="14"/>
          <w:b w:val="1"/>
          <w:bCs w:val="1"/>
          <w:color w:val="auto"/>
        </w:rPr>
        <w:t>CONTRACTUAL OBLIGATIONS AND OTHER COMMITMENTS</w:t>
      </w:r>
    </w:p>
    <w:p>
      <w:pPr>
        <w:spacing w:after="0" w:line="104"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4100" w:type="dxa"/>
            <w:vAlign w:val="bottom"/>
            <w:vMerge w:val="restart"/>
          </w:tcPr>
          <w:p>
            <w:pPr>
              <w:spacing w:after="0"/>
              <w:rPr>
                <w:sz w:val="20"/>
                <w:szCs w:val="20"/>
                <w:color w:val="auto"/>
              </w:rPr>
            </w:pPr>
            <w:r>
              <w:rPr>
                <w:rFonts w:ascii="Arial" w:cs="Arial" w:eastAsia="Arial" w:hAnsi="Arial"/>
                <w:sz w:val="10"/>
                <w:szCs w:val="10"/>
                <w:b w:val="1"/>
                <w:bCs w:val="1"/>
                <w:color w:val="auto"/>
              </w:rPr>
              <w:t>December 31, 2006</w:t>
            </w:r>
          </w:p>
        </w:tc>
        <w:tc>
          <w:tcPr>
            <w:tcW w:w="100" w:type="dxa"/>
            <w:vAlign w:val="bottom"/>
          </w:tcPr>
          <w:p>
            <w:pPr>
              <w:spacing w:after="0"/>
              <w:rPr>
                <w:sz w:val="10"/>
                <w:szCs w:val="10"/>
                <w:color w:val="auto"/>
              </w:rPr>
            </w:pPr>
          </w:p>
        </w:tc>
        <w:tc>
          <w:tcPr>
            <w:tcW w:w="1220" w:type="dxa"/>
            <w:vAlign w:val="bottom"/>
            <w:gridSpan w:val="3"/>
          </w:tcPr>
          <w:p>
            <w:pPr>
              <w:ind w:left="20"/>
              <w:spacing w:after="0"/>
              <w:rPr>
                <w:sz w:val="20"/>
                <w:szCs w:val="20"/>
                <w:color w:val="auto"/>
              </w:rPr>
            </w:pPr>
            <w:r>
              <w:rPr>
                <w:rFonts w:ascii="Arial" w:cs="Arial" w:eastAsia="Arial" w:hAnsi="Arial"/>
                <w:sz w:val="10"/>
                <w:szCs w:val="10"/>
                <w:b w:val="1"/>
                <w:bCs w:val="1"/>
                <w:color w:val="auto"/>
              </w:rPr>
              <w:t>Less Than One</w:t>
            </w:r>
          </w:p>
        </w:tc>
        <w:tc>
          <w:tcPr>
            <w:tcW w:w="100" w:type="dxa"/>
            <w:vAlign w:val="bottom"/>
          </w:tcPr>
          <w:p>
            <w:pPr>
              <w:spacing w:after="0"/>
              <w:rPr>
                <w:sz w:val="10"/>
                <w:szCs w:val="1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w w:val="93"/>
              </w:rPr>
              <w:t>One to Three</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w w:val="96"/>
              </w:rPr>
              <w:t>Three to Five</w:t>
            </w:r>
          </w:p>
        </w:tc>
        <w:tc>
          <w:tcPr>
            <w:tcW w:w="120" w:type="dxa"/>
            <w:vAlign w:val="bottom"/>
          </w:tcPr>
          <w:p>
            <w:pPr>
              <w:spacing w:after="0"/>
              <w:rPr>
                <w:sz w:val="10"/>
                <w:szCs w:val="10"/>
                <w:color w:val="auto"/>
              </w:rPr>
            </w:pPr>
          </w:p>
        </w:tc>
        <w:tc>
          <w:tcPr>
            <w:tcW w:w="1080" w:type="dxa"/>
            <w:vAlign w:val="bottom"/>
            <w:gridSpan w:val="2"/>
          </w:tcPr>
          <w:p>
            <w:pPr>
              <w:ind w:left="60"/>
              <w:spacing w:after="0"/>
              <w:rPr>
                <w:sz w:val="20"/>
                <w:szCs w:val="20"/>
                <w:color w:val="auto"/>
              </w:rPr>
            </w:pPr>
            <w:r>
              <w:rPr>
                <w:rFonts w:ascii="Arial" w:cs="Arial" w:eastAsia="Arial" w:hAnsi="Arial"/>
                <w:sz w:val="10"/>
                <w:szCs w:val="10"/>
                <w:b w:val="1"/>
                <w:bCs w:val="1"/>
                <w:color w:val="auto"/>
              </w:rPr>
              <w:t>Over Five</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100" w:type="dxa"/>
            <w:vAlign w:val="bottom"/>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0"/>
                <w:szCs w:val="10"/>
                <w:b w:val="1"/>
                <w:bCs w:val="1"/>
                <w:color w:val="auto"/>
              </w:rPr>
              <w:t>Year</w:t>
            </w:r>
          </w:p>
        </w:tc>
        <w:tc>
          <w:tcPr>
            <w:tcW w:w="400" w:type="dxa"/>
            <w:vAlign w:val="bottom"/>
            <w:gridSpan w:val="2"/>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b w:val="1"/>
                <w:bCs w:val="1"/>
                <w:color w:val="auto"/>
              </w:rPr>
              <w:t>Years</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b w:val="1"/>
                <w:bCs w:val="1"/>
                <w:color w:val="auto"/>
              </w:rPr>
              <w:t>Years</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10"/>
              <w:spacing w:after="0"/>
              <w:rPr>
                <w:sz w:val="20"/>
                <w:szCs w:val="20"/>
                <w:color w:val="auto"/>
              </w:rPr>
            </w:pPr>
            <w:r>
              <w:rPr>
                <w:rFonts w:ascii="Arial" w:cs="Arial" w:eastAsia="Arial" w:hAnsi="Arial"/>
                <w:sz w:val="10"/>
                <w:szCs w:val="10"/>
                <w:b w:val="1"/>
                <w:bCs w:val="1"/>
                <w:color w:val="auto"/>
              </w:rPr>
              <w:t>Years</w:t>
            </w:r>
          </w:p>
        </w:tc>
        <w:tc>
          <w:tcPr>
            <w:tcW w:w="4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3"/>
          </w:tcPr>
          <w:p>
            <w:pPr>
              <w:jc w:val="right"/>
              <w:spacing w:after="0"/>
              <w:rPr>
                <w:sz w:val="20"/>
                <w:szCs w:val="20"/>
                <w:color w:val="auto"/>
              </w:rPr>
            </w:pPr>
            <w:r>
              <w:rPr>
                <w:rFonts w:ascii="Arial" w:cs="Arial" w:eastAsia="Arial" w:hAnsi="Arial"/>
                <w:sz w:val="10"/>
                <w:szCs w:val="10"/>
                <w:b w:val="1"/>
                <w:bCs w:val="1"/>
                <w:color w:val="auto"/>
                <w:w w:val="96"/>
              </w:rPr>
              <w:t>(Dollars in thousands)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100" w:type="dxa"/>
            <w:vAlign w:val="bottom"/>
            <w:shd w:val="clear" w:color="auto" w:fill="CCEEFF"/>
          </w:tcPr>
          <w:p>
            <w:pPr>
              <w:spacing w:after="0"/>
              <w:rPr>
                <w:sz w:val="20"/>
                <w:szCs w:val="20"/>
                <w:color w:val="auto"/>
              </w:rPr>
            </w:pPr>
            <w:r>
              <w:rPr>
                <w:rFonts w:ascii="Arial" w:cs="Arial" w:eastAsia="Arial" w:hAnsi="Arial"/>
                <w:sz w:val="14"/>
                <w:szCs w:val="14"/>
                <w:color w:val="auto"/>
              </w:rPr>
              <w:t>Payments due for contractual obligations</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100" w:type="dxa"/>
            <w:vAlign w:val="bottom"/>
          </w:tcPr>
          <w:p>
            <w:pPr>
              <w:ind w:left="140"/>
              <w:spacing w:after="0"/>
              <w:rPr>
                <w:sz w:val="20"/>
                <w:szCs w:val="20"/>
                <w:color w:val="auto"/>
              </w:rPr>
            </w:pPr>
            <w:r>
              <w:rPr>
                <w:rFonts w:ascii="Arial" w:cs="Arial" w:eastAsia="Arial" w:hAnsi="Arial"/>
                <w:sz w:val="14"/>
                <w:szCs w:val="14"/>
                <w:color w:val="auto"/>
              </w:rPr>
              <w:t>Time deposits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9,426,681</w:t>
            </w:r>
          </w:p>
        </w:tc>
        <w:tc>
          <w:tcPr>
            <w:tcW w:w="3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1,642,369</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4"/>
                <w:szCs w:val="14"/>
                <w:color w:val="auto"/>
              </w:rPr>
              <w:t>331,423</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90,156</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11,490,629</w:t>
            </w:r>
          </w:p>
        </w:tc>
        <w:tc>
          <w:tcPr>
            <w:tcW w:w="0" w:type="dxa"/>
            <w:vAlign w:val="bottom"/>
          </w:tcPr>
          <w:p>
            <w:pPr>
              <w:spacing w:after="0"/>
              <w:rPr>
                <w:sz w:val="1"/>
                <w:szCs w:val="1"/>
                <w:color w:val="auto"/>
              </w:rPr>
            </w:pPr>
          </w:p>
        </w:tc>
      </w:tr>
      <w:tr>
        <w:trPr>
          <w:trHeight w:val="167"/>
        </w:trPr>
        <w:tc>
          <w:tcPr>
            <w:tcW w:w="4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Deposits at foreign office</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5,429,668</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5,429,668</w:t>
            </w:r>
          </w:p>
        </w:tc>
        <w:tc>
          <w:tcPr>
            <w:tcW w:w="0" w:type="dxa"/>
            <w:vAlign w:val="bottom"/>
          </w:tcPr>
          <w:p>
            <w:pPr>
              <w:spacing w:after="0"/>
              <w:rPr>
                <w:sz w:val="1"/>
                <w:szCs w:val="1"/>
                <w:color w:val="auto"/>
              </w:rPr>
            </w:pPr>
          </w:p>
        </w:tc>
      </w:tr>
      <w:tr>
        <w:trPr>
          <w:trHeight w:val="167"/>
        </w:trPr>
        <w:tc>
          <w:tcPr>
            <w:tcW w:w="4100" w:type="dxa"/>
            <w:vAlign w:val="bottom"/>
          </w:tcPr>
          <w:p>
            <w:pPr>
              <w:ind w:left="140"/>
              <w:spacing w:after="0"/>
              <w:rPr>
                <w:sz w:val="20"/>
                <w:szCs w:val="20"/>
                <w:color w:val="auto"/>
              </w:rPr>
            </w:pPr>
            <w:r>
              <w:rPr>
                <w:rFonts w:ascii="Arial" w:cs="Arial" w:eastAsia="Arial" w:hAnsi="Arial"/>
                <w:sz w:val="14"/>
                <w:szCs w:val="14"/>
                <w:color w:val="auto"/>
                <w:w w:val="95"/>
              </w:rPr>
              <w:t>Federal funds purchased and agreements to repurchase securities</w:t>
            </w:r>
          </w:p>
        </w:tc>
        <w:tc>
          <w:tcPr>
            <w:tcW w:w="10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2,531,684</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2,531,684</w:t>
            </w:r>
          </w:p>
        </w:tc>
        <w:tc>
          <w:tcPr>
            <w:tcW w:w="0" w:type="dxa"/>
            <w:vAlign w:val="bottom"/>
          </w:tcPr>
          <w:p>
            <w:pPr>
              <w:spacing w:after="0"/>
              <w:rPr>
                <w:sz w:val="1"/>
                <w:szCs w:val="1"/>
                <w:color w:val="auto"/>
              </w:rPr>
            </w:pPr>
          </w:p>
        </w:tc>
      </w:tr>
      <w:tr>
        <w:trPr>
          <w:trHeight w:val="167"/>
        </w:trPr>
        <w:tc>
          <w:tcPr>
            <w:tcW w:w="4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short-term borrowings</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562,530</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562,530</w:t>
            </w:r>
          </w:p>
        </w:tc>
        <w:tc>
          <w:tcPr>
            <w:tcW w:w="0" w:type="dxa"/>
            <w:vAlign w:val="bottom"/>
          </w:tcPr>
          <w:p>
            <w:pPr>
              <w:spacing w:after="0"/>
              <w:rPr>
                <w:sz w:val="1"/>
                <w:szCs w:val="1"/>
                <w:color w:val="auto"/>
              </w:rPr>
            </w:pPr>
          </w:p>
        </w:tc>
      </w:tr>
      <w:tr>
        <w:trPr>
          <w:trHeight w:val="167"/>
        </w:trPr>
        <w:tc>
          <w:tcPr>
            <w:tcW w:w="4100" w:type="dxa"/>
            <w:vAlign w:val="bottom"/>
          </w:tcPr>
          <w:p>
            <w:pPr>
              <w:ind w:left="140"/>
              <w:spacing w:after="0"/>
              <w:rPr>
                <w:sz w:val="20"/>
                <w:szCs w:val="20"/>
                <w:color w:val="auto"/>
              </w:rPr>
            </w:pPr>
            <w:r>
              <w:rPr>
                <w:rFonts w:ascii="Arial" w:cs="Arial" w:eastAsia="Arial" w:hAnsi="Arial"/>
                <w:sz w:val="14"/>
                <w:szCs w:val="14"/>
                <w:color w:val="auto"/>
              </w:rPr>
              <w:t>Long-term borrowings</w:t>
            </w:r>
          </w:p>
        </w:tc>
        <w:tc>
          <w:tcPr>
            <w:tcW w:w="10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518,543</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2,806,147</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color w:val="auto"/>
              </w:rPr>
              <w:t>532,807</w:t>
            </w:r>
          </w:p>
        </w:tc>
        <w:tc>
          <w:tcPr>
            <w:tcW w:w="12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3,033,244</w:t>
            </w: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6,890,741</w:t>
            </w:r>
          </w:p>
        </w:tc>
        <w:tc>
          <w:tcPr>
            <w:tcW w:w="0" w:type="dxa"/>
            <w:vAlign w:val="bottom"/>
          </w:tcPr>
          <w:p>
            <w:pPr>
              <w:spacing w:after="0"/>
              <w:rPr>
                <w:sz w:val="1"/>
                <w:szCs w:val="1"/>
                <w:color w:val="auto"/>
              </w:rPr>
            </w:pPr>
          </w:p>
        </w:tc>
      </w:tr>
      <w:tr>
        <w:trPr>
          <w:trHeight w:val="167"/>
        </w:trPr>
        <w:tc>
          <w:tcPr>
            <w:tcW w:w="4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Operating leases</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43,931</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74,784</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48,829</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66,757</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234,301</w:t>
            </w:r>
          </w:p>
        </w:tc>
        <w:tc>
          <w:tcPr>
            <w:tcW w:w="0" w:type="dxa"/>
            <w:vAlign w:val="bottom"/>
          </w:tcPr>
          <w:p>
            <w:pPr>
              <w:spacing w:after="0"/>
              <w:rPr>
                <w:sz w:val="1"/>
                <w:szCs w:val="1"/>
                <w:color w:val="auto"/>
              </w:rPr>
            </w:pPr>
          </w:p>
        </w:tc>
      </w:tr>
      <w:tr>
        <w:trPr>
          <w:trHeight w:val="167"/>
        </w:trPr>
        <w:tc>
          <w:tcPr>
            <w:tcW w:w="4100" w:type="dxa"/>
            <w:vAlign w:val="bottom"/>
          </w:tcPr>
          <w:p>
            <w:pPr>
              <w:ind w:left="140"/>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18,968</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19,131</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color w:val="auto"/>
              </w:rPr>
              <w:t>11,139</w:t>
            </w:r>
          </w:p>
        </w:tc>
        <w:tc>
          <w:tcPr>
            <w:tcW w:w="12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34,328</w:t>
            </w: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83,566</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18,532,005</w:t>
            </w: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4,542,431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924,198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3,224,485</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27,223,119</w:t>
            </w:r>
          </w:p>
        </w:tc>
        <w:tc>
          <w:tcPr>
            <w:tcW w:w="0" w:type="dxa"/>
            <w:vAlign w:val="bottom"/>
          </w:tcPr>
          <w:p>
            <w:pPr>
              <w:spacing w:after="0"/>
              <w:rPr>
                <w:sz w:val="1"/>
                <w:szCs w:val="1"/>
                <w:color w:val="auto"/>
              </w:rPr>
            </w:pPr>
          </w:p>
        </w:tc>
      </w:tr>
      <w:tr>
        <w:trPr>
          <w:trHeight w:val="177"/>
        </w:trPr>
        <w:tc>
          <w:tcPr>
            <w:tcW w:w="4100" w:type="dxa"/>
            <w:vAlign w:val="bottom"/>
          </w:tcPr>
          <w:p>
            <w:pPr>
              <w:spacing w:after="0"/>
              <w:rPr>
                <w:sz w:val="20"/>
                <w:szCs w:val="20"/>
                <w:color w:val="auto"/>
              </w:rPr>
            </w:pPr>
            <w:r>
              <w:rPr>
                <w:rFonts w:ascii="Arial" w:cs="Arial" w:eastAsia="Arial" w:hAnsi="Arial"/>
                <w:sz w:val="14"/>
                <w:szCs w:val="14"/>
                <w:color w:val="auto"/>
              </w:rPr>
              <w:t>Other commitments</w:t>
            </w: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Commitments to extend credit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6,820,835</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4,317,118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4,220,081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1,683,461</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17,041,495</w:t>
            </w:r>
          </w:p>
        </w:tc>
        <w:tc>
          <w:tcPr>
            <w:tcW w:w="0" w:type="dxa"/>
            <w:vAlign w:val="bottom"/>
          </w:tcPr>
          <w:p>
            <w:pPr>
              <w:spacing w:after="0"/>
              <w:rPr>
                <w:sz w:val="1"/>
                <w:szCs w:val="1"/>
                <w:color w:val="auto"/>
              </w:rPr>
            </w:pPr>
          </w:p>
        </w:tc>
      </w:tr>
      <w:tr>
        <w:trPr>
          <w:trHeight w:val="167"/>
        </w:trPr>
        <w:tc>
          <w:tcPr>
            <w:tcW w:w="4100" w:type="dxa"/>
            <w:vAlign w:val="bottom"/>
          </w:tcPr>
          <w:p>
            <w:pPr>
              <w:ind w:left="140"/>
              <w:spacing w:after="0"/>
              <w:rPr>
                <w:sz w:val="20"/>
                <w:szCs w:val="20"/>
                <w:color w:val="auto"/>
              </w:rPr>
            </w:pPr>
            <w:r>
              <w:rPr>
                <w:rFonts w:ascii="Arial" w:cs="Arial" w:eastAsia="Arial" w:hAnsi="Arial"/>
                <w:sz w:val="14"/>
                <w:szCs w:val="14"/>
                <w:color w:val="auto"/>
              </w:rPr>
              <w:t>Standby letters of credit</w:t>
            </w:r>
          </w:p>
        </w:tc>
        <w:tc>
          <w:tcPr>
            <w:tcW w:w="10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1,471,079</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1,192,282</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color w:val="auto"/>
              </w:rPr>
              <w:t>752,319</w:t>
            </w:r>
          </w:p>
        </w:tc>
        <w:tc>
          <w:tcPr>
            <w:tcW w:w="12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207,180</w:t>
            </w: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3,622,860</w:t>
            </w:r>
          </w:p>
        </w:tc>
        <w:tc>
          <w:tcPr>
            <w:tcW w:w="0" w:type="dxa"/>
            <w:vAlign w:val="bottom"/>
          </w:tcPr>
          <w:p>
            <w:pPr>
              <w:spacing w:after="0"/>
              <w:rPr>
                <w:sz w:val="1"/>
                <w:szCs w:val="1"/>
                <w:color w:val="auto"/>
              </w:rPr>
            </w:pPr>
          </w:p>
        </w:tc>
      </w:tr>
      <w:tr>
        <w:trPr>
          <w:trHeight w:val="167"/>
        </w:trPr>
        <w:tc>
          <w:tcPr>
            <w:tcW w:w="4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Commercial letters of credit</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25,626</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1,110</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3,473</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30,209</w:t>
            </w:r>
          </w:p>
        </w:tc>
        <w:tc>
          <w:tcPr>
            <w:tcW w:w="0" w:type="dxa"/>
            <w:vAlign w:val="bottom"/>
          </w:tcPr>
          <w:p>
            <w:pPr>
              <w:spacing w:after="0"/>
              <w:rPr>
                <w:sz w:val="1"/>
                <w:szCs w:val="1"/>
                <w:color w:val="auto"/>
              </w:rPr>
            </w:pPr>
          </w:p>
        </w:tc>
      </w:tr>
      <w:tr>
        <w:trPr>
          <w:trHeight w:val="167"/>
        </w:trPr>
        <w:tc>
          <w:tcPr>
            <w:tcW w:w="4100" w:type="dxa"/>
            <w:vAlign w:val="bottom"/>
          </w:tcPr>
          <w:p>
            <w:pPr>
              <w:ind w:left="140"/>
              <w:spacing w:after="0"/>
              <w:rPr>
                <w:sz w:val="20"/>
                <w:szCs w:val="20"/>
                <w:color w:val="auto"/>
              </w:rPr>
            </w:pPr>
            <w:r>
              <w:rPr>
                <w:rFonts w:ascii="Arial" w:cs="Arial" w:eastAsia="Arial" w:hAnsi="Arial"/>
                <w:sz w:val="14"/>
                <w:szCs w:val="14"/>
                <w:color w:val="auto"/>
              </w:rPr>
              <w:t>Financial guarantees and indemnification contracts</w:t>
            </w:r>
          </w:p>
        </w:tc>
        <w:tc>
          <w:tcPr>
            <w:tcW w:w="10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19,194</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78,762</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color w:val="auto"/>
              </w:rPr>
              <w:t>159,882</w:t>
            </w:r>
          </w:p>
        </w:tc>
        <w:tc>
          <w:tcPr>
            <w:tcW w:w="12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color w:val="auto"/>
              </w:rPr>
              <w:t>778,279</w:t>
            </w: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1,036,117</w:t>
            </w:r>
          </w:p>
        </w:tc>
        <w:tc>
          <w:tcPr>
            <w:tcW w:w="0" w:type="dxa"/>
            <w:vAlign w:val="bottom"/>
          </w:tcPr>
          <w:p>
            <w:pPr>
              <w:spacing w:after="0"/>
              <w:rPr>
                <w:sz w:val="1"/>
                <w:szCs w:val="1"/>
                <w:color w:val="auto"/>
              </w:rPr>
            </w:pPr>
          </w:p>
        </w:tc>
      </w:tr>
      <w:tr>
        <w:trPr>
          <w:trHeight w:val="167"/>
        </w:trPr>
        <w:tc>
          <w:tcPr>
            <w:tcW w:w="4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Commitments to sell real estate loans</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1,932,306</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1,932,306</w:t>
            </w:r>
          </w:p>
        </w:tc>
        <w:tc>
          <w:tcPr>
            <w:tcW w:w="0" w:type="dxa"/>
            <w:vAlign w:val="bottom"/>
          </w:tcPr>
          <w:p>
            <w:pPr>
              <w:spacing w:after="0"/>
              <w:rPr>
                <w:sz w:val="1"/>
                <w:szCs w:val="1"/>
                <w:color w:val="auto"/>
              </w:rPr>
            </w:pPr>
          </w:p>
        </w:tc>
      </w:tr>
      <w:tr>
        <w:trPr>
          <w:trHeight w:val="176"/>
        </w:trPr>
        <w:tc>
          <w:tcPr>
            <w:tcW w:w="4100" w:type="dxa"/>
            <w:vAlign w:val="bottom"/>
          </w:tcPr>
          <w:p>
            <w:pPr>
              <w:ind w:left="14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10,269,040</w:t>
            </w:r>
          </w:p>
        </w:tc>
        <w:tc>
          <w:tcPr>
            <w:tcW w:w="2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5,589,272</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5,135,755</w:t>
            </w:r>
          </w:p>
        </w:tc>
        <w:tc>
          <w:tcPr>
            <w:tcW w:w="4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2,668,920</w:t>
            </w:r>
          </w:p>
        </w:tc>
        <w:tc>
          <w:tcPr>
            <w:tcW w:w="4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23,662,987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-1865630</wp:posOffset>
            </wp:positionV>
            <wp:extent cx="24765"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66" w:lineRule="exact"/>
        <w:rPr>
          <w:sz w:val="20"/>
          <w:szCs w:val="20"/>
          <w:color w:val="auto"/>
        </w:rPr>
      </w:pPr>
    </w:p>
    <w:p>
      <w:pPr>
        <w:ind w:left="680" w:right="20" w:firstLine="599"/>
        <w:spacing w:after="0" w:line="254" w:lineRule="auto"/>
        <w:rPr>
          <w:sz w:val="20"/>
          <w:szCs w:val="20"/>
          <w:color w:val="auto"/>
        </w:rPr>
      </w:pPr>
      <w:r>
        <w:rPr>
          <w:rFonts w:ascii="Arial" w:cs="Arial" w:eastAsia="Arial" w:hAnsi="Arial"/>
          <w:sz w:val="14"/>
          <w:szCs w:val="14"/>
          <w:color w:val="auto"/>
        </w:rPr>
        <w:t>M</w:t>
      </w:r>
      <w:r>
        <w:rPr>
          <w:rFonts w:ascii="Arial" w:cs="Arial" w:eastAsia="Arial" w:hAnsi="Arial"/>
          <w:sz w:val="13"/>
          <w:szCs w:val="13"/>
          <w:color w:val="auto"/>
        </w:rPr>
        <w:t>&amp;</w:t>
      </w:r>
      <w:r>
        <w:rPr>
          <w:rFonts w:ascii="Arial" w:cs="Arial" w:eastAsia="Arial" w:hAnsi="Arial"/>
          <w:sz w:val="14"/>
          <w:szCs w:val="14"/>
          <w:color w:val="auto"/>
        </w:rPr>
        <w:t>T’s primary source of funds to pay for operating expenses, shareholder dividends and common stock repurchases has historically been the receipt of dividends from its banking subsidiaries, which are subject to various regulatory limitations. Dividends from any banking subsidiary to M</w:t>
      </w:r>
      <w:r>
        <w:rPr>
          <w:rFonts w:ascii="Arial" w:cs="Arial" w:eastAsia="Arial" w:hAnsi="Arial"/>
          <w:sz w:val="13"/>
          <w:szCs w:val="13"/>
          <w:color w:val="auto"/>
        </w:rPr>
        <w:t>&amp;</w:t>
      </w:r>
      <w:r>
        <w:rPr>
          <w:rFonts w:ascii="Arial" w:cs="Arial" w:eastAsia="Arial" w:hAnsi="Arial"/>
          <w:sz w:val="14"/>
          <w:szCs w:val="14"/>
          <w:color w:val="auto"/>
        </w:rPr>
        <w:t>T are limited by the amount of earnings of the banking subsidiary in the current year and the two preceding years. For purposes of the test, approximately $108 million at December 31, 2006 was available for payment of dividends to M</w:t>
      </w:r>
      <w:r>
        <w:rPr>
          <w:rFonts w:ascii="Arial" w:cs="Arial" w:eastAsia="Arial" w:hAnsi="Arial"/>
          <w:sz w:val="13"/>
          <w:szCs w:val="13"/>
          <w:color w:val="auto"/>
        </w:rPr>
        <w:t>&amp;</w:t>
      </w:r>
      <w:r>
        <w:rPr>
          <w:rFonts w:ascii="Arial" w:cs="Arial" w:eastAsia="Arial" w:hAnsi="Arial"/>
          <w:sz w:val="14"/>
          <w:szCs w:val="14"/>
          <w:color w:val="auto"/>
        </w:rPr>
        <w:t>T from banking subsidiaries without prior regulatory approval. These historic sources of cash flow have been augmented in the past by the issuance of trust preferred securities. Information regarding trust preferred securities and the related junior subordinated debentures is included in note 9 of Notes to Financial Statements. M</w:t>
      </w:r>
      <w:r>
        <w:rPr>
          <w:rFonts w:ascii="Arial" w:cs="Arial" w:eastAsia="Arial" w:hAnsi="Arial"/>
          <w:sz w:val="13"/>
          <w:szCs w:val="13"/>
          <w:color w:val="auto"/>
        </w:rPr>
        <w:t>&amp;</w:t>
      </w:r>
      <w:r>
        <w:rPr>
          <w:rFonts w:ascii="Arial" w:cs="Arial" w:eastAsia="Arial" w:hAnsi="Arial"/>
          <w:sz w:val="14"/>
          <w:szCs w:val="14"/>
          <w:color w:val="auto"/>
        </w:rPr>
        <w:t>T also maintains a $30 million line of credit with an unaffiliated commercial bank, of which there were no borrowings outstanding at December 31, 2006. A similar $30 million line of credit was entirely available for borrowing at December 31, 2005.</w:t>
      </w:r>
    </w:p>
    <w:p>
      <w:pPr>
        <w:spacing w:after="0" w:line="15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3" w:name="page64"/>
    <w:bookmarkEnd w:id="63"/>
    <w:p>
      <w:pPr>
        <w:ind w:left="1"/>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Table 16</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MATURITY AND TAXABLE-EQUIVALENT YIELD OF INVESTMENT SECURITIES</w:t>
      </w:r>
    </w:p>
    <w:p>
      <w:pPr>
        <w:spacing w:after="0" w:line="104" w:lineRule="exact"/>
        <w:rPr>
          <w:sz w:val="20"/>
          <w:szCs w:val="20"/>
          <w:color w:val="auto"/>
        </w:rPr>
      </w:pPr>
    </w:p>
    <w:tbl>
      <w:tblPr>
        <w:tblLayout w:type="fixed"/>
        <w:tblInd w:w="1" w:type="dxa"/>
        <w:tblCellMar>
          <w:top w:w="0" w:type="dxa"/>
          <w:left w:w="0" w:type="dxa"/>
          <w:bottom w:w="0" w:type="dxa"/>
          <w:right w:w="0" w:type="dxa"/>
        </w:tblCellMar>
      </w:tblPr>
      <w:tr>
        <w:trPr>
          <w:trHeight w:val="118"/>
        </w:trPr>
        <w:tc>
          <w:tcPr>
            <w:tcW w:w="6420" w:type="dxa"/>
            <w:vAlign w:val="bottom"/>
            <w:gridSpan w:val="3"/>
            <w:vMerge w:val="restart"/>
          </w:tcPr>
          <w:p>
            <w:pPr>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ecember 31, 2006</w:t>
            </w:r>
          </w:p>
        </w:tc>
        <w:tc>
          <w:tcPr>
            <w:tcW w:w="80" w:type="dxa"/>
            <w:vAlign w:val="bottom"/>
          </w:tcPr>
          <w:p>
            <w:pPr>
              <w:spacing w:after="0"/>
              <w:rPr>
                <w:sz w:val="10"/>
                <w:szCs w:val="10"/>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w w:val="90"/>
              </w:rPr>
              <w:t>One Year</w:t>
            </w:r>
          </w:p>
        </w:tc>
        <w:tc>
          <w:tcPr>
            <w:tcW w:w="100" w:type="dxa"/>
            <w:vAlign w:val="bottom"/>
          </w:tcPr>
          <w:p>
            <w:pPr>
              <w:spacing w:after="0"/>
              <w:rPr>
                <w:sz w:val="10"/>
                <w:szCs w:val="1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w w:val="99"/>
              </w:rPr>
              <w:t>One to Five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w w:val="98"/>
              </w:rPr>
              <w:t>Five to Ten</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Over Ten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420" w:type="dxa"/>
            <w:vAlign w:val="bottom"/>
            <w:gridSpan w:val="3"/>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b w:val="1"/>
                <w:bCs w:val="1"/>
                <w:color w:val="auto"/>
              </w:rPr>
              <w:t>or Less</w:t>
            </w:r>
          </w:p>
        </w:tc>
        <w:tc>
          <w:tcPr>
            <w:tcW w:w="3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22"/>
              <w:spacing w:after="0"/>
              <w:rPr>
                <w:sz w:val="20"/>
                <w:szCs w:val="20"/>
                <w:color w:val="auto"/>
              </w:rPr>
            </w:pPr>
            <w:r>
              <w:rPr>
                <w:rFonts w:ascii="Arial" w:cs="Arial" w:eastAsia="Arial" w:hAnsi="Arial"/>
                <w:sz w:val="10"/>
                <w:szCs w:val="10"/>
                <w:b w:val="1"/>
                <w:bCs w:val="1"/>
                <w:color w:val="auto"/>
              </w:rPr>
              <w:t>Years</w:t>
            </w: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22"/>
              <w:spacing w:after="0"/>
              <w:rPr>
                <w:sz w:val="20"/>
                <w:szCs w:val="20"/>
                <w:color w:val="auto"/>
              </w:rPr>
            </w:pPr>
            <w:r>
              <w:rPr>
                <w:rFonts w:ascii="Arial" w:cs="Arial" w:eastAsia="Arial" w:hAnsi="Arial"/>
                <w:sz w:val="10"/>
                <w:szCs w:val="10"/>
                <w:b w:val="1"/>
                <w:bCs w:val="1"/>
                <w:color w:val="auto"/>
              </w:rPr>
              <w:t>Years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42"/>
              <w:spacing w:after="0"/>
              <w:rPr>
                <w:sz w:val="20"/>
                <w:szCs w:val="20"/>
                <w:color w:val="auto"/>
              </w:rPr>
            </w:pPr>
            <w:r>
              <w:rPr>
                <w:rFonts w:ascii="Arial" w:cs="Arial" w:eastAsia="Arial" w:hAnsi="Arial"/>
                <w:sz w:val="10"/>
                <w:szCs w:val="10"/>
                <w:b w:val="1"/>
                <w:bCs w:val="1"/>
                <w:color w:val="auto"/>
              </w:rPr>
              <w:t>Years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61"/>
              <w:spacing w:after="0"/>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gridSpan w:val="3"/>
          </w:tcPr>
          <w:p>
            <w:pPr>
              <w:jc w:val="right"/>
              <w:spacing w:after="0"/>
              <w:rPr>
                <w:sz w:val="20"/>
                <w:szCs w:val="20"/>
                <w:color w:val="auto"/>
              </w:rPr>
            </w:pPr>
            <w:r>
              <w:rPr>
                <w:rFonts w:ascii="Arial" w:cs="Arial" w:eastAsia="Arial" w:hAnsi="Arial"/>
                <w:sz w:val="10"/>
                <w:szCs w:val="10"/>
                <w:b w:val="1"/>
                <w:bCs w:val="1"/>
                <w:color w:val="auto"/>
                <w:w w:val="92"/>
              </w:rPr>
              <w:t>(Dollars in thousands)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2"/>
                <w:szCs w:val="12"/>
                <w:i w:val="1"/>
                <w:iCs w:val="1"/>
                <w:color w:val="auto"/>
              </w:rPr>
              <w:t>Investment securities available for sale(a)</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gridSpan w:val="2"/>
          </w:tcPr>
          <w:p>
            <w:pPr>
              <w:spacing w:after="0"/>
              <w:rPr>
                <w:sz w:val="20"/>
                <w:szCs w:val="20"/>
                <w:color w:val="auto"/>
              </w:rPr>
            </w:pPr>
            <w:r>
              <w:rPr>
                <w:rFonts w:ascii="Arial" w:cs="Arial" w:eastAsia="Arial" w:hAnsi="Arial"/>
                <w:sz w:val="12"/>
                <w:szCs w:val="12"/>
                <w:color w:val="auto"/>
              </w:rPr>
              <w:t>U.S. Treasury and federal agencies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Carrying value</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29,524</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236,351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206,489</w:t>
            </w:r>
          </w:p>
        </w:tc>
        <w:tc>
          <w:tcPr>
            <w:tcW w:w="2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1,512</w:t>
            </w:r>
          </w:p>
        </w:tc>
        <w:tc>
          <w:tcPr>
            <w:tcW w:w="2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473,876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gridSpan w:val="2"/>
          </w:tcPr>
          <w:p>
            <w:pPr>
              <w:ind w:left="80"/>
              <w:spacing w:after="0"/>
              <w:rPr>
                <w:sz w:val="20"/>
                <w:szCs w:val="20"/>
                <w:color w:val="auto"/>
              </w:rPr>
            </w:pPr>
            <w:r>
              <w:rPr>
                <w:rFonts w:ascii="Arial" w:cs="Arial" w:eastAsia="Arial" w:hAnsi="Arial"/>
                <w:sz w:val="12"/>
                <w:szCs w:val="12"/>
                <w:color w:val="auto"/>
              </w:rPr>
              <w:t>Yield</w:t>
            </w:r>
          </w:p>
        </w:tc>
        <w:tc>
          <w:tcPr>
            <w:tcW w:w="80" w:type="dxa"/>
            <w:vAlign w:val="bottom"/>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2"/>
                <w:szCs w:val="12"/>
                <w:color w:val="auto"/>
              </w:rPr>
              <w:t>3.17%</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3.72%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6.11%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4.48%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4.73%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Obligations of states and political subdivisions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gridSpan w:val="2"/>
          </w:tcPr>
          <w:p>
            <w:pPr>
              <w:ind w:left="80"/>
              <w:spacing w:after="0"/>
              <w:rPr>
                <w:sz w:val="20"/>
                <w:szCs w:val="20"/>
                <w:color w:val="auto"/>
              </w:rPr>
            </w:pPr>
            <w:r>
              <w:rPr>
                <w:rFonts w:ascii="Arial" w:cs="Arial" w:eastAsia="Arial" w:hAnsi="Arial"/>
                <w:sz w:val="12"/>
                <w:szCs w:val="12"/>
                <w:color w:val="auto"/>
              </w:rPr>
              <w:t>Carrying value</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13,131</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16,855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33,669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7,116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70,771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Yield</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5.70%</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6.14%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4.77%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7.94%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5.59%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gridSpan w:val="2"/>
          </w:tcPr>
          <w:p>
            <w:pPr>
              <w:spacing w:after="0"/>
              <w:rPr>
                <w:sz w:val="20"/>
                <w:szCs w:val="20"/>
                <w:color w:val="auto"/>
              </w:rPr>
            </w:pPr>
            <w:r>
              <w:rPr>
                <w:rFonts w:ascii="Arial" w:cs="Arial" w:eastAsia="Arial" w:hAnsi="Arial"/>
                <w:sz w:val="12"/>
                <w:szCs w:val="12"/>
                <w:color w:val="auto"/>
              </w:rPr>
              <w:t>Mortgage-backed securities(b)</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Government issued or guaranteed</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gridSpan w:val="2"/>
          </w:tcPr>
          <w:p>
            <w:pPr>
              <w:ind w:left="180"/>
              <w:spacing w:after="0"/>
              <w:rPr>
                <w:sz w:val="20"/>
                <w:szCs w:val="20"/>
                <w:color w:val="auto"/>
              </w:rPr>
            </w:pPr>
            <w:r>
              <w:rPr>
                <w:rFonts w:ascii="Arial" w:cs="Arial" w:eastAsia="Arial" w:hAnsi="Arial"/>
                <w:sz w:val="12"/>
                <w:szCs w:val="12"/>
                <w:color w:val="auto"/>
              </w:rPr>
              <w:t>Carrying value</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142,696</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523,737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528,114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713,161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1,907,708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Yield</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3.70%</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3.82%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3.94%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4.78%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4.20%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gridSpan w:val="2"/>
          </w:tcPr>
          <w:p>
            <w:pPr>
              <w:ind w:left="80"/>
              <w:spacing w:after="0"/>
              <w:rPr>
                <w:sz w:val="20"/>
                <w:szCs w:val="20"/>
                <w:color w:val="auto"/>
              </w:rPr>
            </w:pPr>
            <w:r>
              <w:rPr>
                <w:rFonts w:ascii="Arial" w:cs="Arial" w:eastAsia="Arial" w:hAnsi="Arial"/>
                <w:sz w:val="12"/>
                <w:szCs w:val="12"/>
                <w:color w:val="auto"/>
              </w:rPr>
              <w:t>Privately issued</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Carrying value</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88,152</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374,667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373,319</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2,960,392</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3,796,530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gridSpan w:val="2"/>
          </w:tcPr>
          <w:p>
            <w:pPr>
              <w:ind w:left="180"/>
              <w:spacing w:after="0"/>
              <w:rPr>
                <w:sz w:val="20"/>
                <w:szCs w:val="20"/>
                <w:color w:val="auto"/>
              </w:rPr>
            </w:pPr>
            <w:r>
              <w:rPr>
                <w:rFonts w:ascii="Arial" w:cs="Arial" w:eastAsia="Arial" w:hAnsi="Arial"/>
                <w:sz w:val="12"/>
                <w:szCs w:val="12"/>
                <w:color w:val="auto"/>
              </w:rPr>
              <w:t>Yield</w:t>
            </w:r>
          </w:p>
        </w:tc>
        <w:tc>
          <w:tcPr>
            <w:tcW w:w="80" w:type="dxa"/>
            <w:vAlign w:val="bottom"/>
          </w:tcPr>
          <w:p>
            <w:pPr>
              <w:spacing w:after="0"/>
              <w:rPr>
                <w:sz w:val="12"/>
                <w:szCs w:val="12"/>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2"/>
                <w:szCs w:val="12"/>
                <w:color w:val="auto"/>
              </w:rPr>
              <w:t>4.23%</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2"/>
                <w:szCs w:val="12"/>
                <w:color w:val="auto"/>
              </w:rPr>
              <w:t>4.96%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5.15%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4.92%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4.93%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debt securities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gridSpan w:val="2"/>
          </w:tcPr>
          <w:p>
            <w:pPr>
              <w:ind w:left="80"/>
              <w:spacing w:after="0"/>
              <w:rPr>
                <w:sz w:val="20"/>
                <w:szCs w:val="20"/>
                <w:color w:val="auto"/>
              </w:rPr>
            </w:pPr>
            <w:r>
              <w:rPr>
                <w:rFonts w:ascii="Arial" w:cs="Arial" w:eastAsia="Arial" w:hAnsi="Arial"/>
                <w:sz w:val="12"/>
                <w:szCs w:val="12"/>
                <w:color w:val="auto"/>
              </w:rPr>
              <w:t>Carrying value</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3,991</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10,154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3,504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132,258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149,907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Yield</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4.92%</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4.78%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5.27%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7.03%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6.78%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gridSpan w:val="2"/>
          </w:tcPr>
          <w:p>
            <w:pPr>
              <w:spacing w:after="0"/>
              <w:rPr>
                <w:sz w:val="20"/>
                <w:szCs w:val="20"/>
                <w:color w:val="auto"/>
              </w:rPr>
            </w:pPr>
            <w:r>
              <w:rPr>
                <w:rFonts w:ascii="Arial" w:cs="Arial" w:eastAsia="Arial" w:hAnsi="Arial"/>
                <w:sz w:val="12"/>
                <w:szCs w:val="12"/>
                <w:color w:val="auto"/>
              </w:rPr>
              <w:t>Equity securities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Carrying value</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431,056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gridSpan w:val="2"/>
          </w:tcPr>
          <w:p>
            <w:pPr>
              <w:ind w:left="80"/>
              <w:spacing w:after="0"/>
              <w:rPr>
                <w:sz w:val="20"/>
                <w:szCs w:val="20"/>
                <w:color w:val="auto"/>
              </w:rPr>
            </w:pPr>
            <w:r>
              <w:rPr>
                <w:rFonts w:ascii="Arial" w:cs="Arial" w:eastAsia="Arial" w:hAnsi="Arial"/>
                <w:sz w:val="12"/>
                <w:szCs w:val="12"/>
                <w:color w:val="auto"/>
              </w:rPr>
              <w:t>Yield</w:t>
            </w:r>
          </w:p>
        </w:tc>
        <w:tc>
          <w:tcPr>
            <w:tcW w:w="8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5.48%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investment securities available for sale</w:t>
            </w: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gridSpan w:val="2"/>
          </w:tcPr>
          <w:p>
            <w:pPr>
              <w:ind w:left="80"/>
              <w:spacing w:after="0"/>
              <w:rPr>
                <w:sz w:val="20"/>
                <w:szCs w:val="20"/>
                <w:color w:val="auto"/>
              </w:rPr>
            </w:pPr>
            <w:r>
              <w:rPr>
                <w:rFonts w:ascii="Arial" w:cs="Arial" w:eastAsia="Arial" w:hAnsi="Arial"/>
                <w:sz w:val="12"/>
                <w:szCs w:val="12"/>
                <w:color w:val="auto"/>
              </w:rPr>
              <w:t>Carrying value</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277,494</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1,161,764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1,145,095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3,814,439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6,829,848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Yield</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3.92%</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4.21%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4.75%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4.97%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4.79%</w:t>
            </w:r>
          </w:p>
        </w:tc>
        <w:tc>
          <w:tcPr>
            <w:tcW w:w="0" w:type="dxa"/>
            <w:vAlign w:val="bottom"/>
          </w:tcPr>
          <w:p>
            <w:pPr>
              <w:spacing w:after="0"/>
              <w:rPr>
                <w:sz w:val="1"/>
                <w:szCs w:val="1"/>
                <w:color w:val="auto"/>
              </w:rPr>
            </w:pPr>
          </w:p>
        </w:tc>
      </w:tr>
      <w:tr>
        <w:trPr>
          <w:trHeight w:val="142"/>
        </w:trPr>
        <w:tc>
          <w:tcPr>
            <w:tcW w:w="6420" w:type="dxa"/>
            <w:vAlign w:val="bottom"/>
            <w:gridSpan w:val="3"/>
          </w:tcPr>
          <w:p>
            <w:pPr>
              <w:spacing w:after="0"/>
              <w:rPr>
                <w:sz w:val="20"/>
                <w:szCs w:val="20"/>
                <w:color w:val="auto"/>
              </w:rPr>
            </w:pPr>
            <w:r>
              <w:rPr>
                <w:rFonts w:ascii="Arial" w:cs="Arial" w:eastAsia="Arial" w:hAnsi="Arial"/>
                <w:sz w:val="12"/>
                <w:szCs w:val="12"/>
                <w:i w:val="1"/>
                <w:iCs w:val="1"/>
                <w:color w:val="auto"/>
              </w:rPr>
              <w:t>Investment securities held to maturity</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Obligations of states and political subdivisions</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gridSpan w:val="2"/>
          </w:tcPr>
          <w:p>
            <w:pPr>
              <w:ind w:left="80"/>
              <w:spacing w:after="0"/>
              <w:rPr>
                <w:sz w:val="20"/>
                <w:szCs w:val="20"/>
                <w:color w:val="auto"/>
              </w:rPr>
            </w:pPr>
            <w:r>
              <w:rPr>
                <w:rFonts w:ascii="Arial" w:cs="Arial" w:eastAsia="Arial" w:hAnsi="Arial"/>
                <w:sz w:val="12"/>
                <w:szCs w:val="12"/>
                <w:color w:val="auto"/>
              </w:rPr>
              <w:t>Carrying value</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42,166</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6,815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9,319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1,136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59,436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Yield</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5.64%</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7.08%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9.63%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7.79%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6.47%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gridSpan w:val="2"/>
          </w:tcPr>
          <w:p>
            <w:pPr>
              <w:spacing w:after="0"/>
              <w:rPr>
                <w:sz w:val="20"/>
                <w:szCs w:val="20"/>
                <w:color w:val="auto"/>
              </w:rPr>
            </w:pPr>
            <w:r>
              <w:rPr>
                <w:rFonts w:ascii="Arial" w:cs="Arial" w:eastAsia="Arial" w:hAnsi="Arial"/>
                <w:sz w:val="12"/>
                <w:szCs w:val="12"/>
                <w:color w:val="auto"/>
              </w:rPr>
              <w:t>Other debt securities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Carrying value</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4,996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5,463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gridSpan w:val="2"/>
          </w:tcPr>
          <w:p>
            <w:pPr>
              <w:ind w:left="80"/>
              <w:spacing w:after="0"/>
              <w:rPr>
                <w:sz w:val="20"/>
                <w:szCs w:val="20"/>
                <w:color w:val="auto"/>
              </w:rPr>
            </w:pPr>
            <w:r>
              <w:rPr>
                <w:rFonts w:ascii="Arial" w:cs="Arial" w:eastAsia="Arial" w:hAnsi="Arial"/>
                <w:sz w:val="12"/>
                <w:szCs w:val="12"/>
                <w:color w:val="auto"/>
              </w:rPr>
              <w:t>Yield</w:t>
            </w:r>
          </w:p>
        </w:tc>
        <w:tc>
          <w:tcPr>
            <w:tcW w:w="8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8.30%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2"/>
                <w:szCs w:val="12"/>
                <w:color w:val="auto"/>
              </w:rPr>
              <w:t>5.59%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5.82%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investment securities held to maturity</w:t>
            </w: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gridSpan w:val="2"/>
          </w:tcPr>
          <w:p>
            <w:pPr>
              <w:ind w:left="80"/>
              <w:spacing w:after="0"/>
              <w:rPr>
                <w:sz w:val="20"/>
                <w:szCs w:val="20"/>
                <w:color w:val="auto"/>
              </w:rPr>
            </w:pPr>
            <w:r>
              <w:rPr>
                <w:rFonts w:ascii="Arial" w:cs="Arial" w:eastAsia="Arial" w:hAnsi="Arial"/>
                <w:sz w:val="12"/>
                <w:szCs w:val="12"/>
                <w:color w:val="auto"/>
              </w:rPr>
              <w:t>Carrying value</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42,166</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6,815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9,786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6,132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64,899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Yield</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5.64%</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7.08%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9.57%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6.00%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6.42%</w:t>
            </w:r>
          </w:p>
        </w:tc>
        <w:tc>
          <w:tcPr>
            <w:tcW w:w="0" w:type="dxa"/>
            <w:vAlign w:val="bottom"/>
          </w:tcPr>
          <w:p>
            <w:pPr>
              <w:spacing w:after="0"/>
              <w:rPr>
                <w:sz w:val="1"/>
                <w:szCs w:val="1"/>
                <w:color w:val="auto"/>
              </w:rPr>
            </w:pPr>
          </w:p>
        </w:tc>
      </w:tr>
      <w:tr>
        <w:trPr>
          <w:trHeight w:val="20"/>
        </w:trPr>
        <w:tc>
          <w:tcPr>
            <w:tcW w:w="6420" w:type="dxa"/>
            <w:vAlign w:val="bottom"/>
            <w:gridSpan w:val="3"/>
            <w:vMerge w:val="restart"/>
          </w:tcPr>
          <w:p>
            <w:pPr>
              <w:spacing w:after="0"/>
              <w:rPr>
                <w:sz w:val="20"/>
                <w:szCs w:val="20"/>
                <w:color w:val="auto"/>
              </w:rPr>
            </w:pPr>
            <w:r>
              <w:rPr>
                <w:rFonts w:ascii="Arial" w:cs="Arial" w:eastAsia="Arial" w:hAnsi="Arial"/>
                <w:sz w:val="12"/>
                <w:szCs w:val="12"/>
                <w:i w:val="1"/>
                <w:iCs w:val="1"/>
                <w:color w:val="auto"/>
              </w:rPr>
              <w:t>Other investment securities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4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356,851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investment securities</w:t>
            </w: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400" w:type="dxa"/>
            <w:vAlign w:val="bottom"/>
            <w:gridSpan w:val="2"/>
          </w:tcPr>
          <w:p>
            <w:pPr>
              <w:ind w:left="80"/>
              <w:spacing w:after="0"/>
              <w:rPr>
                <w:sz w:val="20"/>
                <w:szCs w:val="20"/>
                <w:color w:val="auto"/>
              </w:rPr>
            </w:pPr>
            <w:r>
              <w:rPr>
                <w:rFonts w:ascii="Arial" w:cs="Arial" w:eastAsia="Arial" w:hAnsi="Arial"/>
                <w:sz w:val="12"/>
                <w:szCs w:val="12"/>
                <w:color w:val="auto"/>
              </w:rPr>
              <w:t>Carrying value</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319,660</w:t>
            </w:r>
          </w:p>
        </w:tc>
        <w:tc>
          <w:tcPr>
            <w:tcW w:w="36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1,168,579</w:t>
            </w:r>
          </w:p>
        </w:tc>
        <w:tc>
          <w:tcPr>
            <w:tcW w:w="3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1,154,881</w:t>
            </w:r>
          </w:p>
        </w:tc>
        <w:tc>
          <w:tcPr>
            <w:tcW w:w="220" w:type="dxa"/>
            <w:vAlign w:val="bottom"/>
          </w:tcPr>
          <w:p>
            <w:pPr>
              <w:spacing w:after="0"/>
              <w:rPr>
                <w:sz w:val="12"/>
                <w:szCs w:val="12"/>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3,820,571</w:t>
            </w:r>
          </w:p>
        </w:tc>
        <w:tc>
          <w:tcPr>
            <w:tcW w:w="220" w:type="dxa"/>
            <w:vAlign w:val="bottom"/>
          </w:tcPr>
          <w:p>
            <w:pPr>
              <w:spacing w:after="0"/>
              <w:rPr>
                <w:sz w:val="12"/>
                <w:szCs w:val="12"/>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w w:val="97"/>
              </w:rPr>
              <w:t>7,251,598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40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Yield</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4.15%</w:t>
            </w:r>
          </w:p>
        </w:tc>
        <w:tc>
          <w:tcPr>
            <w:tcW w:w="1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4.23%</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4.79%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4.97%</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4.57%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55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61" w:hanging="361"/>
        <w:spacing w:after="0"/>
        <w:tabs>
          <w:tab w:leader="none" w:pos="361" w:val="left"/>
        </w:tabs>
        <w:numPr>
          <w:ilvl w:val="0"/>
          <w:numId w:val="21"/>
        </w:numPr>
        <w:rPr>
          <w:rFonts w:ascii="Arial" w:cs="Arial" w:eastAsia="Arial" w:hAnsi="Arial"/>
          <w:sz w:val="13"/>
          <w:szCs w:val="13"/>
          <w:i w:val="1"/>
          <w:iCs w:val="1"/>
          <w:color w:val="auto"/>
        </w:rPr>
      </w:pPr>
      <w:r>
        <w:rPr>
          <w:rFonts w:ascii="Arial" w:cs="Arial" w:eastAsia="Arial" w:hAnsi="Arial"/>
          <w:sz w:val="13"/>
          <w:szCs w:val="13"/>
          <w:i w:val="1"/>
          <w:iCs w:val="1"/>
          <w:color w:val="auto"/>
        </w:rPr>
        <w:t>Investment securities available for sale are presented at estimated fair value. Yields on such securities are based on amortized cost.</w:t>
      </w:r>
    </w:p>
    <w:p>
      <w:pPr>
        <w:spacing w:after="0" w:line="15" w:lineRule="exact"/>
        <w:rPr>
          <w:rFonts w:ascii="Arial" w:cs="Arial" w:eastAsia="Arial" w:hAnsi="Arial"/>
          <w:sz w:val="13"/>
          <w:szCs w:val="13"/>
          <w:i w:val="1"/>
          <w:iCs w:val="1"/>
          <w:color w:val="auto"/>
        </w:rPr>
      </w:pPr>
    </w:p>
    <w:p>
      <w:pPr>
        <w:ind w:left="361" w:hanging="361"/>
        <w:spacing w:after="0"/>
        <w:tabs>
          <w:tab w:leader="none" w:pos="361" w:val="left"/>
        </w:tabs>
        <w:numPr>
          <w:ilvl w:val="0"/>
          <w:numId w:val="21"/>
        </w:numPr>
        <w:rPr>
          <w:rFonts w:ascii="Arial" w:cs="Arial" w:eastAsia="Arial" w:hAnsi="Arial"/>
          <w:sz w:val="13"/>
          <w:szCs w:val="13"/>
          <w:i w:val="1"/>
          <w:iCs w:val="1"/>
          <w:color w:val="auto"/>
        </w:rPr>
      </w:pPr>
      <w:r>
        <w:rPr>
          <w:rFonts w:ascii="Arial" w:cs="Arial" w:eastAsia="Arial" w:hAnsi="Arial"/>
          <w:sz w:val="13"/>
          <w:szCs w:val="13"/>
          <w:i w:val="1"/>
          <w:iCs w:val="1"/>
          <w:color w:val="auto"/>
        </w:rPr>
        <w:t>Maturities are reflected based upon contractual payments due. Actual maturities are expected to be significantly shorter as a result of loan repayments in the underlying mortgage pools.</w:t>
      </w:r>
    </w:p>
    <w:p>
      <w:pPr>
        <w:spacing w:after="0" w:line="85" w:lineRule="exact"/>
        <w:rPr>
          <w:sz w:val="20"/>
          <w:szCs w:val="20"/>
          <w:color w:val="auto"/>
        </w:rPr>
      </w:pPr>
    </w:p>
    <w:p>
      <w:pPr>
        <w:ind w:left="1" w:right="40" w:firstLine="459"/>
        <w:spacing w:after="0" w:line="265" w:lineRule="auto"/>
        <w:rPr>
          <w:sz w:val="20"/>
          <w:szCs w:val="20"/>
          <w:color w:val="auto"/>
        </w:rPr>
      </w:pPr>
      <w:r>
        <w:rPr>
          <w:rFonts w:ascii="Arial" w:cs="Arial" w:eastAsia="Arial" w:hAnsi="Arial"/>
          <w:sz w:val="14"/>
          <w:szCs w:val="14"/>
          <w:color w:val="auto"/>
        </w:rPr>
        <w:t>Management closely monitors the Company’s liquidity position for compliance with internal policies and believes that available sources of liquidity are adequate to meet funding needs in the normal course of business. Management does not anticipate engaging in any activities, either currently or in the long-term, for which adequate funding would not be available and would therefore result in a significant strain on liquidity at either M</w:t>
      </w:r>
      <w:r>
        <w:rPr>
          <w:rFonts w:ascii="Arial" w:cs="Arial" w:eastAsia="Arial" w:hAnsi="Arial"/>
          <w:sz w:val="13"/>
          <w:szCs w:val="13"/>
          <w:color w:val="auto"/>
        </w:rPr>
        <w:t>&amp;</w:t>
      </w:r>
      <w:r>
        <w:rPr>
          <w:rFonts w:ascii="Arial" w:cs="Arial" w:eastAsia="Arial" w:hAnsi="Arial"/>
          <w:sz w:val="14"/>
          <w:szCs w:val="14"/>
          <w:color w:val="auto"/>
        </w:rPr>
        <w:t>T or its subsidiary banks.</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343" w:right="2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ind w:left="680" w:right="20" w:firstLine="599"/>
        <w:spacing w:after="0" w:line="272" w:lineRule="auto"/>
        <w:rPr>
          <w:sz w:val="20"/>
          <w:szCs w:val="20"/>
          <w:color w:val="auto"/>
        </w:rPr>
      </w:pPr>
      <w:r>
        <w:rPr>
          <w:rFonts w:ascii="Arial" w:cs="Arial" w:eastAsia="Arial" w:hAnsi="Arial"/>
          <w:sz w:val="13"/>
          <w:szCs w:val="13"/>
          <w:color w:val="auto"/>
        </w:rPr>
        <w:t>Market risk is the risk of loss from adverse changes in the market prices and/or interest rates of the Company’s financial instruments. Interest rate risk is the primary market risk to which the Company is exposed. Interest rate risk arises from the Company’s core banking activities of lending and deposit-taking, because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non-parallel shifts in the maturity curve of interest rates and provide management with a long-term interest rate risk metric. The Company has entered into interest rate swap agreements to help manage exposure to interest rate risk. At December 31, 2006, the aggregate notional amount of interest rate swap agreements entered into for interest rate risk management purposes was $1.0 billion. Information about interest rate swap agreements entered into for interest rate risk management purposes is included herein under “Net Interest Income/Lending and Funding Activities” and in note 17 of Notes to Financial Statements.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17</w:t>
      </w:r>
    </w:p>
    <w:p>
      <w:pPr>
        <w:spacing w:after="0" w:line="252" w:lineRule="exact"/>
        <w:rPr>
          <w:sz w:val="20"/>
          <w:szCs w:val="20"/>
          <w:color w:val="auto"/>
        </w:rPr>
      </w:pPr>
    </w:p>
    <w:tbl>
      <w:tblPr>
        <w:tblLayout w:type="fixed"/>
        <w:tblInd w:w="680" w:type="dxa"/>
        <w:tblCellMar>
          <w:top w:w="0" w:type="dxa"/>
          <w:left w:w="0" w:type="dxa"/>
          <w:bottom w:w="0" w:type="dxa"/>
          <w:right w:w="0" w:type="dxa"/>
        </w:tblCellMar>
      </w:tblPr>
      <w:tr>
        <w:trPr>
          <w:trHeight w:val="167"/>
        </w:trPr>
        <w:tc>
          <w:tcPr>
            <w:tcW w:w="1620" w:type="dxa"/>
            <w:vAlign w:val="bottom"/>
          </w:tcPr>
          <w:p>
            <w:pPr>
              <w:spacing w:after="0"/>
              <w:rPr>
                <w:sz w:val="14"/>
                <w:szCs w:val="14"/>
                <w:color w:val="auto"/>
              </w:rPr>
            </w:pPr>
          </w:p>
        </w:tc>
        <w:tc>
          <w:tcPr>
            <w:tcW w:w="712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MATURITY OF DOMESTIC CERTIFICATES OF DEPOSIT AND TIME DEPOSITS</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6"/>
        </w:trPr>
        <w:tc>
          <w:tcPr>
            <w:tcW w:w="1620" w:type="dxa"/>
            <w:vAlign w:val="bottom"/>
          </w:tcPr>
          <w:p>
            <w:pPr>
              <w:spacing w:after="0"/>
              <w:rPr>
                <w:sz w:val="16"/>
                <w:szCs w:val="16"/>
                <w:color w:val="auto"/>
              </w:rPr>
            </w:pPr>
          </w:p>
        </w:tc>
        <w:tc>
          <w:tcPr>
            <w:tcW w:w="7120" w:type="dxa"/>
            <w:vAlign w:val="bottom"/>
            <w:gridSpan w:val="2"/>
          </w:tcPr>
          <w:p>
            <w:pPr>
              <w:jc w:val="right"/>
              <w:ind w:right="2360"/>
              <w:spacing w:after="0"/>
              <w:rPr>
                <w:sz w:val="20"/>
                <w:szCs w:val="20"/>
                <w:color w:val="auto"/>
              </w:rPr>
            </w:pPr>
            <w:r>
              <w:rPr>
                <w:rFonts w:ascii="Arial" w:cs="Arial" w:eastAsia="Arial" w:hAnsi="Arial"/>
                <w:sz w:val="14"/>
                <w:szCs w:val="14"/>
                <w:b w:val="1"/>
                <w:bCs w:val="1"/>
                <w:color w:val="auto"/>
              </w:rPr>
              <w:t>WITH BALANCES OF $100,000 OR MORE</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4"/>
        </w:trPr>
        <w:tc>
          <w:tcPr>
            <w:tcW w:w="162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3"/>
              </w:rPr>
              <w:t>December 31, 2006</w:t>
            </w:r>
          </w:p>
        </w:tc>
      </w:tr>
      <w:tr>
        <w:trPr>
          <w:trHeight w:val="131"/>
        </w:trPr>
        <w:tc>
          <w:tcPr>
            <w:tcW w:w="162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74"/>
              <w:spacing w:after="0"/>
              <w:rPr>
                <w:sz w:val="20"/>
                <w:szCs w:val="20"/>
                <w:color w:val="auto"/>
              </w:rPr>
            </w:pPr>
            <w:r>
              <w:rPr>
                <w:rFonts w:ascii="Arial" w:cs="Arial" w:eastAsia="Arial" w:hAnsi="Arial"/>
                <w:sz w:val="10"/>
                <w:szCs w:val="10"/>
                <w:b w:val="1"/>
                <w:bCs w:val="1"/>
                <w:color w:val="auto"/>
                <w:w w:val="92"/>
              </w:rPr>
              <w:t>(In thousands)</w:t>
            </w:r>
          </w:p>
        </w:tc>
        <w:tc>
          <w:tcPr>
            <w:tcW w:w="100" w:type="dxa"/>
            <w:vAlign w:val="bottom"/>
          </w:tcPr>
          <w:p>
            <w:pPr>
              <w:spacing w:after="0"/>
              <w:rPr>
                <w:sz w:val="11"/>
                <w:szCs w:val="11"/>
                <w:color w:val="auto"/>
              </w:rPr>
            </w:pPr>
          </w:p>
        </w:tc>
      </w:tr>
      <w:tr>
        <w:trPr>
          <w:trHeight w:val="173"/>
        </w:trPr>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Under 3 months</w:t>
            </w:r>
          </w:p>
        </w:tc>
        <w:tc>
          <w:tcPr>
            <w:tcW w:w="7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2,478,317</w:t>
            </w:r>
          </w:p>
        </w:tc>
      </w:tr>
      <w:tr>
        <w:trPr>
          <w:trHeight w:val="167"/>
        </w:trPr>
        <w:tc>
          <w:tcPr>
            <w:tcW w:w="1620" w:type="dxa"/>
            <w:vAlign w:val="bottom"/>
          </w:tcPr>
          <w:p>
            <w:pPr>
              <w:spacing w:after="0"/>
              <w:rPr>
                <w:sz w:val="20"/>
                <w:szCs w:val="20"/>
                <w:color w:val="auto"/>
              </w:rPr>
            </w:pPr>
            <w:r>
              <w:rPr>
                <w:rFonts w:ascii="Arial" w:cs="Arial" w:eastAsia="Arial" w:hAnsi="Arial"/>
                <w:sz w:val="14"/>
                <w:szCs w:val="14"/>
                <w:color w:val="auto"/>
              </w:rPr>
              <w:t>3 to 6 months</w:t>
            </w:r>
          </w:p>
        </w:tc>
        <w:tc>
          <w:tcPr>
            <w:tcW w:w="6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1,561,755</w:t>
            </w:r>
          </w:p>
        </w:tc>
      </w:tr>
      <w:tr>
        <w:trPr>
          <w:trHeight w:val="167"/>
        </w:trPr>
        <w:tc>
          <w:tcPr>
            <w:tcW w:w="1620" w:type="dxa"/>
            <w:vAlign w:val="bottom"/>
            <w:shd w:val="clear" w:color="auto" w:fill="CCEEFF"/>
          </w:tcPr>
          <w:p>
            <w:pPr>
              <w:spacing w:after="0"/>
              <w:rPr>
                <w:sz w:val="20"/>
                <w:szCs w:val="20"/>
                <w:color w:val="auto"/>
              </w:rPr>
            </w:pPr>
            <w:r>
              <w:rPr>
                <w:rFonts w:ascii="Arial" w:cs="Arial" w:eastAsia="Arial" w:hAnsi="Arial"/>
                <w:sz w:val="14"/>
                <w:szCs w:val="14"/>
                <w:color w:val="auto"/>
              </w:rPr>
              <w:t>6 to 12 months</w:t>
            </w:r>
          </w:p>
        </w:tc>
        <w:tc>
          <w:tcPr>
            <w:tcW w:w="6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634,145</w:t>
            </w:r>
          </w:p>
        </w:tc>
      </w:tr>
      <w:tr>
        <w:trPr>
          <w:trHeight w:val="167"/>
        </w:trPr>
        <w:tc>
          <w:tcPr>
            <w:tcW w:w="1620" w:type="dxa"/>
            <w:vAlign w:val="bottom"/>
          </w:tcPr>
          <w:p>
            <w:pPr>
              <w:spacing w:after="0"/>
              <w:rPr>
                <w:sz w:val="20"/>
                <w:szCs w:val="20"/>
                <w:color w:val="auto"/>
              </w:rPr>
            </w:pPr>
            <w:r>
              <w:rPr>
                <w:rFonts w:ascii="Arial" w:cs="Arial" w:eastAsia="Arial" w:hAnsi="Arial"/>
                <w:sz w:val="14"/>
                <w:szCs w:val="14"/>
                <w:color w:val="auto"/>
              </w:rPr>
              <w:t>Over 12 months</w:t>
            </w:r>
          </w:p>
        </w:tc>
        <w:tc>
          <w:tcPr>
            <w:tcW w:w="6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863,789</w:t>
            </w:r>
          </w:p>
        </w:tc>
      </w:tr>
      <w:tr>
        <w:trPr>
          <w:trHeight w:val="20"/>
        </w:trPr>
        <w:tc>
          <w:tcPr>
            <w:tcW w:w="16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1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71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5,538,006</w:t>
            </w:r>
          </w:p>
        </w:tc>
      </w:tr>
      <w:tr>
        <w:trPr>
          <w:trHeight w:val="29"/>
        </w:trPr>
        <w:tc>
          <w:tcPr>
            <w:tcW w:w="16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86" w:lineRule="exact"/>
        <w:rPr>
          <w:sz w:val="20"/>
          <w:szCs w:val="20"/>
          <w:color w:val="auto"/>
        </w:rPr>
      </w:pPr>
    </w:p>
    <w:p>
      <w:pPr>
        <w:ind w:left="680" w:firstLine="599"/>
        <w:spacing w:after="0" w:line="273" w:lineRule="auto"/>
        <w:rPr>
          <w:sz w:val="20"/>
          <w:szCs w:val="20"/>
          <w:color w:val="auto"/>
        </w:rPr>
      </w:pPr>
      <w:r>
        <w:rPr>
          <w:rFonts w:ascii="Arial" w:cs="Arial" w:eastAsia="Arial" w:hAnsi="Arial"/>
          <w:sz w:val="13"/>
          <w:szCs w:val="13"/>
          <w:color w:val="auto"/>
        </w:rPr>
        <w:t>The Company’s Risk Management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 interest rates at points on the yield curve to vary by different amounts) shifts in the yield curve. In utilizing the model, market 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deposit-gathering activities, as well as interrelationships in the magnitude and timing of the repricing of financial instruments, including the effect of changing interest rates on expected prepayments and maturities. When deemed prudent, management has taken actions to mitigate exposure to interest rate risk through the use of on-or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ind w:left="680" w:right="340" w:firstLine="599"/>
        <w:spacing w:after="0" w:line="280" w:lineRule="auto"/>
        <w:rPr>
          <w:sz w:val="20"/>
          <w:szCs w:val="20"/>
          <w:color w:val="auto"/>
        </w:rPr>
      </w:pPr>
      <w:r>
        <w:rPr>
          <w:rFonts w:ascii="Arial" w:cs="Arial" w:eastAsia="Arial" w:hAnsi="Arial"/>
          <w:sz w:val="14"/>
          <w:szCs w:val="14"/>
          <w:color w:val="auto"/>
        </w:rPr>
        <w:t>Table 18 displays as of December 31, 2006 and 2005 the estimated impact on net interest income from non-trading financial instruments in the base scenario described above resulting from parallel changes in interest rates across repricing categories during the first modeling year.</w:t>
      </w:r>
    </w:p>
    <w:p>
      <w:pPr>
        <w:spacing w:after="0" w:line="12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18</w:t>
      </w:r>
    </w:p>
    <w:p>
      <w:pPr>
        <w:spacing w:after="0" w:line="252" w:lineRule="exact"/>
        <w:rPr>
          <w:sz w:val="20"/>
          <w:szCs w:val="20"/>
          <w:color w:val="auto"/>
        </w:rPr>
      </w:pPr>
    </w:p>
    <w:p>
      <w:pPr>
        <w:ind w:left="3000"/>
        <w:spacing w:after="0"/>
        <w:rPr>
          <w:sz w:val="20"/>
          <w:szCs w:val="20"/>
          <w:color w:val="auto"/>
        </w:rPr>
      </w:pPr>
      <w:r>
        <w:rPr>
          <w:rFonts w:ascii="Arial" w:cs="Arial" w:eastAsia="Arial" w:hAnsi="Arial"/>
          <w:sz w:val="14"/>
          <w:szCs w:val="14"/>
          <w:b w:val="1"/>
          <w:bCs w:val="1"/>
          <w:color w:val="auto"/>
        </w:rPr>
        <w:t>SENSITIVITY OF NET INTEREST INCOME TO CHANGES IN INTEREST RATES</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20" w:type="dxa"/>
            <w:vAlign w:val="bottom"/>
          </w:tcPr>
          <w:p>
            <w:pPr>
              <w:spacing w:after="0"/>
              <w:rPr>
                <w:sz w:val="10"/>
                <w:szCs w:val="10"/>
                <w:color w:val="auto"/>
              </w:rPr>
            </w:pPr>
          </w:p>
        </w:tc>
        <w:tc>
          <w:tcPr>
            <w:tcW w:w="1660" w:type="dxa"/>
            <w:vAlign w:val="bottom"/>
            <w:gridSpan w:val="5"/>
          </w:tcPr>
          <w:p>
            <w:pPr>
              <w:jc w:val="center"/>
              <w:ind w:right="100"/>
              <w:spacing w:after="0"/>
              <w:rPr>
                <w:sz w:val="20"/>
                <w:szCs w:val="20"/>
                <w:color w:val="auto"/>
              </w:rPr>
            </w:pPr>
            <w:r>
              <w:rPr>
                <w:rFonts w:ascii="Arial" w:cs="Arial" w:eastAsia="Arial" w:hAnsi="Arial"/>
                <w:sz w:val="10"/>
                <w:szCs w:val="10"/>
                <w:b w:val="1"/>
                <w:bCs w:val="1"/>
                <w:color w:val="auto"/>
                <w:w w:val="93"/>
              </w:rPr>
              <w:t>Calculated Increase</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1660" w:type="dxa"/>
            <w:vAlign w:val="bottom"/>
            <w:gridSpan w:val="5"/>
          </w:tcPr>
          <w:p>
            <w:pPr>
              <w:jc w:val="center"/>
              <w:ind w:right="100"/>
              <w:spacing w:after="0" w:line="108" w:lineRule="exact"/>
              <w:rPr>
                <w:sz w:val="20"/>
                <w:szCs w:val="20"/>
                <w:color w:val="auto"/>
              </w:rPr>
            </w:pPr>
            <w:r>
              <w:rPr>
                <w:rFonts w:ascii="Arial" w:cs="Arial" w:eastAsia="Arial" w:hAnsi="Arial"/>
                <w:sz w:val="10"/>
                <w:szCs w:val="10"/>
                <w:b w:val="1"/>
                <w:bCs w:val="1"/>
                <w:color w:val="auto"/>
                <w:w w:val="93"/>
              </w:rPr>
              <w:t>(Decrease) in Projected</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1660" w:type="dxa"/>
            <w:vAlign w:val="bottom"/>
            <w:gridSpan w:val="5"/>
          </w:tcPr>
          <w:p>
            <w:pPr>
              <w:jc w:val="center"/>
              <w:ind w:right="100"/>
              <w:spacing w:after="0" w:line="108" w:lineRule="exact"/>
              <w:rPr>
                <w:sz w:val="20"/>
                <w:szCs w:val="20"/>
                <w:color w:val="auto"/>
              </w:rPr>
            </w:pPr>
            <w:r>
              <w:rPr>
                <w:rFonts w:ascii="Arial" w:cs="Arial" w:eastAsia="Arial" w:hAnsi="Arial"/>
                <w:sz w:val="10"/>
                <w:szCs w:val="10"/>
                <w:b w:val="1"/>
                <w:bCs w:val="1"/>
                <w:color w:val="auto"/>
                <w:w w:val="94"/>
              </w:rPr>
              <w:t>Net Interest Income</w:t>
            </w:r>
          </w:p>
        </w:tc>
        <w:tc>
          <w:tcPr>
            <w:tcW w:w="0" w:type="dxa"/>
            <w:vAlign w:val="bottom"/>
          </w:tcPr>
          <w:p>
            <w:pPr>
              <w:spacing w:after="0"/>
              <w:rPr>
                <w:sz w:val="1"/>
                <w:szCs w:val="1"/>
                <w:color w:val="auto"/>
              </w:rPr>
            </w:pPr>
          </w:p>
        </w:tc>
      </w:tr>
      <w:tr>
        <w:trPr>
          <w:trHeight w:val="125"/>
        </w:trPr>
        <w:tc>
          <w:tcPr>
            <w:tcW w:w="832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Changes in Interest Rates</w:t>
            </w:r>
          </w:p>
        </w:tc>
        <w:tc>
          <w:tcPr>
            <w:tcW w:w="1100" w:type="dxa"/>
            <w:vAlign w:val="bottom"/>
            <w:tcBorders>
              <w:bottom w:val="single" w:sz="8" w:color="auto"/>
            </w:tcBorders>
            <w:gridSpan w:val="3"/>
          </w:tcPr>
          <w:p>
            <w:pPr>
              <w:jc w:val="center"/>
              <w:ind w:left="400"/>
              <w:spacing w:after="0"/>
              <w:rPr>
                <w:sz w:val="20"/>
                <w:szCs w:val="20"/>
                <w:color w:val="auto"/>
              </w:rPr>
            </w:pPr>
            <w:r>
              <w:rPr>
                <w:rFonts w:ascii="Arial" w:cs="Arial" w:eastAsia="Arial" w:hAnsi="Arial"/>
                <w:sz w:val="10"/>
                <w:szCs w:val="10"/>
                <w:b w:val="1"/>
                <w:bCs w:val="1"/>
                <w:color w:val="auto"/>
                <w:w w:val="96"/>
              </w:rPr>
              <w:t>December 31</w:t>
            </w: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320" w:type="dxa"/>
            <w:vAlign w:val="bottom"/>
            <w:gridSpan w:val="3"/>
            <w:vMerge w:val="continue"/>
          </w:tcPr>
          <w:p>
            <w:pPr>
              <w:spacing w:after="0"/>
              <w:rPr>
                <w:sz w:val="9"/>
                <w:szCs w:val="9"/>
                <w:color w:val="auto"/>
              </w:rPr>
            </w:pPr>
          </w:p>
        </w:tc>
        <w:tc>
          <w:tcPr>
            <w:tcW w:w="580" w:type="dxa"/>
            <w:vAlign w:val="bottom"/>
          </w:tcPr>
          <w:p>
            <w:pPr>
              <w:jc w:val="right"/>
              <w:ind w:right="120"/>
              <w:spacing w:after="0" w:line="10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ind w:right="112"/>
              <w:spacing w:after="0" w:line="10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b w:val="1"/>
                <w:bCs w:val="1"/>
                <w:color w:val="auto"/>
              </w:rPr>
              <w:t>(Dollars</w:t>
            </w:r>
          </w:p>
        </w:tc>
        <w:tc>
          <w:tcPr>
            <w:tcW w:w="980" w:type="dxa"/>
            <w:vAlign w:val="bottom"/>
            <w:gridSpan w:val="3"/>
          </w:tcPr>
          <w:p>
            <w:pPr>
              <w:jc w:val="right"/>
              <w:ind w:right="212"/>
              <w:spacing w:after="0"/>
              <w:rPr>
                <w:sz w:val="20"/>
                <w:szCs w:val="20"/>
                <w:color w:val="auto"/>
              </w:rPr>
            </w:pPr>
            <w:r>
              <w:rPr>
                <w:rFonts w:ascii="Arial" w:cs="Arial" w:eastAsia="Arial" w:hAnsi="Arial"/>
                <w:sz w:val="10"/>
                <w:szCs w:val="10"/>
                <w:b w:val="1"/>
                <w:bCs w:val="1"/>
                <w:color w:val="auto"/>
              </w:rPr>
              <w:t>in thousands)</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8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200 basis points</w:t>
            </w:r>
          </w:p>
        </w:tc>
        <w:tc>
          <w:tcPr>
            <w:tcW w:w="980" w:type="dxa"/>
            <w:vAlign w:val="bottom"/>
            <w:gridSpan w:val="2"/>
            <w:shd w:val="clear" w:color="auto" w:fill="CCEEFF"/>
          </w:tcPr>
          <w:p>
            <w:pPr>
              <w:jc w:val="right"/>
              <w:ind w:right="348"/>
              <w:spacing w:after="0"/>
              <w:rPr>
                <w:sz w:val="20"/>
                <w:szCs w:val="20"/>
                <w:color w:val="auto"/>
              </w:rPr>
            </w:pPr>
            <w:r>
              <w:rPr>
                <w:rFonts w:ascii="Arial" w:cs="Arial" w:eastAsia="Arial" w:hAnsi="Arial"/>
                <w:sz w:val="14"/>
                <w:szCs w:val="14"/>
                <w:color w:val="auto"/>
                <w:w w:val="95"/>
              </w:rPr>
              <w:t>$  15,098</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(7,178)</w:t>
            </w:r>
          </w:p>
        </w:tc>
        <w:tc>
          <w:tcPr>
            <w:tcW w:w="0" w:type="dxa"/>
            <w:vAlign w:val="bottom"/>
          </w:tcPr>
          <w:p>
            <w:pPr>
              <w:spacing w:after="0"/>
              <w:rPr>
                <w:sz w:val="1"/>
                <w:szCs w:val="1"/>
                <w:color w:val="auto"/>
              </w:rPr>
            </w:pPr>
          </w:p>
        </w:tc>
      </w:tr>
      <w:tr>
        <w:trPr>
          <w:trHeight w:val="167"/>
        </w:trPr>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8020" w:type="dxa"/>
            <w:vAlign w:val="bottom"/>
          </w:tcPr>
          <w:p>
            <w:pPr>
              <w:ind w:left="220"/>
              <w:spacing w:after="0"/>
              <w:rPr>
                <w:sz w:val="20"/>
                <w:szCs w:val="20"/>
                <w:color w:val="auto"/>
              </w:rPr>
            </w:pPr>
            <w:r>
              <w:rPr>
                <w:rFonts w:ascii="Arial" w:cs="Arial" w:eastAsia="Arial" w:hAnsi="Arial"/>
                <w:sz w:val="14"/>
                <w:szCs w:val="14"/>
                <w:color w:val="auto"/>
              </w:rPr>
              <w:t>100 basis points</w:t>
            </w:r>
          </w:p>
        </w:tc>
        <w:tc>
          <w:tcPr>
            <w:tcW w:w="980" w:type="dxa"/>
            <w:vAlign w:val="bottom"/>
            <w:gridSpan w:val="2"/>
          </w:tcPr>
          <w:p>
            <w:pPr>
              <w:jc w:val="right"/>
              <w:ind w:right="348"/>
              <w:spacing w:after="0"/>
              <w:rPr>
                <w:sz w:val="20"/>
                <w:szCs w:val="20"/>
                <w:color w:val="auto"/>
              </w:rPr>
            </w:pPr>
            <w:r>
              <w:rPr>
                <w:rFonts w:ascii="Arial" w:cs="Arial" w:eastAsia="Arial" w:hAnsi="Arial"/>
                <w:sz w:val="14"/>
                <w:szCs w:val="14"/>
                <w:color w:val="auto"/>
              </w:rPr>
              <w:t>13,260</w:t>
            </w:r>
          </w:p>
        </w:tc>
        <w:tc>
          <w:tcPr>
            <w:tcW w:w="12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(4,096)</w:t>
            </w:r>
          </w:p>
        </w:tc>
        <w:tc>
          <w:tcPr>
            <w:tcW w:w="0" w:type="dxa"/>
            <w:vAlign w:val="bottom"/>
          </w:tcPr>
          <w:p>
            <w:pPr>
              <w:spacing w:after="0"/>
              <w:rPr>
                <w:sz w:val="1"/>
                <w:szCs w:val="1"/>
                <w:color w:val="auto"/>
              </w:rPr>
            </w:pPr>
          </w:p>
        </w:tc>
      </w:tr>
      <w:tr>
        <w:trPr>
          <w:trHeight w:val="167"/>
        </w:trPr>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8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100 basis points</w:t>
            </w:r>
          </w:p>
        </w:tc>
        <w:tc>
          <w:tcPr>
            <w:tcW w:w="980" w:type="dxa"/>
            <w:vAlign w:val="bottom"/>
            <w:gridSpan w:val="2"/>
            <w:shd w:val="clear" w:color="auto" w:fill="CCEEFF"/>
          </w:tcPr>
          <w:p>
            <w:pPr>
              <w:jc w:val="right"/>
              <w:ind w:right="288"/>
              <w:spacing w:after="0"/>
              <w:rPr>
                <w:sz w:val="20"/>
                <w:szCs w:val="20"/>
                <w:color w:val="auto"/>
              </w:rPr>
            </w:pPr>
            <w:r>
              <w:rPr>
                <w:rFonts w:ascii="Arial" w:cs="Arial" w:eastAsia="Arial" w:hAnsi="Arial"/>
                <w:sz w:val="14"/>
                <w:szCs w:val="14"/>
                <w:color w:val="auto"/>
              </w:rPr>
              <w:t>(12,759)</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(5,733)</w:t>
            </w: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8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200 basis points</w:t>
            </w:r>
          </w:p>
        </w:tc>
        <w:tc>
          <w:tcPr>
            <w:tcW w:w="980" w:type="dxa"/>
            <w:vAlign w:val="bottom"/>
            <w:gridSpan w:val="2"/>
            <w:shd w:val="clear" w:color="auto" w:fill="CCEEFF"/>
          </w:tcPr>
          <w:p>
            <w:pPr>
              <w:jc w:val="right"/>
              <w:ind w:right="288"/>
              <w:spacing w:after="0"/>
              <w:rPr>
                <w:sz w:val="20"/>
                <w:szCs w:val="20"/>
                <w:color w:val="auto"/>
              </w:rPr>
            </w:pPr>
            <w:r>
              <w:rPr>
                <w:rFonts w:ascii="Arial" w:cs="Arial" w:eastAsia="Arial" w:hAnsi="Arial"/>
                <w:sz w:val="14"/>
                <w:szCs w:val="14"/>
                <w:color w:val="auto"/>
              </w:rPr>
              <w:t>(26,546)</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5"/>
              </w:rPr>
              <w:t>(16,184)</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80" w:right="40" w:firstLine="599"/>
        <w:spacing w:after="0" w:line="270" w:lineRule="auto"/>
        <w:rPr>
          <w:sz w:val="20"/>
          <w:szCs w:val="20"/>
          <w:color w:val="auto"/>
        </w:rPr>
      </w:pPr>
      <w:r>
        <w:rPr>
          <w:rFonts w:ascii="Arial" w:cs="Arial" w:eastAsia="Arial" w:hAnsi="Arial"/>
          <w:sz w:val="13"/>
          <w:szCs w:val="13"/>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rates during a twelve-month period of 100 and 200 basis points, as compared with the assumed base scenario. In the event that a 100 or 200 basis point rate change cannot be achieved, the applicable rate changes are limited to lesser amounts such that interest rates cannot be less than zero. The assumptions used in interest rate sensitivity modeling are inherently uncertain and, as a result, the Company cannot precisely predict the impact of changes in interest rates on net interest income. Actual results may differ significantly due to the timing, magnitude and frequency of interest rate changes and changes in market conditions and interest rate differentials (spreads) between maturity/repricing categories, as well as any actions, such as those previously described, which management may take to counter such changes. In light of the uncertainties and assumptions associated with the process, the amounts presented in the table and changes in such amounts are not considered significant to the Company’s past or projected net interest income.</w:t>
      </w:r>
    </w:p>
    <w:p>
      <w:pPr>
        <w:spacing w:after="0" w:line="2" w:lineRule="exact"/>
        <w:rPr>
          <w:sz w:val="20"/>
          <w:szCs w:val="20"/>
          <w:color w:val="auto"/>
        </w:rPr>
      </w:pPr>
    </w:p>
    <w:p>
      <w:pPr>
        <w:ind w:left="680" w:firstLine="599"/>
        <w:spacing w:after="0" w:line="276" w:lineRule="auto"/>
        <w:rPr>
          <w:sz w:val="20"/>
          <w:szCs w:val="20"/>
          <w:color w:val="auto"/>
        </w:rPr>
      </w:pPr>
      <w:r>
        <w:rPr>
          <w:rFonts w:ascii="Arial" w:cs="Arial" w:eastAsia="Arial" w:hAnsi="Arial"/>
          <w:sz w:val="13"/>
          <w:szCs w:val="13"/>
          <w:color w:val="auto"/>
        </w:rPr>
        <w:t>In accordance with industry practice, table 19 presents cumulative totals of net assets (liabilities) repricing on a contractual basis within the specified time frames, as adjusted for the impact of interest rate swap agreements entered into for interest rate risk management purposes. Management believes that this measure does not appropriately depict interest rate risk since changes in interest rates do not necessarily affect all categories of earning assets and interest-bearing liabilities equally nor, as assumed in the table, on the contractual maturity or repricing date. Furthermore, this static presentation of interest rate risk fails to consider the effect of ongoing lending and deposit gathering activities, projected changes in balance sheet composition or any subsequent interest rate risk management activities the Company is likely to implement.</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19</w:t>
      </w:r>
    </w:p>
    <w:p>
      <w:pPr>
        <w:spacing w:after="0" w:line="22"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CONTRACTUAL REPRICING DATA</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3440" w:type="dxa"/>
            <w:vAlign w:val="bottom"/>
            <w:vMerge w:val="restart"/>
          </w:tcPr>
          <w:p>
            <w:pPr>
              <w:spacing w:after="0"/>
              <w:rPr>
                <w:sz w:val="20"/>
                <w:szCs w:val="20"/>
                <w:color w:val="auto"/>
              </w:rPr>
            </w:pPr>
            <w:r>
              <w:rPr>
                <w:rFonts w:ascii="Arial" w:cs="Arial" w:eastAsia="Arial" w:hAnsi="Arial"/>
                <w:sz w:val="10"/>
                <w:szCs w:val="10"/>
                <w:b w:val="1"/>
                <w:bCs w:val="1"/>
                <w:color w:val="auto"/>
              </w:rPr>
              <w:t>December 31, 2006</w:t>
            </w:r>
          </w:p>
        </w:tc>
        <w:tc>
          <w:tcPr>
            <w:tcW w:w="120" w:type="dxa"/>
            <w:vAlign w:val="bottom"/>
          </w:tcPr>
          <w:p>
            <w:pPr>
              <w:spacing w:after="0"/>
              <w:rPr>
                <w:sz w:val="10"/>
                <w:szCs w:val="10"/>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Three Months</w:t>
            </w:r>
          </w:p>
        </w:tc>
        <w:tc>
          <w:tcPr>
            <w:tcW w:w="120" w:type="dxa"/>
            <w:vAlign w:val="bottom"/>
          </w:tcPr>
          <w:p>
            <w:pPr>
              <w:spacing w:after="0"/>
              <w:rPr>
                <w:sz w:val="10"/>
                <w:szCs w:val="1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w w:val="99"/>
              </w:rPr>
              <w:t>Four to Twelve</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0"/>
                <w:szCs w:val="10"/>
                <w:b w:val="1"/>
                <w:bCs w:val="1"/>
                <w:color w:val="auto"/>
              </w:rPr>
              <w:t>One to</w:t>
            </w:r>
          </w:p>
        </w:tc>
        <w:tc>
          <w:tcPr>
            <w:tcW w:w="140" w:type="dxa"/>
            <w:vAlign w:val="bottom"/>
          </w:tcPr>
          <w:p>
            <w:pPr>
              <w:spacing w:after="0"/>
              <w:rPr>
                <w:sz w:val="10"/>
                <w:szCs w:val="10"/>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0"/>
                <w:szCs w:val="10"/>
                <w:b w:val="1"/>
                <w:bCs w:val="1"/>
                <w:color w:val="auto"/>
              </w:rPr>
              <w:t>After</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440" w:type="dxa"/>
            <w:vAlign w:val="bottom"/>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b w:val="1"/>
                <w:bCs w:val="1"/>
                <w:color w:val="auto"/>
              </w:rPr>
              <w:t>or Less</w:t>
            </w:r>
          </w:p>
        </w:tc>
        <w:tc>
          <w:tcPr>
            <w:tcW w:w="4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b w:val="1"/>
                <w:bCs w:val="1"/>
                <w:color w:val="auto"/>
              </w:rPr>
              <w:t>Months</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b w:val="1"/>
                <w:bCs w:val="1"/>
                <w:color w:val="auto"/>
                <w:w w:val="99"/>
              </w:rPr>
              <w:t>Five Years</w:t>
            </w:r>
          </w:p>
        </w:tc>
        <w:tc>
          <w:tcPr>
            <w:tcW w:w="4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b w:val="1"/>
                <w:bCs w:val="1"/>
                <w:color w:val="auto"/>
              </w:rPr>
              <w:t>Five Years</w:t>
            </w:r>
          </w:p>
        </w:tc>
        <w:tc>
          <w:tcPr>
            <w:tcW w:w="4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jc w:val="right"/>
              <w:spacing w:after="0"/>
              <w:rPr>
                <w:sz w:val="20"/>
                <w:szCs w:val="20"/>
                <w:color w:val="auto"/>
              </w:rPr>
            </w:pPr>
            <w:r>
              <w:rPr>
                <w:rFonts w:ascii="Arial" w:cs="Arial" w:eastAsia="Arial" w:hAnsi="Arial"/>
                <w:sz w:val="10"/>
                <w:szCs w:val="10"/>
                <w:b w:val="1"/>
                <w:bCs w:val="1"/>
                <w:color w:val="auto"/>
                <w:w w:val="98"/>
              </w:rPr>
              <w:t>(Dollars in thousands)</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Loans and leases, net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20,521,055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3,684,677</w:t>
            </w:r>
          </w:p>
        </w:tc>
        <w:tc>
          <w:tcPr>
            <w:tcW w:w="3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10,330,431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8,411,134</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42,947,297</w:t>
            </w:r>
          </w:p>
        </w:tc>
        <w:tc>
          <w:tcPr>
            <w:tcW w:w="0" w:type="dxa"/>
            <w:vAlign w:val="bottom"/>
          </w:tcPr>
          <w:p>
            <w:pPr>
              <w:spacing w:after="0"/>
              <w:rPr>
                <w:sz w:val="1"/>
                <w:szCs w:val="1"/>
                <w:color w:val="auto"/>
              </w:rPr>
            </w:pPr>
          </w:p>
        </w:tc>
      </w:tr>
      <w:tr>
        <w:trPr>
          <w:trHeight w:val="167"/>
        </w:trPr>
        <w:tc>
          <w:tcPr>
            <w:tcW w:w="3440" w:type="dxa"/>
            <w:vAlign w:val="bottom"/>
          </w:tcPr>
          <w:p>
            <w:pPr>
              <w:spacing w:after="0"/>
              <w:rPr>
                <w:sz w:val="20"/>
                <w:szCs w:val="20"/>
                <w:color w:val="auto"/>
              </w:rPr>
            </w:pPr>
            <w:r>
              <w:rPr>
                <w:rFonts w:ascii="Arial" w:cs="Arial" w:eastAsia="Arial" w:hAnsi="Arial"/>
                <w:sz w:val="14"/>
                <w:szCs w:val="14"/>
                <w:color w:val="auto"/>
              </w:rPr>
              <w:t>Investment securities</w:t>
            </w:r>
          </w:p>
        </w:tc>
        <w:tc>
          <w:tcPr>
            <w:tcW w:w="120" w:type="dxa"/>
            <w:vAlign w:val="bottom"/>
          </w:tcPr>
          <w:p>
            <w:pPr>
              <w:spacing w:after="0"/>
              <w:rPr>
                <w:sz w:val="14"/>
                <w:szCs w:val="1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color w:val="auto"/>
              </w:rPr>
              <w:t>624,657</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593,873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color w:val="auto"/>
              </w:rPr>
              <w:t>3,702,936</w:t>
            </w:r>
          </w:p>
        </w:tc>
        <w:tc>
          <w:tcPr>
            <w:tcW w:w="14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color w:val="auto"/>
              </w:rPr>
              <w:t>2,330,132</w:t>
            </w: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7,251,598</w:t>
            </w:r>
          </w:p>
        </w:tc>
        <w:tc>
          <w:tcPr>
            <w:tcW w:w="0" w:type="dxa"/>
            <w:vAlign w:val="bottom"/>
          </w:tcPr>
          <w:p>
            <w:pPr>
              <w:spacing w:after="0"/>
              <w:rPr>
                <w:sz w:val="1"/>
                <w:szCs w:val="1"/>
                <w:color w:val="auto"/>
              </w:rPr>
            </w:pPr>
          </w:p>
        </w:tc>
      </w:tr>
      <w:tr>
        <w:trPr>
          <w:trHeight w:val="167"/>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Other earning assets</w:t>
            </w: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179,135</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850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179,985</w:t>
            </w:r>
          </w:p>
        </w:tc>
        <w:tc>
          <w:tcPr>
            <w:tcW w:w="0" w:type="dxa"/>
            <w:vAlign w:val="bottom"/>
          </w:tcPr>
          <w:p>
            <w:pPr>
              <w:spacing w:after="0"/>
              <w:rPr>
                <w:sz w:val="1"/>
                <w:szCs w:val="1"/>
                <w:color w:val="auto"/>
              </w:rPr>
            </w:pPr>
          </w:p>
        </w:tc>
      </w:tr>
      <w:tr>
        <w:trPr>
          <w:trHeight w:val="167"/>
        </w:trPr>
        <w:tc>
          <w:tcPr>
            <w:tcW w:w="3440" w:type="dxa"/>
            <w:vAlign w:val="bottom"/>
          </w:tcPr>
          <w:p>
            <w:pPr>
              <w:ind w:left="140"/>
              <w:spacing w:after="0"/>
              <w:rPr>
                <w:sz w:val="20"/>
                <w:szCs w:val="20"/>
                <w:color w:val="auto"/>
              </w:rPr>
            </w:pPr>
            <w:r>
              <w:rPr>
                <w:rFonts w:ascii="Arial" w:cs="Arial" w:eastAsia="Arial" w:hAnsi="Arial"/>
                <w:sz w:val="14"/>
                <w:szCs w:val="14"/>
                <w:i w:val="1"/>
                <w:iCs w:val="1"/>
                <w:color w:val="auto"/>
              </w:rPr>
              <w:t>Total earning assets</w:t>
            </w: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21,324,847</w:t>
            </w:r>
          </w:p>
        </w:tc>
        <w:tc>
          <w:tcPr>
            <w:tcW w:w="4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4,279,400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14,033,367</w:t>
            </w:r>
          </w:p>
        </w:tc>
        <w:tc>
          <w:tcPr>
            <w:tcW w:w="4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10,741,266</w:t>
            </w:r>
          </w:p>
        </w:tc>
        <w:tc>
          <w:tcPr>
            <w:tcW w:w="4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50,378,880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NOW accounts</w:t>
            </w: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940,439</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940,439</w:t>
            </w:r>
          </w:p>
        </w:tc>
        <w:tc>
          <w:tcPr>
            <w:tcW w:w="0" w:type="dxa"/>
            <w:vAlign w:val="bottom"/>
          </w:tcPr>
          <w:p>
            <w:pPr>
              <w:spacing w:after="0"/>
              <w:rPr>
                <w:sz w:val="1"/>
                <w:szCs w:val="1"/>
                <w:color w:val="auto"/>
              </w:rPr>
            </w:pPr>
          </w:p>
        </w:tc>
      </w:tr>
      <w:tr>
        <w:trPr>
          <w:trHeight w:val="167"/>
        </w:trPr>
        <w:tc>
          <w:tcPr>
            <w:tcW w:w="3440" w:type="dxa"/>
            <w:vAlign w:val="bottom"/>
          </w:tcPr>
          <w:p>
            <w:pPr>
              <w:spacing w:after="0"/>
              <w:rPr>
                <w:sz w:val="20"/>
                <w:szCs w:val="20"/>
                <w:color w:val="auto"/>
              </w:rPr>
            </w:pPr>
            <w:r>
              <w:rPr>
                <w:rFonts w:ascii="Arial" w:cs="Arial" w:eastAsia="Arial" w:hAnsi="Arial"/>
                <w:sz w:val="14"/>
                <w:szCs w:val="14"/>
                <w:color w:val="auto"/>
              </w:rPr>
              <w:t>Savings deposits</w:t>
            </w:r>
          </w:p>
        </w:tc>
        <w:tc>
          <w:tcPr>
            <w:tcW w:w="120" w:type="dxa"/>
            <w:vAlign w:val="bottom"/>
          </w:tcPr>
          <w:p>
            <w:pPr>
              <w:spacing w:after="0"/>
              <w:rPr>
                <w:sz w:val="14"/>
                <w:szCs w:val="1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color w:val="auto"/>
              </w:rPr>
              <w:t>14,169,790</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14,169,790</w:t>
            </w:r>
          </w:p>
        </w:tc>
        <w:tc>
          <w:tcPr>
            <w:tcW w:w="0" w:type="dxa"/>
            <w:vAlign w:val="bottom"/>
          </w:tcPr>
          <w:p>
            <w:pPr>
              <w:spacing w:after="0"/>
              <w:rPr>
                <w:sz w:val="1"/>
                <w:szCs w:val="1"/>
                <w:color w:val="auto"/>
              </w:rPr>
            </w:pPr>
          </w:p>
        </w:tc>
      </w:tr>
      <w:tr>
        <w:trPr>
          <w:trHeight w:val="167"/>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Time deposits</w:t>
            </w: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5,817,393</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4,375,761</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1,246,242</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51,233</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11,490,629</w:t>
            </w:r>
          </w:p>
        </w:tc>
        <w:tc>
          <w:tcPr>
            <w:tcW w:w="0" w:type="dxa"/>
            <w:vAlign w:val="bottom"/>
          </w:tcPr>
          <w:p>
            <w:pPr>
              <w:spacing w:after="0"/>
              <w:rPr>
                <w:sz w:val="1"/>
                <w:szCs w:val="1"/>
                <w:color w:val="auto"/>
              </w:rPr>
            </w:pPr>
          </w:p>
        </w:tc>
      </w:tr>
      <w:tr>
        <w:trPr>
          <w:trHeight w:val="167"/>
        </w:trPr>
        <w:tc>
          <w:tcPr>
            <w:tcW w:w="3440" w:type="dxa"/>
            <w:vAlign w:val="bottom"/>
          </w:tcPr>
          <w:p>
            <w:pPr>
              <w:spacing w:after="0"/>
              <w:rPr>
                <w:sz w:val="20"/>
                <w:szCs w:val="20"/>
                <w:color w:val="auto"/>
              </w:rPr>
            </w:pPr>
            <w:r>
              <w:rPr>
                <w:rFonts w:ascii="Arial" w:cs="Arial" w:eastAsia="Arial" w:hAnsi="Arial"/>
                <w:sz w:val="14"/>
                <w:szCs w:val="14"/>
                <w:color w:val="auto"/>
              </w:rPr>
              <w:t>Deposits at foreign office</w:t>
            </w:r>
          </w:p>
        </w:tc>
        <w:tc>
          <w:tcPr>
            <w:tcW w:w="120" w:type="dxa"/>
            <w:vAlign w:val="bottom"/>
          </w:tcPr>
          <w:p>
            <w:pPr>
              <w:spacing w:after="0"/>
              <w:rPr>
                <w:sz w:val="14"/>
                <w:szCs w:val="1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color w:val="auto"/>
              </w:rPr>
              <w:t>5,428,596</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1,072</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5,429,668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44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Total interest-bearing deposits</w:t>
            </w: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26,356,218</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4,376,833</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1,246,242</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51,233</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32,030,526</w:t>
            </w:r>
          </w:p>
        </w:tc>
        <w:tc>
          <w:tcPr>
            <w:tcW w:w="0" w:type="dxa"/>
            <w:vAlign w:val="bottom"/>
          </w:tcPr>
          <w:p>
            <w:pPr>
              <w:spacing w:after="0"/>
              <w:rPr>
                <w:sz w:val="1"/>
                <w:szCs w:val="1"/>
                <w:color w:val="auto"/>
              </w:rPr>
            </w:pPr>
          </w:p>
        </w:tc>
      </w:tr>
      <w:tr>
        <w:trPr>
          <w:trHeight w:val="167"/>
        </w:trPr>
        <w:tc>
          <w:tcPr>
            <w:tcW w:w="3440" w:type="dxa"/>
            <w:vAlign w:val="bottom"/>
          </w:tcPr>
          <w:p>
            <w:pPr>
              <w:spacing w:after="0"/>
              <w:rPr>
                <w:sz w:val="20"/>
                <w:szCs w:val="20"/>
                <w:color w:val="auto"/>
              </w:rPr>
            </w:pPr>
            <w:r>
              <w:rPr>
                <w:rFonts w:ascii="Arial" w:cs="Arial" w:eastAsia="Arial" w:hAnsi="Arial"/>
                <w:sz w:val="14"/>
                <w:szCs w:val="14"/>
                <w:color w:val="auto"/>
              </w:rPr>
              <w:t>Short-term borrowings</w:t>
            </w: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3,094,214</w:t>
            </w:r>
          </w:p>
        </w:tc>
        <w:tc>
          <w:tcPr>
            <w:tcW w:w="4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3,094,214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Long-term borrowings</w:t>
            </w: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3,215,107</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198,353</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837,359</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2,639,922</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6,890,741</w:t>
            </w:r>
          </w:p>
        </w:tc>
        <w:tc>
          <w:tcPr>
            <w:tcW w:w="0" w:type="dxa"/>
            <w:vAlign w:val="bottom"/>
          </w:tcPr>
          <w:p>
            <w:pPr>
              <w:spacing w:after="0"/>
              <w:rPr>
                <w:sz w:val="1"/>
                <w:szCs w:val="1"/>
                <w:color w:val="auto"/>
              </w:rPr>
            </w:pPr>
          </w:p>
        </w:tc>
      </w:tr>
      <w:tr>
        <w:trPr>
          <w:trHeight w:val="167"/>
        </w:trPr>
        <w:tc>
          <w:tcPr>
            <w:tcW w:w="3440" w:type="dxa"/>
            <w:vAlign w:val="bottom"/>
          </w:tcPr>
          <w:p>
            <w:pPr>
              <w:ind w:left="140"/>
              <w:spacing w:after="0"/>
              <w:rPr>
                <w:sz w:val="20"/>
                <w:szCs w:val="20"/>
                <w:color w:val="auto"/>
              </w:rPr>
            </w:pPr>
            <w:r>
              <w:rPr>
                <w:rFonts w:ascii="Arial" w:cs="Arial" w:eastAsia="Arial" w:hAnsi="Arial"/>
                <w:sz w:val="14"/>
                <w:szCs w:val="14"/>
                <w:i w:val="1"/>
                <w:iCs w:val="1"/>
                <w:color w:val="auto"/>
              </w:rPr>
              <w:t>Total interest-bearing liabilities</w:t>
            </w: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32,665,539</w:t>
            </w:r>
          </w:p>
        </w:tc>
        <w:tc>
          <w:tcPr>
            <w:tcW w:w="4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4,575,186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2,083,601</w:t>
            </w:r>
          </w:p>
        </w:tc>
        <w:tc>
          <w:tcPr>
            <w:tcW w:w="4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2,691,155</w:t>
            </w:r>
          </w:p>
        </w:tc>
        <w:tc>
          <w:tcPr>
            <w:tcW w:w="42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42,015,481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Interest rate swaps</w:t>
            </w: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(922,241)</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205,000</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177,241</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540,000</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440" w:type="dxa"/>
            <w:vAlign w:val="bottom"/>
          </w:tcPr>
          <w:p>
            <w:pPr>
              <w:spacing w:after="0"/>
              <w:rPr>
                <w:sz w:val="20"/>
                <w:szCs w:val="20"/>
                <w:color w:val="auto"/>
              </w:rPr>
            </w:pPr>
            <w:r>
              <w:rPr>
                <w:rFonts w:ascii="Arial" w:cs="Arial" w:eastAsia="Arial" w:hAnsi="Arial"/>
                <w:sz w:val="14"/>
                <w:szCs w:val="14"/>
                <w:color w:val="auto"/>
              </w:rPr>
              <w:t>Periodic gap</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(12,262,933)</w:t>
            </w:r>
          </w:p>
        </w:tc>
        <w:tc>
          <w:tcPr>
            <w:tcW w:w="46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(90,786)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12,127,007</w:t>
            </w:r>
          </w:p>
        </w:tc>
        <w:tc>
          <w:tcPr>
            <w:tcW w:w="46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8,590,111</w:t>
            </w:r>
          </w:p>
        </w:tc>
        <w:tc>
          <w:tcPr>
            <w:tcW w:w="4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440" w:type="dxa"/>
            <w:vAlign w:val="bottom"/>
            <w:shd w:val="clear" w:color="auto" w:fill="CCEEFF"/>
          </w:tcPr>
          <w:p>
            <w:pPr>
              <w:spacing w:after="0"/>
              <w:rPr>
                <w:sz w:val="20"/>
                <w:szCs w:val="20"/>
                <w:color w:val="auto"/>
              </w:rPr>
            </w:pPr>
            <w:r>
              <w:rPr>
                <w:rFonts w:ascii="Arial" w:cs="Arial" w:eastAsia="Arial" w:hAnsi="Arial"/>
                <w:sz w:val="14"/>
                <w:szCs w:val="14"/>
                <w:color w:val="auto"/>
              </w:rPr>
              <w:t>Cumulative gap</w:t>
            </w:r>
          </w:p>
        </w:tc>
        <w:tc>
          <w:tcPr>
            <w:tcW w:w="12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(12,262,933)</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(12,353,719)</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(226,712)</w:t>
            </w:r>
          </w:p>
        </w:tc>
        <w:tc>
          <w:tcPr>
            <w:tcW w:w="14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8,363,399</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440" w:type="dxa"/>
            <w:vAlign w:val="bottom"/>
          </w:tcPr>
          <w:p>
            <w:pPr>
              <w:spacing w:after="0"/>
              <w:rPr>
                <w:sz w:val="20"/>
                <w:szCs w:val="20"/>
                <w:color w:val="auto"/>
              </w:rPr>
            </w:pPr>
            <w:r>
              <w:rPr>
                <w:rFonts w:ascii="Arial" w:cs="Arial" w:eastAsia="Arial" w:hAnsi="Arial"/>
                <w:sz w:val="14"/>
                <w:szCs w:val="14"/>
                <w:color w:val="auto"/>
              </w:rPr>
              <w:t>Cumulative gap as a % of total earning assets</w:t>
            </w:r>
          </w:p>
        </w:tc>
        <w:tc>
          <w:tcPr>
            <w:tcW w:w="120" w:type="dxa"/>
            <w:vAlign w:val="bottom"/>
          </w:tcPr>
          <w:p>
            <w:pPr>
              <w:spacing w:after="0"/>
              <w:rPr>
                <w:sz w:val="15"/>
                <w:szCs w:val="15"/>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color w:val="auto"/>
              </w:rPr>
              <w:t>(24.3)%</w:t>
            </w:r>
          </w:p>
        </w:tc>
        <w:tc>
          <w:tcPr>
            <w:tcW w:w="12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(24.5)%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(0.5)%</w:t>
            </w:r>
          </w:p>
        </w:tc>
        <w:tc>
          <w:tcPr>
            <w:tcW w:w="140" w:type="dxa"/>
            <w:vAlign w:val="bottom"/>
          </w:tcPr>
          <w:p>
            <w:pPr>
              <w:spacing w:after="0"/>
              <w:rPr>
                <w:sz w:val="15"/>
                <w:szCs w:val="15"/>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color w:val="auto"/>
              </w:rPr>
              <w:t>16.6%</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-1894205</wp:posOffset>
            </wp:positionV>
            <wp:extent cx="18415"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41" w:lineRule="exact"/>
        <w:rPr>
          <w:sz w:val="20"/>
          <w:szCs w:val="20"/>
          <w:color w:val="auto"/>
        </w:rPr>
      </w:pPr>
    </w:p>
    <w:p>
      <w:pPr>
        <w:ind w:left="680" w:firstLine="599"/>
        <w:spacing w:after="0" w:line="271" w:lineRule="auto"/>
        <w:rPr>
          <w:sz w:val="20"/>
          <w:szCs w:val="20"/>
          <w:color w:val="auto"/>
        </w:rPr>
      </w:pPr>
      <w:r>
        <w:rPr>
          <w:rFonts w:ascii="Arial" w:cs="Arial" w:eastAsia="Arial" w:hAnsi="Arial"/>
          <w:sz w:val="13"/>
          <w:szCs w:val="13"/>
          <w:color w:val="auto"/>
        </w:rPr>
        <w:t>The Company engages in trading activities to meet the financial needs of customers, to fund the Company’s obligations under certain deferred compensation plans and, to a limited extent, to profit from perceived market opportunities. Financial instruments utilized in trading activities have included forward and futures contracts related to foreign currencies and mortgage-backed securities, U.S. Treasury and other government securities, mortgage-backed securities, mutual funds and interest rate contracts, such as swap agreements. The Company generally mitigates the foreign currency and interest rate risk associated with trading activities by entering into offsetting trading positions. The amounts of gross and net trading positions, as well as the type of trading activities conducted by the Company, are subject to a well-defined series of potential loss exposure limits established by management and approved by M</w:t>
      </w:r>
      <w:r>
        <w:rPr>
          <w:rFonts w:ascii="Arial" w:cs="Arial" w:eastAsia="Arial" w:hAnsi="Arial"/>
          <w:sz w:val="12"/>
          <w:szCs w:val="12"/>
          <w:color w:val="auto"/>
        </w:rPr>
        <w:t>&amp;</w:t>
      </w:r>
      <w:r>
        <w:rPr>
          <w:rFonts w:ascii="Arial" w:cs="Arial" w:eastAsia="Arial" w:hAnsi="Arial"/>
          <w:sz w:val="13"/>
          <w:szCs w:val="13"/>
          <w:color w:val="auto"/>
        </w:rPr>
        <w:t>T’s Board of Directors. However, as with any non-government guaranteed financial instrument, the Company is exposed to credit risk associated with counterparties to the Company’s trading activities.</w:t>
      </w:r>
    </w:p>
    <w:p>
      <w:pPr>
        <w:ind w:left="1280"/>
        <w:spacing w:after="0"/>
        <w:rPr>
          <w:sz w:val="20"/>
          <w:szCs w:val="20"/>
          <w:color w:val="auto"/>
        </w:rPr>
      </w:pPr>
      <w:r>
        <w:rPr>
          <w:rFonts w:ascii="Arial" w:cs="Arial" w:eastAsia="Arial" w:hAnsi="Arial"/>
          <w:sz w:val="13"/>
          <w:szCs w:val="13"/>
          <w:color w:val="auto"/>
        </w:rPr>
        <w:t>The notional amounts of interest rate contracts entered into for trading purposes aggregated $7.6 billion at December 31, 2006 and $6.7 billion at December 31,</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2005. The notional amounts of foreign currency and other option and futures contracts entered into for trading purposes totaled $613 million and $679 million at</w:t>
      </w:r>
    </w:p>
    <w:p>
      <w:pPr>
        <w:spacing w:after="0" w:line="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December 31, 2006 and 2005, respectively. Although the notional amounts of these trading contracts are not recorded in the consolidated balance sheet, the fair values of all</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financial instruments used for trading activities are recorded in the consolidated balance sheet. The fair values of trading account assets and liabilities were $137 million and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$65 million, respectively, at December 31, 2006 and $192 million and $77 million, respectively, at December 31, 2005. Included in trading account assets at December 31,</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2006 and 2005 were $45 million and $41 million, respectively, of assets related to deferred compensation plans. Changes in the fair value of such assets are recorded as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trading account and foreign exchange gains in the consolidated statement of income. Included in other liabilities in the consolidated balance sheet at December 31, 2006 and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2005 were $49 million and $48 million, respectively, of liabilities related to deferred compensation plans. Changes in the balances of</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ind w:left="680" w:right="500"/>
        <w:spacing w:after="0" w:line="258" w:lineRule="auto"/>
        <w:rPr>
          <w:sz w:val="20"/>
          <w:szCs w:val="20"/>
          <w:color w:val="auto"/>
        </w:rPr>
      </w:pPr>
      <w:r>
        <w:rPr>
          <w:rFonts w:ascii="Arial" w:cs="Arial" w:eastAsia="Arial" w:hAnsi="Arial"/>
          <w:sz w:val="14"/>
          <w:szCs w:val="14"/>
          <w:color w:val="auto"/>
        </w:rPr>
        <w:t>such liabilities due to the valuation of allocated investment options to which the liabilities are indexed are recorded in “other costs of operations” in the consolidated statement of income.</w:t>
      </w:r>
    </w:p>
    <w:p>
      <w:pPr>
        <w:jc w:val="both"/>
        <w:ind w:left="680" w:right="160" w:firstLine="599"/>
        <w:spacing w:after="0" w:line="285" w:lineRule="auto"/>
        <w:rPr>
          <w:sz w:val="20"/>
          <w:szCs w:val="20"/>
          <w:color w:val="auto"/>
        </w:rPr>
      </w:pPr>
      <w:r>
        <w:rPr>
          <w:rFonts w:ascii="Arial" w:cs="Arial" w:eastAsia="Arial" w:hAnsi="Arial"/>
          <w:sz w:val="13"/>
          <w:szCs w:val="13"/>
          <w:color w:val="auto"/>
        </w:rPr>
        <w:t>Given the Company’s policies, limits and positions, management believes that the potential loss exposure to the Company resulting from market risk associated with trading activities was not material, however, as previously noted, the Company is exposed to credit risk associated with counterparties to transactions associated with the Company’s trading activities. Additional information related to trading derivative contracts is included in note 17 of Notes to Financial Statements.</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Capital</w:t>
      </w:r>
    </w:p>
    <w:p>
      <w:pPr>
        <w:spacing w:after="0" w:line="22" w:lineRule="exact"/>
        <w:rPr>
          <w:sz w:val="20"/>
          <w:szCs w:val="20"/>
          <w:color w:val="auto"/>
        </w:rPr>
      </w:pPr>
    </w:p>
    <w:p>
      <w:pPr>
        <w:ind w:left="680" w:right="160"/>
        <w:spacing w:after="0" w:line="268" w:lineRule="auto"/>
        <w:rPr>
          <w:sz w:val="20"/>
          <w:szCs w:val="20"/>
          <w:color w:val="auto"/>
        </w:rPr>
      </w:pPr>
      <w:r>
        <w:rPr>
          <w:rFonts w:ascii="Arial" w:cs="Arial" w:eastAsia="Arial" w:hAnsi="Arial"/>
          <w:sz w:val="13"/>
          <w:szCs w:val="13"/>
          <w:color w:val="auto"/>
        </w:rPr>
        <w:t>Stockholders’ equity at December 31, 2006 totaled $6.3 billion and represented 11.01% of total assets, compared with $5.9 billion or 10.66% at December 31, 2005 and $5.7 billion or 10.82% at December 31, 2004. On a per share basis, stockholders’ equity was $56.94 at December 31, 2006, up 9% from $52.39 at the 2005 year-end and 15% higher than $49.68 at December 31, 2004. Tangible equity per share was $28.57 at December 31, 2006, compared with $25.91 and $23.62 at December 31, 2005 and 2004, respectively. In the calculation of tangible equity per common share, stockholders’ equity is reduced by the carrying values of goodwill and core deposit and other intangible assets, net of applicable deferred tax balances. A reconciliation of total stockholders’ equity and tangible equity as of December 31, 2006, 2005 and 2004 is presented in table 2. The ratio of average total stockholders’ equity to average total assets was 10.82%, 10.71% and 11.07% in 2006, 2005 and 2004, respectively.</w:t>
      </w:r>
    </w:p>
    <w:p>
      <w:pPr>
        <w:spacing w:after="0" w:line="1" w:lineRule="exact"/>
        <w:rPr>
          <w:sz w:val="20"/>
          <w:szCs w:val="20"/>
          <w:color w:val="auto"/>
        </w:rPr>
      </w:pPr>
    </w:p>
    <w:p>
      <w:pPr>
        <w:ind w:left="680" w:firstLine="599"/>
        <w:spacing w:after="0" w:line="268" w:lineRule="auto"/>
        <w:rPr>
          <w:sz w:val="20"/>
          <w:szCs w:val="20"/>
          <w:color w:val="auto"/>
        </w:rPr>
      </w:pPr>
      <w:r>
        <w:rPr>
          <w:rFonts w:ascii="Arial" w:cs="Arial" w:eastAsia="Arial" w:hAnsi="Arial"/>
          <w:sz w:val="13"/>
          <w:szCs w:val="13"/>
          <w:color w:val="auto"/>
        </w:rPr>
        <w:t>Stockholders’ equity reflects accumulated other comprehensive income or loss, which includes the net after-tax impact of unrealized gains or losses on investment securities classified as available for sale; unrealized fair value gains or losses associated with interest rate swap agreements designated as cash flow hedges; minimum pension liability adjustments; and the impact of applying SFAS No. 158. Net unrealized losses on available-for-sale investment securities were $25 million, or $.23 per common share, at December 31, 2006, compared with losses of $49 million, or $.43 per common share, at December 31, 2005 and $5 million, or $.04 per common share, at December 31, 2004. Such unrealized losses are generally due to changes in interest rates and represent the difference, net of applicable income tax effect, between the estimated fair value and amortized cost of investment securities classified as available for sale. There were no outstanding interest rate swap agreements designated as cash flow hedges at December 31, 2006, 2005 or 2004. Adjustments to reflect the funded status of defined benefit pension and other postretirement plans, net of applicable tax effect, included in accumulated other comprehensive income reduced stockholders’ equity by $28 million at December 31, 2006, or $.26 per share. Similar adjustments to recognize minimum pension liabilities as then required by SFAS No. 87, net of applicable tax effect, reduced stockholders’ equity by $49 million or $.44 per share at December 31, 2005 and $12 million or $.11 per share at December 31, 2004. Information about the funded status of the Company’s pension and other postretirement benefit plans is included in note 11 of Notes to Financial Statements.</w:t>
      </w:r>
    </w:p>
    <w:p>
      <w:pPr>
        <w:spacing w:after="0" w:line="2" w:lineRule="exact"/>
        <w:rPr>
          <w:sz w:val="20"/>
          <w:szCs w:val="20"/>
          <w:color w:val="auto"/>
        </w:rPr>
      </w:pPr>
    </w:p>
    <w:p>
      <w:pPr>
        <w:ind w:left="680" w:right="100" w:firstLine="599"/>
        <w:spacing w:after="0" w:line="249" w:lineRule="auto"/>
        <w:rPr>
          <w:sz w:val="20"/>
          <w:szCs w:val="20"/>
          <w:color w:val="auto"/>
        </w:rPr>
      </w:pPr>
      <w:r>
        <w:rPr>
          <w:rFonts w:ascii="Arial" w:cs="Arial" w:eastAsia="Arial" w:hAnsi="Arial"/>
          <w:sz w:val="14"/>
          <w:szCs w:val="14"/>
          <w:color w:val="auto"/>
        </w:rPr>
        <w:t>Cash dividends paid in 2006 on M</w:t>
      </w:r>
      <w:r>
        <w:rPr>
          <w:rFonts w:ascii="Arial" w:cs="Arial" w:eastAsia="Arial" w:hAnsi="Arial"/>
          <w:sz w:val="13"/>
          <w:szCs w:val="13"/>
          <w:color w:val="auto"/>
        </w:rPr>
        <w:t>&amp;</w:t>
      </w:r>
      <w:r>
        <w:rPr>
          <w:rFonts w:ascii="Arial" w:cs="Arial" w:eastAsia="Arial" w:hAnsi="Arial"/>
          <w:sz w:val="14"/>
          <w:szCs w:val="14"/>
          <w:color w:val="auto"/>
        </w:rPr>
        <w:t>T’s common stock totaled $250 million, compared with $199 million and $188 million in 2005 and 2004, respectively. M</w:t>
      </w:r>
      <w:r>
        <w:rPr>
          <w:rFonts w:ascii="Arial" w:cs="Arial" w:eastAsia="Arial" w:hAnsi="Arial"/>
          <w:sz w:val="13"/>
          <w:szCs w:val="13"/>
          <w:color w:val="auto"/>
        </w:rPr>
        <w:t>&amp;</w:t>
      </w:r>
      <w:r>
        <w:rPr>
          <w:rFonts w:ascii="Arial" w:cs="Arial" w:eastAsia="Arial" w:hAnsi="Arial"/>
          <w:sz w:val="14"/>
          <w:szCs w:val="14"/>
          <w:color w:val="auto"/>
        </w:rPr>
        <w:t>T increased the quarterly dividend on its common stock in the second quarter of 2005 from $.40 to $.45 per share, and again in the second quarter of 2006 to $.60 per share. Dividends per common share totaled $2.25 in 2006, up 29% from $1.75 in 2005 and 41% above $1.60 in 2004.</w:t>
      </w:r>
    </w:p>
    <w:p>
      <w:pPr>
        <w:ind w:left="680" w:right="60" w:firstLine="599"/>
        <w:spacing w:after="0" w:line="249" w:lineRule="auto"/>
        <w:rPr>
          <w:sz w:val="20"/>
          <w:szCs w:val="20"/>
          <w:color w:val="auto"/>
        </w:rPr>
      </w:pPr>
      <w:r>
        <w:rPr>
          <w:rFonts w:ascii="Arial" w:cs="Arial" w:eastAsia="Arial" w:hAnsi="Arial"/>
          <w:sz w:val="14"/>
          <w:szCs w:val="14"/>
          <w:color w:val="auto"/>
        </w:rPr>
        <w:t>M</w:t>
      </w:r>
      <w:r>
        <w:rPr>
          <w:rFonts w:ascii="Arial" w:cs="Arial" w:eastAsia="Arial" w:hAnsi="Arial"/>
          <w:sz w:val="13"/>
          <w:szCs w:val="13"/>
          <w:color w:val="auto"/>
        </w:rPr>
        <w:t>&amp;</w:t>
      </w:r>
      <w:r>
        <w:rPr>
          <w:rFonts w:ascii="Arial" w:cs="Arial" w:eastAsia="Arial" w:hAnsi="Arial"/>
          <w:sz w:val="14"/>
          <w:szCs w:val="14"/>
          <w:color w:val="auto"/>
        </w:rPr>
        <w:t>T repurchased 3,259,000 shares of its common stock in 2006, 4,891,800 shares in 2005 and 6,520,800 shares in 2004, at a cost of $374 million, $510 million and $610 million, respectively. In December 2004, M</w:t>
      </w:r>
      <w:r>
        <w:rPr>
          <w:rFonts w:ascii="Arial" w:cs="Arial" w:eastAsia="Arial" w:hAnsi="Arial"/>
          <w:sz w:val="13"/>
          <w:szCs w:val="13"/>
          <w:color w:val="auto"/>
        </w:rPr>
        <w:t>&amp;</w:t>
      </w:r>
      <w:r>
        <w:rPr>
          <w:rFonts w:ascii="Arial" w:cs="Arial" w:eastAsia="Arial" w:hAnsi="Arial"/>
          <w:sz w:val="14"/>
          <w:szCs w:val="14"/>
          <w:color w:val="auto"/>
        </w:rPr>
        <w:t>T had announced a plan to purchase up to 5,000,000 shares of its common stock. That repurchase plan was completed in December 2005. In November 2005, M</w:t>
      </w:r>
      <w:r>
        <w:rPr>
          <w:rFonts w:ascii="Arial" w:cs="Arial" w:eastAsia="Arial" w:hAnsi="Arial"/>
          <w:sz w:val="13"/>
          <w:szCs w:val="13"/>
          <w:color w:val="auto"/>
        </w:rPr>
        <w:t>&amp;</w:t>
      </w:r>
      <w:r>
        <w:rPr>
          <w:rFonts w:ascii="Arial" w:cs="Arial" w:eastAsia="Arial" w:hAnsi="Arial"/>
          <w:sz w:val="14"/>
          <w:szCs w:val="14"/>
          <w:color w:val="auto"/>
        </w:rPr>
        <w:t>T announced that it had been authorized by its Board of Directors to purchase up to an additional 5,000,000 shares of its common stock. Through December 31, 2006, M</w:t>
      </w:r>
      <w:r>
        <w:rPr>
          <w:rFonts w:ascii="Arial" w:cs="Arial" w:eastAsia="Arial" w:hAnsi="Arial"/>
          <w:sz w:val="13"/>
          <w:szCs w:val="13"/>
          <w:color w:val="auto"/>
        </w:rPr>
        <w:t>&amp;</w:t>
      </w:r>
      <w:r>
        <w:rPr>
          <w:rFonts w:ascii="Arial" w:cs="Arial" w:eastAsia="Arial" w:hAnsi="Arial"/>
          <w:sz w:val="14"/>
          <w:szCs w:val="14"/>
          <w:color w:val="auto"/>
        </w:rPr>
        <w:t>T had repurchased a total of 3,303,700 shares of common stock pursuant to such plan at an average cost of $114.66 per share.</w:t>
      </w:r>
    </w:p>
    <w:p>
      <w:pPr>
        <w:ind w:left="680" w:right="160" w:firstLine="599"/>
        <w:spacing w:after="0" w:line="263" w:lineRule="auto"/>
        <w:rPr>
          <w:sz w:val="20"/>
          <w:szCs w:val="20"/>
          <w:color w:val="auto"/>
        </w:rPr>
      </w:pPr>
      <w:r>
        <w:rPr>
          <w:rFonts w:ascii="Arial" w:cs="Arial" w:eastAsia="Arial" w:hAnsi="Arial"/>
          <w:sz w:val="14"/>
          <w:szCs w:val="14"/>
          <w:color w:val="auto"/>
        </w:rPr>
        <w:t>Federal regulators generally require banking institutions to maintain “core capital” and “total capital” ratios of at least 4% and 8%, respectively, of risk-adjusted total assets. In addition to the risk-based measures, Federal bank regulators have also implemented a minimum “leverage” ratio guideline of</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ind w:left="680" w:right="40"/>
        <w:spacing w:after="0" w:line="252" w:lineRule="auto"/>
        <w:rPr>
          <w:sz w:val="20"/>
          <w:szCs w:val="20"/>
          <w:color w:val="auto"/>
        </w:rPr>
      </w:pPr>
      <w:r>
        <w:rPr>
          <w:rFonts w:ascii="Arial" w:cs="Arial" w:eastAsia="Arial" w:hAnsi="Arial"/>
          <w:sz w:val="14"/>
          <w:szCs w:val="14"/>
          <w:color w:val="auto"/>
        </w:rPr>
        <w:t>3% of the quarterly average of total assets. As of December 31, 2006, core capital included $689 million of the trust preferred securities described in note 9 of Notes to Financial Statements and total capital further included $1.4 billion of subordinated capital notes. As previously noted, in December 2006, M</w:t>
      </w:r>
      <w:r>
        <w:rPr>
          <w:rFonts w:ascii="Arial" w:cs="Arial" w:eastAsia="Arial" w:hAnsi="Arial"/>
          <w:sz w:val="13"/>
          <w:szCs w:val="13"/>
          <w:color w:val="auto"/>
        </w:rPr>
        <w:t>&amp;</w:t>
      </w:r>
      <w:r>
        <w:rPr>
          <w:rFonts w:ascii="Arial" w:cs="Arial" w:eastAsia="Arial" w:hAnsi="Arial"/>
          <w:sz w:val="14"/>
          <w:szCs w:val="14"/>
          <w:color w:val="auto"/>
        </w:rPr>
        <w:t>T Bank issued $500 million of fixed rate/floating rate subordinated notes due 2021. The new notes bear interest at a fixed coupon rate of 5.629% for ten years, while thereafter such notes will bear interest at a floating rate that resets monthly at a rate equal to three-month LIBOR plus .64%. The notes are redeemable after the fixed-rate period ends at M</w:t>
      </w:r>
      <w:r>
        <w:rPr>
          <w:rFonts w:ascii="Arial" w:cs="Arial" w:eastAsia="Arial" w:hAnsi="Arial"/>
          <w:sz w:val="13"/>
          <w:szCs w:val="13"/>
          <w:color w:val="auto"/>
        </w:rPr>
        <w:t>&amp;</w:t>
      </w:r>
      <w:r>
        <w:rPr>
          <w:rFonts w:ascii="Arial" w:cs="Arial" w:eastAsia="Arial" w:hAnsi="Arial"/>
          <w:sz w:val="14"/>
          <w:szCs w:val="14"/>
          <w:color w:val="auto"/>
        </w:rPr>
        <w:t>T’s option, subject to regulatory approval.</w:t>
      </w:r>
    </w:p>
    <w:p>
      <w:pPr>
        <w:spacing w:after="0" w:line="2" w:lineRule="exact"/>
        <w:rPr>
          <w:sz w:val="20"/>
          <w:szCs w:val="20"/>
          <w:color w:val="auto"/>
        </w:rPr>
      </w:pPr>
    </w:p>
    <w:p>
      <w:pPr>
        <w:ind w:left="1280" w:right="120"/>
        <w:spacing w:after="0" w:line="268" w:lineRule="auto"/>
        <w:rPr>
          <w:sz w:val="20"/>
          <w:szCs w:val="20"/>
          <w:color w:val="auto"/>
        </w:rPr>
      </w:pPr>
      <w:r>
        <w:rPr>
          <w:rFonts w:ascii="Arial" w:cs="Arial" w:eastAsia="Arial" w:hAnsi="Arial"/>
          <w:sz w:val="13"/>
          <w:szCs w:val="13"/>
          <w:color w:val="auto"/>
        </w:rPr>
        <w:t>The capital ratios of the Company and its banking subsidiaries as of December 31, 2006 and 2005 are presented in note 22 of Notes to Financial Statements. The Company generates significant amounts of regulatory capital. The rate of regulatory core capital generation, or net operating income (as previously defined)</w:t>
      </w:r>
    </w:p>
    <w:p>
      <w:pPr>
        <w:ind w:left="680" w:right="180"/>
        <w:spacing w:after="0" w:line="263" w:lineRule="auto"/>
        <w:rPr>
          <w:sz w:val="20"/>
          <w:szCs w:val="20"/>
          <w:color w:val="auto"/>
        </w:rPr>
      </w:pPr>
      <w:r>
        <w:rPr>
          <w:rFonts w:ascii="Arial" w:cs="Arial" w:eastAsia="Arial" w:hAnsi="Arial"/>
          <w:sz w:val="14"/>
          <w:szCs w:val="14"/>
          <w:color w:val="auto"/>
        </w:rPr>
        <w:t>less the sum of dividends paid and the after-tax effect of merger-related expenses expressed as a percentage of regulatory “core capital” at the beginning of each year, was 17.52% in 2006, 18.50% in 2005 and 18.12% in 2004.</w:t>
      </w:r>
    </w:p>
    <w:p>
      <w:pPr>
        <w:spacing w:after="0" w:line="13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Fourth Quarter Results</w:t>
      </w:r>
    </w:p>
    <w:p>
      <w:pPr>
        <w:spacing w:after="0" w:line="22" w:lineRule="exact"/>
        <w:rPr>
          <w:sz w:val="20"/>
          <w:szCs w:val="20"/>
          <w:color w:val="auto"/>
        </w:rPr>
      </w:pPr>
    </w:p>
    <w:p>
      <w:pPr>
        <w:ind w:left="680"/>
        <w:spacing w:after="0" w:line="249" w:lineRule="auto"/>
        <w:rPr>
          <w:sz w:val="20"/>
          <w:szCs w:val="20"/>
          <w:color w:val="auto"/>
        </w:rPr>
      </w:pPr>
      <w:r>
        <w:rPr>
          <w:rFonts w:ascii="Arial" w:cs="Arial" w:eastAsia="Arial" w:hAnsi="Arial"/>
          <w:sz w:val="14"/>
          <w:szCs w:val="14"/>
          <w:color w:val="auto"/>
        </w:rPr>
        <w:t>Net income increased 4% to $213 million during the fourth quarter of 2006 from $205 million in the year-earlier quarter. Diluted and basic earnings per share were $1.88 and $1.93, respectively, in the final quarter of 2006, compared with $1.78 and $1.82, respectively, in the fourth quarter of 2005. The annualized rates of return on average assets and average common stockholders’ equity for the fourth quarter of 2006 were 1.50% and 13.55%, respectively, compared with 1.48% and 13.85%, respectively, in the year-earlier period.</w:t>
      </w:r>
    </w:p>
    <w:p>
      <w:pPr>
        <w:ind w:left="680" w:right="40" w:firstLine="599"/>
        <w:spacing w:after="0" w:line="268" w:lineRule="auto"/>
        <w:rPr>
          <w:sz w:val="20"/>
          <w:szCs w:val="20"/>
          <w:color w:val="auto"/>
        </w:rPr>
      </w:pPr>
      <w:r>
        <w:rPr>
          <w:rFonts w:ascii="Arial" w:cs="Arial" w:eastAsia="Arial" w:hAnsi="Arial"/>
          <w:sz w:val="13"/>
          <w:szCs w:val="13"/>
          <w:color w:val="auto"/>
        </w:rPr>
        <w:t>Net operating income rose 6% to $225 million in the fourth quarter of 2006 from $213 million in 2005’s final quarter. Diluted net operating earnings per share increased 7% to $1.98 in the recently completed quarter from $1.85 in the fourth quarter of 2005. The annualized net operating returns on average tangible assets and average tangible common equity were 1.67% and 28.71%, respectively, in the fourth quarter of 2006, compared with 1.63% and 29.12%, respectively, in the corresponding 2005 quarter. Core deposit and other intangible asset amortization, after tax effect, totaled $11 million ($.10 per diluted share) and $8 million ($.07 per diluted share) in the fourth quarters of 2006 and 2005, respectively. Reconciliations of GAAP results with non-GAAP results for the quarterly periods of 2006 and 2005 are provided in table 21.</w:t>
      </w:r>
    </w:p>
    <w:p>
      <w:pPr>
        <w:spacing w:after="0" w:line="1" w:lineRule="exact"/>
        <w:rPr>
          <w:sz w:val="20"/>
          <w:szCs w:val="20"/>
          <w:color w:val="auto"/>
        </w:rPr>
      </w:pPr>
    </w:p>
    <w:p>
      <w:pPr>
        <w:ind w:left="680" w:right="40" w:firstLine="599"/>
        <w:spacing w:after="0" w:line="268" w:lineRule="auto"/>
        <w:rPr>
          <w:sz w:val="20"/>
          <w:szCs w:val="20"/>
          <w:color w:val="auto"/>
        </w:rPr>
      </w:pPr>
      <w:r>
        <w:rPr>
          <w:rFonts w:ascii="Arial" w:cs="Arial" w:eastAsia="Arial" w:hAnsi="Arial"/>
          <w:sz w:val="13"/>
          <w:szCs w:val="13"/>
          <w:color w:val="auto"/>
        </w:rPr>
        <w:t>Taxable-equivalent net interest income rose 4% to $472 million in the final quarter of 2006 from $454 million in the year-earlier quarter. That growth was the result of a 3% increase in average earning assets and a widening of the Company’s net interest margin. Average earning assets totaled $50.2 billion in the last quarter of 2006, compared with $48.8 billion in the year-earlier period. Average loans and leases for the recently completed quarter totaled $42.5 billion, up 5% from $40.4 billion during the final quarter of 2005. A $1.1 billion increase in commercial real estate loans, an $863 million rise in residential real estate loans, and a $786 million increase in commercial loans were the leading contributors to the growth in average loans outstanding. The yield on earning assets was 6.92% in the fourth quarter of 2006, up 76 basis points from 6.16% in the fourth quarter of 2005. The rate paid on interest-bearing liabilities was 3.83% in the last quarter of 2006, 85 basis points higher than 2.98% in the corresponding period in 2005. The resulting net interest spread was 3.09% in the recent quarter, down 9 basis points from 3.18% in the fourth quarter of 2005. That decline reflects the impact of higher interest rates in 2006 that resulted in short-term interest rates associated with borrowings and many deposits rising more than longer-term interest rates associated with many loan products. However, the contribution of net interest free funds to the Company’s net interest margin rose to .64% in the final 2006 quarter from .51% in the year-earlier quarter. That rise reflects the impact of higher interest rates on interest-bearing liabilities used to value such contribution. As a result, the Company’s net interest margin improved to 3.73% in the recent quarter from 3.69% in the final quarter of 2005.</w:t>
      </w:r>
    </w:p>
    <w:p>
      <w:pPr>
        <w:spacing w:after="0" w:line="2" w:lineRule="exact"/>
        <w:rPr>
          <w:sz w:val="20"/>
          <w:szCs w:val="20"/>
          <w:color w:val="auto"/>
        </w:rPr>
      </w:pPr>
    </w:p>
    <w:p>
      <w:pPr>
        <w:ind w:left="680" w:right="120" w:firstLine="599"/>
        <w:spacing w:after="0" w:line="256" w:lineRule="auto"/>
        <w:rPr>
          <w:sz w:val="20"/>
          <w:szCs w:val="20"/>
          <w:color w:val="auto"/>
        </w:rPr>
      </w:pPr>
      <w:r>
        <w:rPr>
          <w:rFonts w:ascii="Arial" w:cs="Arial" w:eastAsia="Arial" w:hAnsi="Arial"/>
          <w:sz w:val="14"/>
          <w:szCs w:val="14"/>
          <w:color w:val="auto"/>
        </w:rPr>
        <w:t>The provision for credit losses was $28 million during the three-month period ended December 31, 2006, compared with $23 million in the year-earlier period. Net charge-offs of loans were $24 million in 2006’s fourth quarter, representing an annualized .23% of average loans and leases outstanding, compared with $23 million or .22% during the final three months of 2005.</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ind w:right="60" w:firstLine="459"/>
        <w:spacing w:after="0" w:line="258" w:lineRule="auto"/>
        <w:rPr>
          <w:sz w:val="20"/>
          <w:szCs w:val="20"/>
          <w:color w:val="auto"/>
        </w:rPr>
      </w:pPr>
      <w:r>
        <w:rPr>
          <w:rFonts w:ascii="Arial" w:cs="Arial" w:eastAsia="Arial" w:hAnsi="Arial"/>
          <w:sz w:val="14"/>
          <w:szCs w:val="14"/>
          <w:color w:val="auto"/>
        </w:rPr>
        <w:t>Other income totaled $256 million in the final quarter of 2006, up 3% from $249 million in the year-earlier quarter, due in part to higher revenues from trust and brokerage services activities, service charges on deposit accounts and income from bank owned life insurance, partially offset by a decline in mortgage banking revenues.</w:t>
      </w:r>
    </w:p>
    <w:p>
      <w:pPr>
        <w:ind w:firstLine="459"/>
        <w:spacing w:after="0" w:line="274" w:lineRule="auto"/>
        <w:rPr>
          <w:sz w:val="20"/>
          <w:szCs w:val="20"/>
          <w:color w:val="auto"/>
        </w:rPr>
      </w:pPr>
      <w:r>
        <w:rPr>
          <w:rFonts w:ascii="Arial" w:cs="Arial" w:eastAsia="Arial" w:hAnsi="Arial"/>
          <w:sz w:val="13"/>
          <w:szCs w:val="13"/>
          <w:color w:val="auto"/>
        </w:rPr>
        <w:t>Other expense in the fourth quarter of 2006 increased 4% to $384 million from $369 million in the fourth quarter of 2005. Included in such amounts are expenses considered to be “nonoperating” in nature consisting of amortization of core deposit and other intangible assets of $19 million and $13 million in the final quarter of 2006 and 2005, respectively. Exclusive of these nonoperating expenses, noninterest operating expenses were $365 million in the recently completed quarter, up 2% from $356 million in the last three months of 2005. Higher costs for salaries and a $1 million increase to the valuation allowance for the impairment of capitalized residential mortgage servicing rights in the fourth quarter of 2006, compared with a reversal of a portion of such valuation allowance of $6 million in the year-earlier quarter, were the leading contributors to that rise in operating expense. The Company’s efficiency ratio during the fourth quarter of 2006 and 2005 was 50.2% and 50.7%, respectively. Table 21 includes a reconciliation of other expense to noninterest operating expense for each of the quarters of 2006 and 2005.</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Information</w:t>
      </w:r>
    </w:p>
    <w:p>
      <w:pPr>
        <w:spacing w:after="0" w:line="22" w:lineRule="exact"/>
        <w:rPr>
          <w:sz w:val="20"/>
          <w:szCs w:val="20"/>
          <w:color w:val="auto"/>
        </w:rPr>
      </w:pPr>
    </w:p>
    <w:p>
      <w:pPr>
        <w:ind w:right="100"/>
        <w:spacing w:after="0" w:line="249" w:lineRule="auto"/>
        <w:rPr>
          <w:sz w:val="20"/>
          <w:szCs w:val="20"/>
          <w:color w:val="auto"/>
        </w:rPr>
      </w:pPr>
      <w:r>
        <w:rPr>
          <w:rFonts w:ascii="Arial" w:cs="Arial" w:eastAsia="Arial" w:hAnsi="Arial"/>
          <w:sz w:val="14"/>
          <w:szCs w:val="14"/>
          <w:color w:val="auto"/>
        </w:rPr>
        <w:t>In accordance with the provisions of SFAS No. 131, “Disclosures About Segments of an Enterprise and Related Information,” the Company’s reportable segments have been determined based upon its internal profitability reporting system, which is organized by strategic business unit. Certain strategic business units have been combined for segment information reporting purposes where the nature of the products and services, the type of customer, and the distribution of those products and services are similar. The reportable segments are Commercial Banking, Commercial Real Estate, Discretionary Portfolio, Residential Mortgage Banking and Retail Banking.</w:t>
      </w:r>
    </w:p>
    <w:p>
      <w:pPr>
        <w:ind w:firstLine="459"/>
        <w:spacing w:after="0" w:line="249" w:lineRule="auto"/>
        <w:rPr>
          <w:sz w:val="20"/>
          <w:szCs w:val="20"/>
          <w:color w:val="auto"/>
        </w:rPr>
      </w:pPr>
      <w:r>
        <w:rPr>
          <w:rFonts w:ascii="Arial" w:cs="Arial" w:eastAsia="Arial" w:hAnsi="Arial"/>
          <w:sz w:val="14"/>
          <w:szCs w:val="14"/>
          <w:color w:val="auto"/>
        </w:rPr>
        <w:t>The financial information of the Company’s segments was compiled utilizing the accounting policies described in note 21 of Notes to Financial Statements. The management accounting policies and processes utilized in compiling segment financial information are highly subjective and, unlike financial accounting, are not based on authoritative guidance similar to GAAP. As a result, reported segments and the financial information of the reported segments are not necessarily comparable with similar information reported by other financial institutions. Furthermore, changes in management structure or allocation methodologies and procedures may result in changes in reported segment financial data. Financial information about the Company’s segments is presented in note 21 of Notes to Financial Statements.</w:t>
      </w:r>
    </w:p>
    <w:p>
      <w:pPr>
        <w:ind w:right="20" w:firstLine="459"/>
        <w:spacing w:after="0" w:line="249" w:lineRule="auto"/>
        <w:rPr>
          <w:sz w:val="20"/>
          <w:szCs w:val="20"/>
          <w:color w:val="auto"/>
        </w:rPr>
      </w:pPr>
      <w:r>
        <w:rPr>
          <w:rFonts w:ascii="Arial" w:cs="Arial" w:eastAsia="Arial" w:hAnsi="Arial"/>
          <w:sz w:val="14"/>
          <w:szCs w:val="14"/>
          <w:color w:val="auto"/>
        </w:rPr>
        <w:t>The Commercial Banking segment provides a wide range of credit products and banking services for middle-market and large commercial customers, largely within the markets served by the Company. Services provided by this segment include commercial lending and leasing, deposit products, and cash management services. Net income earned by the Commercial Banking segment rose 3% to $226 million in 2006 from $219 million in 2005. That improvement was primarily the result of a $25 million rise in net interest income, partially offset by increased noninterest expenses, most significantly higher personnel costs of $7 million. The higher net interest income was predominantly due to a widening of the net interest margin and an 8% increase in average loan balances outstanding, offset, in part, by a 17% decrease in average demand deposit balances. In 2004, this segment’s net income aggregated $213 million. The favorable performance in 2005 as compared to 2004 was due largely to an increase in net interest income of $21 million, mainly the result of a 7% increase in loan balances outstanding, partially offset by a $9 million increase in noninterest expenses, due predominantly to higher personnel costs.</w:t>
      </w:r>
    </w:p>
    <w:p>
      <w:pPr>
        <w:ind w:right="80" w:firstLine="459"/>
        <w:spacing w:after="0" w:line="252" w:lineRule="auto"/>
        <w:rPr>
          <w:sz w:val="20"/>
          <w:szCs w:val="20"/>
          <w:color w:val="auto"/>
        </w:rPr>
      </w:pPr>
      <w:r>
        <w:rPr>
          <w:rFonts w:ascii="Arial" w:cs="Arial" w:eastAsia="Arial" w:hAnsi="Arial"/>
          <w:sz w:val="14"/>
          <w:szCs w:val="14"/>
          <w:color w:val="auto"/>
        </w:rPr>
        <w:t>The Commercial Real Estate segment provides credit and deposit services to its customers. Real estate securing loans in this segment is generally located in the New York City metropolitan area, upstate New York, Pennsylvania, Maryland, the District of Columbia, Delaware, Virginia, West Virginia and the northwestern portion of the United States. Commercial real estate loans may be secured by apartment/multifamily buildings; office, retail and industrial space; or other types of collateral. Activities of this segment also include the origination, sales and servicing of commercial real estate loans through the FNMA DUS program and other programs. This segment contributed net income of $135 million in 2006, down 6% from the $143 million earned in 2005. The decline was the result of an $8 million</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auto"/>
        </w:rPr>
        <w:t>decrease in net interest income, predominantly due to a narrowing of net interest margin on loans outstanding, higher noninterest expenses of $6 million and lower commercial mortgage credit-related fees and other revenues of $4 million. Net income in 2005 for the Commercial Real Estate segment was 13% above the $126 million earned in 2004. That improvement was due to an increase in net interest income of $19 million that resulted from higher average loan balances and a wider margin associated with deposits, a $4 million rise in commercial mortgage banking revenues and a lower provision for credit losses of $5 million.</w:t>
      </w:r>
    </w:p>
    <w:p>
      <w:pPr>
        <w:spacing w:after="0" w:line="2" w:lineRule="exact"/>
        <w:rPr>
          <w:sz w:val="20"/>
          <w:szCs w:val="20"/>
          <w:color w:val="auto"/>
        </w:rPr>
      </w:pPr>
    </w:p>
    <w:p>
      <w:pPr>
        <w:ind w:right="20" w:firstLine="459"/>
        <w:spacing w:after="0" w:line="268" w:lineRule="auto"/>
        <w:rPr>
          <w:sz w:val="20"/>
          <w:szCs w:val="20"/>
          <w:color w:val="auto"/>
        </w:rPr>
      </w:pPr>
      <w:r>
        <w:rPr>
          <w:rFonts w:ascii="Arial" w:cs="Arial" w:eastAsia="Arial" w:hAnsi="Arial"/>
          <w:sz w:val="13"/>
          <w:szCs w:val="13"/>
          <w:color w:val="auto"/>
        </w:rPr>
        <w:t>The Discretionary Portfolio segment includes investment and trading securities, residential mortgage loans and other assets; short-term and long-term borrowed funds; brokered certificates of deposit and interest rate swap agreements related thereto; and offshore branch deposits. This segment also provides foreign exchange services to customers. Included in the assets of the Discretionary Portfolio segment are the preferred stock issuances of FNMA and FHLMC owned by the Company. The Discretionary Portfolio segment recorded net income of $96 million in 2006, 3% higher than $93 million in 2005. Contributing to that increase were the $29 million other-than-temporary impairment charge related to preferred stock issuances of FNMA and FHLMC reflected in 2005’s results and the $13 million gain in 2006 resulting from the accelerated recognition of a purchase accounting premium related to the call of an FHLB borrowing assumed in a previous acquisition. Partially offsetting these favorable factors was a $39 million decrease in net interest income resulting from a 58 basis point narrowing of the net interest margin on investment securities and a $470 million decline in the average balance of the segment’s portfolio of investment securities. Net income contributed by the Discretionary Portfolio segment was $112 million in 2004. The 17% decline in 2005 as compared with 2004 was predominantly the result of the previously mentioned other-than temporary impairment charge reflected in 2005’s results.</w:t>
      </w:r>
    </w:p>
    <w:p>
      <w:pPr>
        <w:spacing w:after="0" w:line="1" w:lineRule="exact"/>
        <w:rPr>
          <w:sz w:val="20"/>
          <w:szCs w:val="20"/>
          <w:color w:val="auto"/>
        </w:rPr>
      </w:pPr>
    </w:p>
    <w:p>
      <w:pPr>
        <w:ind w:firstLine="459"/>
        <w:spacing w:after="0" w:line="268" w:lineRule="auto"/>
        <w:rPr>
          <w:sz w:val="20"/>
          <w:szCs w:val="20"/>
          <w:color w:val="auto"/>
        </w:rPr>
      </w:pPr>
      <w:r>
        <w:rPr>
          <w:rFonts w:ascii="Arial" w:cs="Arial" w:eastAsia="Arial" w:hAnsi="Arial"/>
          <w:sz w:val="13"/>
          <w:szCs w:val="13"/>
          <w:color w:val="auto"/>
        </w:rPr>
        <w:t>The Residential Mortgage Banking segment originates and services residential mortgage loans for consumers and sells substantially all of those loans in the secondary market to investors or to bank subsidiaries of M</w:t>
      </w:r>
      <w:r>
        <w:rPr>
          <w:rFonts w:ascii="Arial" w:cs="Arial" w:eastAsia="Arial" w:hAnsi="Arial"/>
          <w:sz w:val="12"/>
          <w:szCs w:val="12"/>
          <w:color w:val="auto"/>
        </w:rPr>
        <w:t>&amp;</w:t>
      </w:r>
      <w:r>
        <w:rPr>
          <w:rFonts w:ascii="Arial" w:cs="Arial" w:eastAsia="Arial" w:hAnsi="Arial"/>
          <w:sz w:val="13"/>
          <w:szCs w:val="13"/>
          <w:color w:val="auto"/>
        </w:rPr>
        <w:t>T. This segment also originates and services loans to developers of residential real estate properties. In addition to the geographic regions served by or contiguous with the Company’s branch network, the Company maintains mortgage loan origination offices in several states throughout the southern and western United States. The Company also periodically purchases the rights to service mortgage loans. Residential mortgage loans held for sale are included in this segment. The Residential Mortgage Banking segment’s net income rose 21% to $52 million in 2006 from $43 million in 2005. The improved performance was predominantly due to an 11% increase in noninterest revenues resulting from higher income from servicing mortgage loans of $10 million and increased gains from the sales of loans to the Discretionary Portfolio segment of $9 million. Also contributing to the improvement was an $8 million increase in net interest income, mainly due to a 30% increase in balances of loans held for sale, net of a 52 basis point decline in net interest margin associated with such loan balances. Partially offsetting these favorable factors were higher salaries and benefits expenses of $8 million and other noninterest expenses of $4 million. Included in noninterest expenses were partial reversals of the capitalized mortgage servicing rights valuation allowance of $10 million and $8 million in 2006 and 2005, respectively. Net income for the Residential Mortgage Banking segment totaled $29 million in 2004. The 50% increase in net income from 2004 to 2005 was due predominantly to higher noninterest revenues of $20 million, resulting from loan origination, sales and servicing activities, and higher net interest income of $10 million, attributable primarily to an increase in average loan balances outstanding. Also contributing to the segment’s improved performance from 2004 to 2005 was the effect of an $8 million partial reversal of the capitalized mortgage servicing rights valuation allowance recognized during 2005, compared with a $2 million partial reversal of such allowance recognized during 2004. Partially offsetting revenue growth was a $14 million increase in salaries and benefits expenses. Gains from the sales of loans to the Company’s Discretionary Portfolio segment were $19 million, $10 million and $9 million in 2006, 2005 and 2004, respectively.</w:t>
      </w:r>
    </w:p>
    <w:p>
      <w:pPr>
        <w:spacing w:after="0" w:line="2" w:lineRule="exact"/>
        <w:rPr>
          <w:sz w:val="20"/>
          <w:szCs w:val="20"/>
          <w:color w:val="auto"/>
        </w:rPr>
      </w:pPr>
    </w:p>
    <w:p>
      <w:pPr>
        <w:ind w:right="240" w:firstLine="459"/>
        <w:spacing w:after="0" w:line="256" w:lineRule="auto"/>
        <w:rPr>
          <w:sz w:val="20"/>
          <w:szCs w:val="20"/>
          <w:color w:val="auto"/>
        </w:rPr>
      </w:pPr>
      <w:r>
        <w:rPr>
          <w:rFonts w:ascii="Arial" w:cs="Arial" w:eastAsia="Arial" w:hAnsi="Arial"/>
          <w:sz w:val="14"/>
          <w:szCs w:val="14"/>
          <w:color w:val="auto"/>
        </w:rPr>
        <w:t>The Retail Banking segment offers a variety of services to consumers and small businesses through several delivery channels which include banking offices, automated teller machines, telephone banking and Internet banking. The Company has banking offices in New York State, Pennsylvania, Maryland, Virginia, the District of Columbia, West Virginia and Delaware. Effective January 2, 2007, M</w:t>
      </w:r>
      <w:r>
        <w:rPr>
          <w:rFonts w:ascii="Arial" w:cs="Arial" w:eastAsia="Arial" w:hAnsi="Arial"/>
          <w:sz w:val="13"/>
          <w:szCs w:val="13"/>
          <w:color w:val="auto"/>
        </w:rPr>
        <w:t>&amp;</w:t>
      </w:r>
      <w:r>
        <w:rPr>
          <w:rFonts w:ascii="Arial" w:cs="Arial" w:eastAsia="Arial" w:hAnsi="Arial"/>
          <w:sz w:val="14"/>
          <w:szCs w:val="14"/>
          <w:color w:val="auto"/>
        </w:rPr>
        <w:t>T Bank</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ind w:right="20"/>
        <w:spacing w:after="0" w:line="271" w:lineRule="auto"/>
        <w:rPr>
          <w:sz w:val="20"/>
          <w:szCs w:val="20"/>
          <w:color w:val="auto"/>
        </w:rPr>
      </w:pPr>
      <w:r>
        <w:rPr>
          <w:rFonts w:ascii="Arial" w:cs="Arial" w:eastAsia="Arial" w:hAnsi="Arial"/>
          <w:sz w:val="13"/>
          <w:szCs w:val="13"/>
          <w:color w:val="auto"/>
        </w:rPr>
        <w:t>opened its first banking office in New Jersey. The Retail Banking segment also offers certain deposit and loan products on a nationwide basis through M</w:t>
      </w:r>
      <w:r>
        <w:rPr>
          <w:rFonts w:ascii="Arial" w:cs="Arial" w:eastAsia="Arial" w:hAnsi="Arial"/>
          <w:sz w:val="12"/>
          <w:szCs w:val="12"/>
          <w:color w:val="auto"/>
        </w:rPr>
        <w:t>&amp;</w:t>
      </w:r>
      <w:r>
        <w:rPr>
          <w:rFonts w:ascii="Arial" w:cs="Arial" w:eastAsia="Arial" w:hAnsi="Arial"/>
          <w:sz w:val="13"/>
          <w:szCs w:val="13"/>
          <w:color w:val="auto"/>
        </w:rPr>
        <w:t>T Bank, N.A. Credit services offered by this segment include consumer installment loans, student loans, automobile loans (originated both directly and indirectly through dealers), home equity loans and lines of credit, and loans and leases to small businesses. The segment also offers to its customers deposit products, including demand, savings and time accounts; investment products, including mutual funds and annuities; and other services. Net income for the Retail Banking segment aggregated $410 million in 2006, up 26% from $325 million in 2005. The favorable performance was primarily due to an increase in net interest income of $119 million, largely resulting from a widening net interest margin on deposit products. Also contributing to the improvement were higher service charges on deposit accounts of $16 million. The Retail Banking segment recorded net income of $251 million in 2004. The 30% increase from 2004 to 2005 was due predominantly to increases in net interest income of</w:t>
      </w:r>
    </w:p>
    <w:p>
      <w:pPr>
        <w:spacing w:after="0" w:line="2" w:lineRule="exact"/>
        <w:rPr>
          <w:sz w:val="20"/>
          <w:szCs w:val="20"/>
          <w:color w:val="auto"/>
        </w:rPr>
      </w:pPr>
    </w:p>
    <w:p>
      <w:pPr>
        <w:ind w:right="80"/>
        <w:spacing w:after="0" w:line="249" w:lineRule="auto"/>
        <w:rPr>
          <w:sz w:val="20"/>
          <w:szCs w:val="20"/>
          <w:color w:val="auto"/>
        </w:rPr>
      </w:pPr>
      <w:r>
        <w:rPr>
          <w:rFonts w:ascii="Arial" w:cs="Arial" w:eastAsia="Arial" w:hAnsi="Arial"/>
          <w:sz w:val="14"/>
          <w:szCs w:val="14"/>
          <w:color w:val="auto"/>
        </w:rPr>
        <w:t>$81 million, largely attributable to an increase in net interest margin on deposit products. Higher service charges on deposit accounts and other fee income of $21 million, lower noninterest expenses of $13 million, and a $10 million decline in the provision for credit losses also contributed to the rise in net income from 2004 to 2005.</w:t>
      </w:r>
    </w:p>
    <w:p>
      <w:pPr>
        <w:ind w:right="40" w:firstLine="459"/>
        <w:spacing w:after="0" w:line="268" w:lineRule="auto"/>
        <w:rPr>
          <w:sz w:val="20"/>
          <w:szCs w:val="20"/>
          <w:color w:val="auto"/>
        </w:rPr>
      </w:pPr>
      <w:r>
        <w:rPr>
          <w:rFonts w:ascii="Arial" w:cs="Arial" w:eastAsia="Arial" w:hAnsi="Arial"/>
          <w:sz w:val="13"/>
          <w:szCs w:val="13"/>
          <w:color w:val="auto"/>
        </w:rPr>
        <w:t>The “All Other” category reflects other activities of the Company that are not directly attributable to the reported segments as determined in accordance with SFAS No. 131, such as the M</w:t>
      </w:r>
      <w:r>
        <w:rPr>
          <w:rFonts w:ascii="Arial" w:cs="Arial" w:eastAsia="Arial" w:hAnsi="Arial"/>
          <w:sz w:val="12"/>
          <w:szCs w:val="12"/>
          <w:color w:val="auto"/>
        </w:rPr>
        <w:t>&amp;</w:t>
      </w:r>
      <w:r>
        <w:rPr>
          <w:rFonts w:ascii="Arial" w:cs="Arial" w:eastAsia="Arial" w:hAnsi="Arial"/>
          <w:sz w:val="13"/>
          <w:szCs w:val="13"/>
          <w:color w:val="auto"/>
        </w:rPr>
        <w:t>T Investment Group, which includes the Company’s trust, brokerage and insurance businesses. Also reflected in this category are the amortization of core deposit and other intangible assets resulting from acquisitions of financial institutions, the net impact of the Company’s allocation methodologies for internal funds transfer pricing and the provision for credit losses, and, in 2006, acquisition and integration-related expenses resulting from the branch acquisition completed by M</w:t>
      </w:r>
      <w:r>
        <w:rPr>
          <w:rFonts w:ascii="Arial" w:cs="Arial" w:eastAsia="Arial" w:hAnsi="Arial"/>
          <w:sz w:val="12"/>
          <w:szCs w:val="12"/>
          <w:color w:val="auto"/>
        </w:rPr>
        <w:t>&amp;</w:t>
      </w:r>
      <w:r>
        <w:rPr>
          <w:rFonts w:ascii="Arial" w:cs="Arial" w:eastAsia="Arial" w:hAnsi="Arial"/>
          <w:sz w:val="13"/>
          <w:szCs w:val="13"/>
          <w:color w:val="auto"/>
        </w:rPr>
        <w:t>T Bank on June 30, 2006. The various components of the “All Other” category resulted in net losses of</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$80 million, $41 million and $9 million in 2006, 2005 and 2004, respectively. The Company’s allocation methodologies for internal transfers for funding charges and credits associated with earning</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assets and interest-bearing liabilities of the Company’s reportable segments was the main factor for the increased net loss in 2006. Also contributing to the net loss were the previously mentioned</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$18 million charitable contribution made to The M</w:t>
      </w:r>
      <w:r>
        <w:rPr>
          <w:rFonts w:ascii="Arial" w:cs="Arial" w:eastAsia="Arial" w:hAnsi="Arial"/>
          <w:sz w:val="12"/>
          <w:szCs w:val="12"/>
          <w:color w:val="auto"/>
        </w:rPr>
        <w:t>&amp;</w:t>
      </w:r>
      <w:r>
        <w:rPr>
          <w:rFonts w:ascii="Arial" w:cs="Arial" w:eastAsia="Arial" w:hAnsi="Arial"/>
          <w:sz w:val="13"/>
          <w:szCs w:val="13"/>
          <w:color w:val="auto"/>
        </w:rPr>
        <w:t>T Charitable Foundation and higher charges for amortization of core deposit and other intangible assets and merger-related expenses incurred as a</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result of the branch acquisition of $17 million and $5 million, respectively. The higher net loss incurred during 2005 as compared with 2004 resulted largely from the Company’s allocation</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methodologies for internal transfers for funding charges and credits associated with earning assets and interest-bearing liabilities of the Company’s reportable segments and the provision for credit</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losses. Noninterest expenses in 2004 were $44 million higher than in 2005, reflecting 2004’s $25 million contribution to The M</w:t>
      </w:r>
      <w:r>
        <w:rPr>
          <w:rFonts w:ascii="Arial" w:cs="Arial" w:eastAsia="Arial" w:hAnsi="Arial"/>
          <w:sz w:val="12"/>
          <w:szCs w:val="12"/>
          <w:color w:val="auto"/>
        </w:rPr>
        <w:t>&amp;</w:t>
      </w:r>
      <w:r>
        <w:rPr>
          <w:rFonts w:ascii="Arial" w:cs="Arial" w:eastAsia="Arial" w:hAnsi="Arial"/>
          <w:sz w:val="13"/>
          <w:szCs w:val="13"/>
          <w:color w:val="auto"/>
        </w:rPr>
        <w:t>T Charitable Foundation and a $19 million higher charge for</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amortization of core deposit and other intangible assets. The 2004 net loss also reflected the $12 million reduction in income tax expense resulting from the reorganization of certain of M</w:t>
      </w:r>
      <w:r>
        <w:rPr>
          <w:rFonts w:ascii="Arial" w:cs="Arial" w:eastAsia="Arial" w:hAnsi="Arial"/>
          <w:sz w:val="12"/>
          <w:szCs w:val="12"/>
          <w:color w:val="auto"/>
        </w:rPr>
        <w:t>&amp;</w:t>
      </w:r>
      <w:r>
        <w:rPr>
          <w:rFonts w:ascii="Arial" w:cs="Arial" w:eastAsia="Arial" w:hAnsi="Arial"/>
          <w:sz w:val="13"/>
          <w:szCs w:val="13"/>
          <w:color w:val="auto"/>
        </w:rPr>
        <w:t>T’s</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subsidiaries.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Developments</w:t>
      </w:r>
    </w:p>
    <w:p>
      <w:pPr>
        <w:spacing w:after="0" w:line="22" w:lineRule="exact"/>
        <w:rPr>
          <w:sz w:val="20"/>
          <w:szCs w:val="20"/>
          <w:color w:val="auto"/>
        </w:rPr>
      </w:pPr>
    </w:p>
    <w:p>
      <w:pPr>
        <w:ind w:right="20"/>
        <w:spacing w:after="0" w:line="273" w:lineRule="auto"/>
        <w:rPr>
          <w:sz w:val="20"/>
          <w:szCs w:val="20"/>
          <w:color w:val="auto"/>
        </w:rPr>
      </w:pPr>
      <w:r>
        <w:rPr>
          <w:rFonts w:ascii="Arial" w:cs="Arial" w:eastAsia="Arial" w:hAnsi="Arial"/>
          <w:sz w:val="13"/>
          <w:szCs w:val="13"/>
          <w:color w:val="auto"/>
        </w:rPr>
        <w:t>In February 2006, the FASB issued SFAS No. 155, “Accounting for Certain Hybrid Financial Instruments — an amendment to FASB Statements No. 133 and 140.” SFAS No. 155 permits fair value remeasurement for any hybrid financial instrument that contains an embedded derivative that otherwise would require bifurcation. As a result, such instruments would be accounted for in one of two ways. Under the first allowable method, an entity would bifurcate the embedded derivative feature and record the bifurcated derivative at fair value. Subsequent changes in fair value of the bifurcated derivative would be reported in earnings. As an alternative, an entity could elect not to bifurcate the embedded derivative but instead record the entire financial instrument at fair value with subsequent changes in fair value of the security being reported in earnings. SFAS No. 155 also clarifies which interest-only strips and principal-only strips are not subject to the requirements of SFAS No. 133 and establishes a requirement to evaluate interests in securitized financial assets to identify interests that contain an embedded derivative requiring bifurcation. SFAS No. 155 is effective for all financial instruments acquired or issued after the beginning of an entity’s first fiscal year that begins after September 15, 2006. Earlier adoption is permitted as of the beginning of an entity’s fiscal year, provided the entity has not yet issued financial statements, including financial statements for any interim period for that fiscal year. The Company</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adopted the provisions of SFAS No. 155 as of January 1, 2007 and does not anticipate that the impact of such adoption will be material to its financial position or results of operations.</w:t>
      </w:r>
    </w:p>
    <w:p>
      <w:pPr>
        <w:spacing w:after="0" w:line="18" w:lineRule="exact"/>
        <w:rPr>
          <w:sz w:val="20"/>
          <w:szCs w:val="20"/>
          <w:color w:val="auto"/>
        </w:rPr>
      </w:pPr>
    </w:p>
    <w:p>
      <w:pPr>
        <w:ind w:firstLine="459"/>
        <w:spacing w:after="0" w:line="268" w:lineRule="auto"/>
        <w:rPr>
          <w:sz w:val="20"/>
          <w:szCs w:val="20"/>
          <w:color w:val="auto"/>
        </w:rPr>
      </w:pPr>
      <w:r>
        <w:rPr>
          <w:rFonts w:ascii="Arial" w:cs="Arial" w:eastAsia="Arial" w:hAnsi="Arial"/>
          <w:sz w:val="13"/>
          <w:szCs w:val="13"/>
          <w:color w:val="auto"/>
        </w:rPr>
        <w:t>In March 2006, the FASB issued SFAS No. 156, “Accounting for Servicing of Financial Assets — an amendment of FASB Statement No. 140.” SFAS No. 156 defines the situations in which an entity should recognize a servicing asset or servicing liability when it undertakes an obligation to service a financial asset by entering into a servicing contract. SFAS No. 156 requires all separately recognized servicing assets and servicing liabilities to be initially measured at fair value and permits an entity to choose its subsequent measurement method for each class of separately recognized servicing assets and servicing liabilities as either the amortization method or fair value measurement method. The amortization method requires that servicing assets and servicing liabilities be amortized in proportion to and over the period of estimated net servicing income or net servicing loss and assessed for impairment or increased obligation based on fair value at each reporting date. The fair value measurement method requires servicing assets and servicing liabilities to be measured at fair value at each reporting date and requires entities to report changes in fair value of servicing assets and liabilities in earnings in the period in which the changes occur. SFAS No. 156 requires prospective adoption as of the beginning of an entity’s first fiscal year that begins after September 15, 2006. Earlier adoption is permitted as of the beginning of an entity’s fiscal year, provided the entity has not yet issued financial statements, including interim financial statements, for any period of that fiscal year. An entity may elect to subsequently measure a class of separately recognized servicing assets and servicing liabilities at fair value as of the beginning of any fiscal year, beginning with the fiscal year in which the entity adopts this statement. Upon such election, which is irrevocable, the effect of remeasuring an existing class of separately recognized servicing assets and servicing liabilities at fair value should be reported as a cumulative-effect adjustment to retained earnings as of the beginning of the fiscal year. Currently, the Company initially measures servicing assets retained in sales and securitization transactions for which it is the transferor under the relative fair value method prescribed in SFAS No. 140, “Accounting for Transfers and Servicing of Financial Assets and Extinguishments of Liabilities,” and subsequently measures its servicing assets under the amortization method. The Company has not early-adopted the provisions of</w:t>
      </w:r>
    </w:p>
    <w:p>
      <w:pPr>
        <w:spacing w:after="0" w:line="2" w:lineRule="exact"/>
        <w:rPr>
          <w:sz w:val="20"/>
          <w:szCs w:val="20"/>
          <w:color w:val="auto"/>
        </w:rPr>
      </w:pPr>
    </w:p>
    <w:p>
      <w:pPr>
        <w:ind w:right="560"/>
        <w:spacing w:after="0" w:line="249" w:lineRule="auto"/>
        <w:rPr>
          <w:sz w:val="20"/>
          <w:szCs w:val="20"/>
          <w:color w:val="auto"/>
        </w:rPr>
      </w:pPr>
      <w:r>
        <w:rPr>
          <w:rFonts w:ascii="Arial" w:cs="Arial" w:eastAsia="Arial" w:hAnsi="Arial"/>
          <w:sz w:val="14"/>
          <w:szCs w:val="14"/>
          <w:color w:val="auto"/>
        </w:rPr>
        <w:t>SFAS No. 156 and currently does not intend to adopt the fair value measurement method for any classes of separately recognized servicing assets in 2007. The adoption of SFAS No. 156 on January 1, 2007, therefore, is not expected to have a material effect on the Company’s financial position or results of operations.</w:t>
      </w:r>
    </w:p>
    <w:p>
      <w:pPr>
        <w:jc w:val="both"/>
        <w:ind w:right="140" w:firstLine="459"/>
        <w:spacing w:after="0" w:line="290" w:lineRule="auto"/>
        <w:rPr>
          <w:sz w:val="20"/>
          <w:szCs w:val="20"/>
          <w:color w:val="auto"/>
        </w:rPr>
      </w:pPr>
      <w:r>
        <w:rPr>
          <w:rFonts w:ascii="Arial" w:cs="Arial" w:eastAsia="Arial" w:hAnsi="Arial"/>
          <w:sz w:val="12"/>
          <w:szCs w:val="12"/>
          <w:color w:val="auto"/>
        </w:rPr>
        <w:t>In September 2006, the FASB issued SFAS No. 157, “Fair Value Measurements.” SFAS No. 157 defines fair value, establishes a framework for measuring fair value in GAAP, and expands disclosures about fair value measurements. SFAS No. 157 applies to fair value measurements required or permitted under other accounting pronouncements, but does not require any new fair value measurements. The definition of fair value is clarified by SFAS No. 157 to be the price that would be received to sell an asset or paid to transfer a liability in an orderly transaction between market participants at the measurement date. SFAS No. 157 expands disclosures about the use of fair value to measure assets and liabilities in interim and annual periods subsequent to initial recognition.</w:t>
      </w:r>
    </w:p>
    <w:p>
      <w:pPr>
        <w:spacing w:after="0" w:line="1" w:lineRule="exact"/>
        <w:rPr>
          <w:sz w:val="20"/>
          <w:szCs w:val="20"/>
          <w:color w:val="auto"/>
        </w:rPr>
      </w:pPr>
    </w:p>
    <w:p>
      <w:pPr>
        <w:ind w:right="60"/>
        <w:spacing w:after="0" w:line="268" w:lineRule="auto"/>
        <w:rPr>
          <w:sz w:val="20"/>
          <w:szCs w:val="20"/>
          <w:color w:val="auto"/>
        </w:rPr>
      </w:pPr>
      <w:r>
        <w:rPr>
          <w:rFonts w:ascii="Arial" w:cs="Arial" w:eastAsia="Arial" w:hAnsi="Arial"/>
          <w:sz w:val="13"/>
          <w:szCs w:val="13"/>
          <w:color w:val="auto"/>
        </w:rPr>
        <w:t>The disclosures focus on the inputs used to measure fair value and the effect of the measurements on earnings for the period. SFAS No. 157 is effective for financial statements issued for fiscal years beginning after November 15, 2007, and interim periods within those fiscal years. The provisions generally should be applied prospectively as of the beginning of the fiscal year in which</w:t>
      </w:r>
    </w:p>
    <w:p>
      <w:pPr>
        <w:ind w:right="20"/>
        <w:spacing w:after="0" w:line="249" w:lineRule="auto"/>
        <w:rPr>
          <w:sz w:val="20"/>
          <w:szCs w:val="20"/>
          <w:color w:val="auto"/>
        </w:rPr>
      </w:pPr>
      <w:r>
        <w:rPr>
          <w:rFonts w:ascii="Arial" w:cs="Arial" w:eastAsia="Arial" w:hAnsi="Arial"/>
          <w:sz w:val="14"/>
          <w:szCs w:val="14"/>
          <w:color w:val="auto"/>
        </w:rPr>
        <w:t>SFAS No. 157 is applied, with certain provisions required to be applied retrospectively. Many of the Company’s assets, liabilities and off-balance sheet positions are required to either be accounted for or disclosed using fair value as their relevant measurement attribute. Given the pervasiveness of fair value measurements throughout the Company’s financial statements, the Company has not yet determined the impact that the adoption of SFAS No. 157 will have on its financial statements.</w:t>
      </w:r>
    </w:p>
    <w:p>
      <w:pPr>
        <w:jc w:val="both"/>
        <w:ind w:firstLine="459"/>
        <w:spacing w:after="0" w:line="253" w:lineRule="auto"/>
        <w:rPr>
          <w:sz w:val="20"/>
          <w:szCs w:val="20"/>
          <w:color w:val="auto"/>
        </w:rPr>
      </w:pPr>
      <w:r>
        <w:rPr>
          <w:rFonts w:ascii="Arial" w:cs="Arial" w:eastAsia="Arial" w:hAnsi="Arial"/>
          <w:sz w:val="14"/>
          <w:szCs w:val="14"/>
          <w:color w:val="auto"/>
        </w:rPr>
        <w:t>In July 2006, the FASB issued FIN No. 48, “Accounting for Uncertainty in Income Taxes.” FIN No. 48 prescribes the accounting method to be applied to measure uncertainty in income taxes recognized under SFAS No. 109, “Accounting for Income Taxes.” FIN No. 48 establishes a recognition threshold and measurement attribute for the financial statement recognition and measurement of an uncertain tax position taken or expected to be taken in a tax return. The evaluation of an uncertain tax position in accordance with FIN No. 48 is a two-step process. The first step is recognition, which requires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ind w:right="60"/>
        <w:spacing w:after="0" w:line="251" w:lineRule="auto"/>
        <w:rPr>
          <w:sz w:val="20"/>
          <w:szCs w:val="20"/>
          <w:color w:val="auto"/>
        </w:rPr>
      </w:pPr>
      <w:r>
        <w:rPr>
          <w:rFonts w:ascii="Arial" w:cs="Arial" w:eastAsia="Arial" w:hAnsi="Arial"/>
          <w:sz w:val="14"/>
          <w:szCs w:val="14"/>
          <w:color w:val="auto"/>
        </w:rPr>
        <w:t>a determination whether it is more likely than not that a tax position will be sustained upon examination, including resolution of any related appeals or litigation processes, based on the technical merits of the position. The second step is measurement. Under the measurement step, a tax position that meets the more-likely-than-not recognition threshold is measured at the largest amount of benefit that is greater than fifty percent likely of being realized upon ultimate settlement. Tax positions that previously failed to meet the more-likely-than-not recognition threshold should be recognized in the first subsequent financial reporting period in which that threshold is met. Previously recognized tax positions that no longer meet the more-likely-than-not recognition threshold should be derecognized in the first subsequent financial reporting period in which that threshold is no longer met. FIN No. 48 is effective for fiscal years beginning after December 15, 2006. The cumulative effect of applying the provisions of FIN No. 48 shall be reported as an adjustment to the opening balance of retained earnings (or other appropriate components of equity or net assets) for that fiscal year. The adoption of FIN No. 48 on January 1, 2007 will not have a material impact on the Company’s financial position, but will likely increase the Company’s effective income tax rate by approximately .75% to 1.0% from what it otherwise would have been.</w:t>
      </w:r>
    </w:p>
    <w:p>
      <w:pPr>
        <w:spacing w:after="0" w:line="2" w:lineRule="exact"/>
        <w:rPr>
          <w:sz w:val="20"/>
          <w:szCs w:val="20"/>
          <w:color w:val="auto"/>
        </w:rPr>
      </w:pPr>
    </w:p>
    <w:p>
      <w:pPr>
        <w:ind w:right="40" w:firstLine="459"/>
        <w:spacing w:after="0" w:line="268" w:lineRule="auto"/>
        <w:rPr>
          <w:sz w:val="20"/>
          <w:szCs w:val="20"/>
          <w:color w:val="auto"/>
        </w:rPr>
      </w:pPr>
      <w:r>
        <w:rPr>
          <w:rFonts w:ascii="Arial" w:cs="Arial" w:eastAsia="Arial" w:hAnsi="Arial"/>
          <w:sz w:val="13"/>
          <w:szCs w:val="13"/>
          <w:color w:val="auto"/>
        </w:rPr>
        <w:t>In July 2006, the FASB adopted FASB Staff Position No. 13-2, “Accounting for a Change or Projected Change in the Timing of Cash Flows Relating to Income Taxes Generated by a Leveraged Lease Transaction” (“FSP 13-2”). FSP 13-2 requires that a change or projected change in the timing of cash flows relating to income taxes generated by a leveraged lease shall be accounted for in accordance with the guidance in paragraph 46 of SFAS No. 13, “Accounting for Leases.” That is, the projected timing of income tax cash flows generated by a leveraged lease transaction shall be reviewed annually or more frequently if events or changes in circumstances indicate that a change in timing has occurred or is projected to occur. If, during the lease term, the projected timing of income tax cash flows generated by a leveraged lease is revised, the rate of return and the allocation of income to positive investment years shall be recalculated from inception of the lease following the method described in paragraph 44 of SFAS No. 13. The guidance in FSP 13-2 shall be applied to fiscal years beginning after December 15, 2006. The cumulative effect of applying the provisions of FSP 13-2 shall be reported as an adjustment to the opening balance of retained earnings as of the beginning of the period of adoption. The Company does not expect that the adoption of FSP 13-2 on January 1, 2007 will have a material effect on its financial position or results of operations.</w:t>
      </w:r>
    </w:p>
    <w:p>
      <w:pPr>
        <w:spacing w:after="0" w:line="1" w:lineRule="exact"/>
        <w:rPr>
          <w:sz w:val="20"/>
          <w:szCs w:val="20"/>
          <w:color w:val="auto"/>
        </w:rPr>
      </w:pPr>
    </w:p>
    <w:p>
      <w:pPr>
        <w:ind w:firstLine="459"/>
        <w:spacing w:after="0" w:line="249" w:lineRule="auto"/>
        <w:rPr>
          <w:sz w:val="20"/>
          <w:szCs w:val="20"/>
          <w:color w:val="auto"/>
        </w:rPr>
      </w:pPr>
      <w:r>
        <w:rPr>
          <w:rFonts w:ascii="Arial" w:cs="Arial" w:eastAsia="Arial" w:hAnsi="Arial"/>
          <w:sz w:val="14"/>
          <w:szCs w:val="14"/>
          <w:color w:val="auto"/>
        </w:rPr>
        <w:t>At its September 2006 meeting, the Emerging Issues Task Force (“EITF”) reached a final consensus on Issue 06-04, “Accounting for Deferred Compensation and Postretirement Benefit Aspects of Endorsement Split-Dollar Life Insurance Arrangements.” The consensus stipulates that an agreement by an employer to share a portion of the proceeds of a life insurance policy with an employee during the postretirement period is a postretirement benefit arrangement required to be accounted for under SFAS No. 106 or Accounting Principles Board Opinion (“APB”) No. 12, “Omnibus Opinion — 1967.” The consensus concludes that the purchase of a split-dollar life insurance policy does not constitute a settlement under SFAS No. 106 and, therefore, a liability for the postretirement obligation must be recognized under SFAS No. 106 if the benefit is offered under an arrangement that constitutes a plan or under APB No. 12 if it is not part of a plan. Issue 06-04 is effective for annual or interim reporting periods beginning after December 15, 2007. The provisions of Issue 06-04 should be applied through either a cumulative-effect adjustment to retained earnings as of the beginning of the year of adoption or retrospective application. The Company has endorsement split-dollar life insurance policies that it inherited through certain acquisitions that are associated with employees who are no longer active. The Company does not anticipate that the adoption of the provisions of Issue 06-04 will have a material effect on the Company’s financial position or results of operations.</w:t>
      </w:r>
    </w:p>
    <w:p>
      <w:pPr>
        <w:spacing w:after="0" w:line="1" w:lineRule="exact"/>
        <w:rPr>
          <w:sz w:val="20"/>
          <w:szCs w:val="20"/>
          <w:color w:val="auto"/>
        </w:rPr>
      </w:pPr>
    </w:p>
    <w:p>
      <w:pPr>
        <w:ind w:firstLine="459"/>
        <w:spacing w:after="0" w:line="253" w:lineRule="auto"/>
        <w:rPr>
          <w:sz w:val="20"/>
          <w:szCs w:val="20"/>
          <w:color w:val="auto"/>
        </w:rPr>
      </w:pPr>
      <w:r>
        <w:rPr>
          <w:rFonts w:ascii="Arial" w:cs="Arial" w:eastAsia="Arial" w:hAnsi="Arial"/>
          <w:sz w:val="14"/>
          <w:szCs w:val="14"/>
          <w:color w:val="auto"/>
        </w:rPr>
        <w:t>Also at its September 2006 meeting, the EITF reached a final consensus on Issue 06-05, “Accounting for Purchases of Life Insurance — Determining the Amount That Could be Realized in Accordance with FASB Technical Bulletin No. 85-4.” The consensus concludes that in determining the amount that could be realized under an insurance contract accounted for under FASB Technical Bulletin No. 85-4, “Accounting for Purchases of Life Insurance,” the policyholder should (1) consider any additional amounts included in the contractual terms of the policy; (2) assume the surrender value on a individual-life by individual-life policy basis; and (3) not discount the cash surrender value component</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spacing w:after="0" w:line="274" w:lineRule="auto"/>
        <w:rPr>
          <w:sz w:val="20"/>
          <w:szCs w:val="20"/>
          <w:color w:val="auto"/>
        </w:rPr>
      </w:pPr>
      <w:r>
        <w:rPr>
          <w:rFonts w:ascii="Arial" w:cs="Arial" w:eastAsia="Arial" w:hAnsi="Arial"/>
          <w:sz w:val="13"/>
          <w:szCs w:val="13"/>
          <w:color w:val="auto"/>
        </w:rPr>
        <w:t>of the amount that could be realized when contractual restrictions on the ability to surrender a policy exist. Issue 06-05 is effective for fiscal years beginning after December 15, 2006. The consensus in Issue 06-05 should be adopted through either (1) a change in accounting principle through a cumulative-effect adjustment to retained earning as of the beginning of the year of adoption or (2) a change in accounting principle through retrospective application to all prior periods. At December 31, 2006, the Company had bank owned life insurance policies with a carrying value of</w:t>
      </w:r>
    </w:p>
    <w:p>
      <w:pPr>
        <w:spacing w:after="0" w:line="1" w:lineRule="exact"/>
        <w:rPr>
          <w:sz w:val="20"/>
          <w:szCs w:val="20"/>
          <w:color w:val="auto"/>
        </w:rPr>
      </w:pPr>
    </w:p>
    <w:p>
      <w:pPr>
        <w:ind w:right="340"/>
        <w:spacing w:after="0" w:line="263" w:lineRule="auto"/>
        <w:rPr>
          <w:sz w:val="20"/>
          <w:szCs w:val="20"/>
          <w:color w:val="auto"/>
        </w:rPr>
      </w:pPr>
      <w:r>
        <w:rPr>
          <w:rFonts w:ascii="Arial" w:cs="Arial" w:eastAsia="Arial" w:hAnsi="Arial"/>
          <w:sz w:val="14"/>
          <w:szCs w:val="14"/>
          <w:color w:val="auto"/>
        </w:rPr>
        <w:t>$1.1 billion. The Company does not anticipate that the adoption of the provisions of Issue 06-05 on January 1, 2007 will have a material effect on the Company’s financial position or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22" w:lineRule="exact"/>
        <w:rPr>
          <w:sz w:val="20"/>
          <w:szCs w:val="20"/>
          <w:color w:val="auto"/>
        </w:rPr>
      </w:pPr>
    </w:p>
    <w:p>
      <w:pPr>
        <w:ind w:right="120"/>
        <w:spacing w:after="0" w:line="249" w:lineRule="auto"/>
        <w:rPr>
          <w:sz w:val="20"/>
          <w:szCs w:val="20"/>
          <w:color w:val="auto"/>
        </w:rPr>
      </w:pPr>
      <w:r>
        <w:rPr>
          <w:rFonts w:ascii="Arial" w:cs="Arial" w:eastAsia="Arial" w:hAnsi="Arial"/>
          <w:sz w:val="14"/>
          <w:szCs w:val="14"/>
          <w:color w:val="auto"/>
        </w:rPr>
        <w:t>Management’s Discussion and Analysis of Financial Condition and Results of Operations and other sections of the Company’s Annual Report contain forward-looking statements that are based on current expectations, estimates and projections about the Company’s business, management’s beliefs and assumptions made by management.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w:t>
      </w:r>
    </w:p>
    <w:p>
      <w:pPr>
        <w:ind w:right="20" w:firstLine="459"/>
        <w:spacing w:after="0" w:line="268" w:lineRule="auto"/>
        <w:rPr>
          <w:sz w:val="20"/>
          <w:szCs w:val="20"/>
          <w:color w:val="auto"/>
        </w:rPr>
      </w:pPr>
      <w:r>
        <w:rPr>
          <w:rFonts w:ascii="Arial" w:cs="Arial" w:eastAsia="Arial" w:hAnsi="Arial"/>
          <w:sz w:val="13"/>
          <w:szCs w:val="13"/>
          <w:color w:val="auto"/>
        </w:rPr>
        <w:t>Future Factors include changes in interest rates, spreads on earning assets and interest-bearing liabilities, and interest rate sensitivity; prepayment speeds, loan originations and credit losses; sources of liquidity; common shares outstanding; common stock price volatility; fair value of and number of stock-based compensation awards to be issued in future periods; legislation affecting the financial services industry as a whole, and/or M</w:t>
      </w:r>
      <w:r>
        <w:rPr>
          <w:rFonts w:ascii="Arial" w:cs="Arial" w:eastAsia="Arial" w:hAnsi="Arial"/>
          <w:sz w:val="12"/>
          <w:szCs w:val="12"/>
          <w:color w:val="auto"/>
        </w:rPr>
        <w:t>&amp;</w:t>
      </w:r>
      <w:r>
        <w:rPr>
          <w:rFonts w:ascii="Arial" w:cs="Arial" w:eastAsia="Arial" w:hAnsi="Arial"/>
          <w:sz w:val="13"/>
          <w:szCs w:val="13"/>
          <w:color w:val="auto"/>
        </w:rPr>
        <w:t>T and its subsidiaries individually or collectively; regulatory supervision and oversight, including required capital levels;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continued availability of financing; financial resources in the amounts, at the times and on the terms required to support the Company’s future businesses; and material differences in the actual financial results of merger and acquisition activities compared with the Company’s expectations, including the full realization of anticipated cost savings and revenue enhancements.</w:t>
      </w:r>
    </w:p>
    <w:p>
      <w:pPr>
        <w:spacing w:after="0" w:line="1" w:lineRule="exact"/>
        <w:rPr>
          <w:sz w:val="20"/>
          <w:szCs w:val="20"/>
          <w:color w:val="auto"/>
        </w:rPr>
      </w:pPr>
    </w:p>
    <w:p>
      <w:pPr>
        <w:jc w:val="both"/>
        <w:ind w:right="60" w:firstLine="459"/>
        <w:spacing w:after="0" w:line="256" w:lineRule="auto"/>
        <w:rPr>
          <w:sz w:val="20"/>
          <w:szCs w:val="20"/>
          <w:color w:val="auto"/>
        </w:rPr>
      </w:pPr>
      <w:r>
        <w:rPr>
          <w:rFonts w:ascii="Arial" w:cs="Arial" w:eastAsia="Arial" w:hAnsi="Arial"/>
          <w:sz w:val="14"/>
          <w:szCs w:val="14"/>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the Company conducts business, including interest rate and currency exchange rate fluctuations, changes and trends in the securities markets, and other Future Factors.</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343" w:right="27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20</w:t>
      </w:r>
    </w:p>
    <w:p>
      <w:pPr>
        <w:spacing w:after="0" w:line="252" w:lineRule="exact"/>
        <w:rPr>
          <w:sz w:val="20"/>
          <w:szCs w:val="20"/>
          <w:color w:val="auto"/>
        </w:rPr>
      </w:pPr>
    </w:p>
    <w:p>
      <w:pPr>
        <w:ind w:left="4920"/>
        <w:spacing w:after="0"/>
        <w:rPr>
          <w:sz w:val="20"/>
          <w:szCs w:val="20"/>
          <w:color w:val="auto"/>
        </w:rPr>
      </w:pPr>
      <w:r>
        <w:rPr>
          <w:rFonts w:ascii="Arial" w:cs="Arial" w:eastAsia="Arial" w:hAnsi="Arial"/>
          <w:sz w:val="14"/>
          <w:szCs w:val="14"/>
          <w:b w:val="1"/>
          <w:bCs w:val="1"/>
          <w:color w:val="auto"/>
        </w:rPr>
        <w:t>QUARTERLY TRENDS</w:t>
      </w:r>
    </w:p>
    <w:p>
      <w:pPr>
        <w:spacing w:after="0" w:line="108"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5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9"/>
                <w:szCs w:val="9"/>
                <w:b w:val="1"/>
                <w:bCs w:val="1"/>
                <w:color w:val="auto"/>
              </w:rPr>
              <w:t>2006</w:t>
            </w:r>
          </w:p>
        </w:tc>
        <w:tc>
          <w:tcPr>
            <w:tcW w:w="78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9"/>
                <w:szCs w:val="9"/>
                <w:b w:val="1"/>
                <w:bCs w:val="1"/>
                <w:color w:val="auto"/>
                <w:w w:val="90"/>
              </w:rPr>
              <w:t>Quarters</w:t>
            </w: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9"/>
                <w:szCs w:val="9"/>
                <w:b w:val="1"/>
                <w:bCs w:val="1"/>
                <w:color w:val="auto"/>
              </w:rPr>
              <w:t>2005</w:t>
            </w:r>
          </w:p>
        </w:tc>
        <w:tc>
          <w:tcPr>
            <w:tcW w:w="78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9"/>
                <w:szCs w:val="9"/>
                <w:b w:val="1"/>
                <w:bCs w:val="1"/>
                <w:color w:val="auto"/>
                <w:w w:val="90"/>
              </w:rPr>
              <w:t>Quarters</w:t>
            </w: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88"/>
        </w:trPr>
        <w:tc>
          <w:tcPr>
            <w:tcW w:w="52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gridSpan w:val="2"/>
          </w:tcPr>
          <w:p>
            <w:pPr>
              <w:jc w:val="right"/>
              <w:ind w:right="260"/>
              <w:spacing w:after="0" w:line="88" w:lineRule="exact"/>
              <w:rPr>
                <w:sz w:val="20"/>
                <w:szCs w:val="20"/>
                <w:color w:val="auto"/>
              </w:rPr>
            </w:pPr>
            <w:r>
              <w:rPr>
                <w:rFonts w:ascii="Arial" w:cs="Arial" w:eastAsia="Arial" w:hAnsi="Arial"/>
                <w:sz w:val="9"/>
                <w:szCs w:val="9"/>
                <w:b w:val="1"/>
                <w:bCs w:val="1"/>
                <w:color w:val="auto"/>
                <w:w w:val="91"/>
              </w:rPr>
              <w:t>Fourth</w:t>
            </w:r>
          </w:p>
        </w:tc>
        <w:tc>
          <w:tcPr>
            <w:tcW w:w="80" w:type="dxa"/>
            <w:vAlign w:val="bottom"/>
          </w:tcPr>
          <w:p>
            <w:pPr>
              <w:spacing w:after="0"/>
              <w:rPr>
                <w:sz w:val="7"/>
                <w:szCs w:val="7"/>
                <w:color w:val="auto"/>
              </w:rPr>
            </w:pPr>
          </w:p>
        </w:tc>
        <w:tc>
          <w:tcPr>
            <w:tcW w:w="340" w:type="dxa"/>
            <w:vAlign w:val="bottom"/>
            <w:gridSpan w:val="2"/>
          </w:tcPr>
          <w:p>
            <w:pPr>
              <w:jc w:val="right"/>
              <w:ind w:right="100"/>
              <w:spacing w:after="0" w:line="88" w:lineRule="exact"/>
              <w:rPr>
                <w:sz w:val="20"/>
                <w:szCs w:val="20"/>
                <w:color w:val="auto"/>
              </w:rPr>
            </w:pPr>
            <w:r>
              <w:rPr>
                <w:rFonts w:ascii="Arial" w:cs="Arial" w:eastAsia="Arial" w:hAnsi="Arial"/>
                <w:sz w:val="9"/>
                <w:szCs w:val="9"/>
                <w:b w:val="1"/>
                <w:bCs w:val="1"/>
                <w:color w:val="auto"/>
                <w:w w:val="97"/>
              </w:rPr>
              <w:t>Third</w:t>
            </w: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gridSpan w:val="2"/>
          </w:tcPr>
          <w:p>
            <w:pPr>
              <w:jc w:val="right"/>
              <w:ind w:right="260"/>
              <w:spacing w:after="0" w:line="88" w:lineRule="exact"/>
              <w:rPr>
                <w:sz w:val="20"/>
                <w:szCs w:val="20"/>
                <w:color w:val="auto"/>
              </w:rPr>
            </w:pPr>
            <w:r>
              <w:rPr>
                <w:rFonts w:ascii="Arial" w:cs="Arial" w:eastAsia="Arial" w:hAnsi="Arial"/>
                <w:sz w:val="9"/>
                <w:szCs w:val="9"/>
                <w:b w:val="1"/>
                <w:bCs w:val="1"/>
                <w:color w:val="auto"/>
                <w:w w:val="79"/>
              </w:rPr>
              <w:t>Second</w:t>
            </w:r>
          </w:p>
        </w:tc>
        <w:tc>
          <w:tcPr>
            <w:tcW w:w="80" w:type="dxa"/>
            <w:vAlign w:val="bottom"/>
          </w:tcPr>
          <w:p>
            <w:pPr>
              <w:spacing w:after="0"/>
              <w:rPr>
                <w:sz w:val="7"/>
                <w:szCs w:val="7"/>
                <w:color w:val="auto"/>
              </w:rPr>
            </w:pPr>
          </w:p>
        </w:tc>
        <w:tc>
          <w:tcPr>
            <w:tcW w:w="320" w:type="dxa"/>
            <w:vAlign w:val="bottom"/>
          </w:tcPr>
          <w:p>
            <w:pPr>
              <w:ind w:left="40"/>
              <w:spacing w:after="0" w:line="88" w:lineRule="exact"/>
              <w:rPr>
                <w:sz w:val="20"/>
                <w:szCs w:val="20"/>
                <w:color w:val="auto"/>
              </w:rPr>
            </w:pPr>
            <w:r>
              <w:rPr>
                <w:rFonts w:ascii="Arial" w:cs="Arial" w:eastAsia="Arial" w:hAnsi="Arial"/>
                <w:sz w:val="9"/>
                <w:szCs w:val="9"/>
                <w:b w:val="1"/>
                <w:bCs w:val="1"/>
                <w:color w:val="auto"/>
              </w:rPr>
              <w:t>First</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gridSpan w:val="2"/>
          </w:tcPr>
          <w:p>
            <w:pPr>
              <w:jc w:val="right"/>
              <w:ind w:right="260"/>
              <w:spacing w:after="0" w:line="88" w:lineRule="exact"/>
              <w:rPr>
                <w:sz w:val="20"/>
                <w:szCs w:val="20"/>
                <w:color w:val="auto"/>
              </w:rPr>
            </w:pPr>
            <w:r>
              <w:rPr>
                <w:rFonts w:ascii="Arial" w:cs="Arial" w:eastAsia="Arial" w:hAnsi="Arial"/>
                <w:sz w:val="9"/>
                <w:szCs w:val="9"/>
                <w:b w:val="1"/>
                <w:bCs w:val="1"/>
                <w:color w:val="auto"/>
                <w:w w:val="91"/>
              </w:rPr>
              <w:t>Fourth</w:t>
            </w:r>
          </w:p>
        </w:tc>
        <w:tc>
          <w:tcPr>
            <w:tcW w:w="80" w:type="dxa"/>
            <w:vAlign w:val="bottom"/>
          </w:tcPr>
          <w:p>
            <w:pPr>
              <w:spacing w:after="0"/>
              <w:rPr>
                <w:sz w:val="7"/>
                <w:szCs w:val="7"/>
                <w:color w:val="auto"/>
              </w:rPr>
            </w:pPr>
          </w:p>
        </w:tc>
        <w:tc>
          <w:tcPr>
            <w:tcW w:w="340" w:type="dxa"/>
            <w:vAlign w:val="bottom"/>
            <w:gridSpan w:val="2"/>
          </w:tcPr>
          <w:p>
            <w:pPr>
              <w:jc w:val="right"/>
              <w:ind w:right="100"/>
              <w:spacing w:after="0" w:line="88" w:lineRule="exact"/>
              <w:rPr>
                <w:sz w:val="20"/>
                <w:szCs w:val="20"/>
                <w:color w:val="auto"/>
              </w:rPr>
            </w:pPr>
            <w:r>
              <w:rPr>
                <w:rFonts w:ascii="Arial" w:cs="Arial" w:eastAsia="Arial" w:hAnsi="Arial"/>
                <w:sz w:val="9"/>
                <w:szCs w:val="9"/>
                <w:b w:val="1"/>
                <w:bCs w:val="1"/>
                <w:color w:val="auto"/>
                <w:w w:val="97"/>
              </w:rPr>
              <w:t>Third</w:t>
            </w: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gridSpan w:val="2"/>
          </w:tcPr>
          <w:p>
            <w:pPr>
              <w:jc w:val="right"/>
              <w:ind w:right="260"/>
              <w:spacing w:after="0" w:line="88" w:lineRule="exact"/>
              <w:rPr>
                <w:sz w:val="20"/>
                <w:szCs w:val="20"/>
                <w:color w:val="auto"/>
              </w:rPr>
            </w:pPr>
            <w:r>
              <w:rPr>
                <w:rFonts w:ascii="Arial" w:cs="Arial" w:eastAsia="Arial" w:hAnsi="Arial"/>
                <w:sz w:val="9"/>
                <w:szCs w:val="9"/>
                <w:b w:val="1"/>
                <w:bCs w:val="1"/>
                <w:color w:val="auto"/>
                <w:w w:val="79"/>
              </w:rPr>
              <w:t>Second</w:t>
            </w:r>
          </w:p>
        </w:tc>
        <w:tc>
          <w:tcPr>
            <w:tcW w:w="80" w:type="dxa"/>
            <w:vAlign w:val="bottom"/>
          </w:tcPr>
          <w:p>
            <w:pPr>
              <w:spacing w:after="0"/>
              <w:rPr>
                <w:sz w:val="7"/>
                <w:szCs w:val="7"/>
                <w:color w:val="auto"/>
              </w:rPr>
            </w:pPr>
          </w:p>
        </w:tc>
        <w:tc>
          <w:tcPr>
            <w:tcW w:w="320" w:type="dxa"/>
            <w:vAlign w:val="bottom"/>
          </w:tcPr>
          <w:p>
            <w:pPr>
              <w:ind w:left="40"/>
              <w:spacing w:after="0" w:line="88" w:lineRule="exact"/>
              <w:rPr>
                <w:sz w:val="20"/>
                <w:szCs w:val="20"/>
                <w:color w:val="auto"/>
              </w:rPr>
            </w:pPr>
            <w:r>
              <w:rPr>
                <w:rFonts w:ascii="Arial" w:cs="Arial" w:eastAsia="Arial" w:hAnsi="Arial"/>
                <w:sz w:val="9"/>
                <w:szCs w:val="9"/>
                <w:b w:val="1"/>
                <w:bCs w:val="1"/>
                <w:color w:val="auto"/>
              </w:rPr>
              <w:t>First</w:t>
            </w:r>
          </w:p>
        </w:tc>
        <w:tc>
          <w:tcPr>
            <w:tcW w:w="100" w:type="dxa"/>
            <w:vAlign w:val="bottom"/>
          </w:tcPr>
          <w:p>
            <w:pPr>
              <w:spacing w:after="0"/>
              <w:rPr>
                <w:sz w:val="7"/>
                <w:szCs w:val="7"/>
                <w:color w:val="auto"/>
              </w:rPr>
            </w:pPr>
          </w:p>
        </w:tc>
      </w:tr>
      <w:tr>
        <w:trPr>
          <w:trHeight w:val="29"/>
        </w:trPr>
        <w:tc>
          <w:tcPr>
            <w:tcW w:w="52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color w:val="auto"/>
              </w:rPr>
              <w:t>Earnings and dividends</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i w:val="1"/>
                <w:iCs w:val="1"/>
                <w:color w:val="auto"/>
              </w:rPr>
              <w:t>Amounts in thousands, except per share</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Interest income (taxable-equivalent basis)</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876,197</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92"/>
              </w:rPr>
              <w:t>858,008</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817,552</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2"/>
              </w:rPr>
              <w:t>782,003</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757,654</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92"/>
              </w:rPr>
              <w:t>725,129</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680,781</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92"/>
              </w:rPr>
              <w:t>642,441</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Interest expense</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404,356</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w w:val="92"/>
              </w:rPr>
              <w:t>395,652</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366,298</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2"/>
              </w:rPr>
              <w:t>330,246</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303,493</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w w:val="92"/>
              </w:rPr>
              <w:t>265,576</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229,016</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w w:val="92"/>
              </w:rPr>
              <w:t>196,266</w:t>
            </w:r>
          </w:p>
        </w:tc>
      </w:tr>
      <w:tr>
        <w:trPr>
          <w:trHeight w:val="20"/>
        </w:trPr>
        <w:tc>
          <w:tcPr>
            <w:tcW w:w="5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Net interest income</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471,841</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92"/>
              </w:rPr>
              <w:t>462,356</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451,254</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2"/>
              </w:rPr>
              <w:t>451,757</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454,161</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92"/>
              </w:rPr>
              <w:t>459,553</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451,765</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92"/>
              </w:rPr>
              <w:t>446,175</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Less: provision for credit losses</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28,000</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17,000</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17,000</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18,000</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23,000</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22,000</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19,000</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24,000</w:t>
            </w: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Other income</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256,417</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92"/>
              </w:rPr>
              <w:t>273,902</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262,602</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2"/>
              </w:rPr>
              <w:t>252,931</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248,604</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92"/>
              </w:rPr>
              <w:t>221,494</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245,362</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92"/>
              </w:rPr>
              <w:t>234,258</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Less: other expense</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383,810</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w w:val="92"/>
              </w:rPr>
              <w:t>408,941</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376,997</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2"/>
              </w:rPr>
              <w:t>382,003</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369,114</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w w:val="92"/>
              </w:rPr>
              <w:t>368,250</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380,441</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w w:val="92"/>
              </w:rPr>
              <w:t>367,337</w:t>
            </w:r>
          </w:p>
        </w:tc>
      </w:tr>
      <w:tr>
        <w:trPr>
          <w:trHeight w:val="20"/>
        </w:trPr>
        <w:tc>
          <w:tcPr>
            <w:tcW w:w="5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Income before income taxes</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316,448</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92"/>
              </w:rPr>
              <w:t>310,317</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319,859</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2"/>
              </w:rPr>
              <w:t>304,685</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310,651</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92"/>
              </w:rPr>
              <w:t>290,797</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297,686</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92"/>
              </w:rPr>
              <w:t>289,096</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Applicable income taxes</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97,996</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94,775</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102,645</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97,037</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101,113</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95,348</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96,589</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95,686</w:t>
            </w: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Taxable-equivalent adjustment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5,123</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5,172</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4,641</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4,731</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4,553</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4,375</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4,263</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4,120</w:t>
            </w:r>
          </w:p>
        </w:tc>
      </w:tr>
      <w:tr>
        <w:trPr>
          <w:trHeight w:val="112"/>
        </w:trPr>
        <w:tc>
          <w:tcPr>
            <w:tcW w:w="5280" w:type="dxa"/>
            <w:vAlign w:val="bottom"/>
          </w:tcPr>
          <w:p>
            <w:pPr>
              <w:spacing w:after="0" w:line="98" w:lineRule="exact"/>
              <w:rPr>
                <w:sz w:val="20"/>
                <w:szCs w:val="20"/>
                <w:color w:val="auto"/>
              </w:rPr>
            </w:pPr>
            <w:r>
              <w:rPr>
                <w:rFonts w:ascii="Arial" w:cs="Arial" w:eastAsia="Arial" w:hAnsi="Arial"/>
                <w:sz w:val="9"/>
                <w:szCs w:val="9"/>
                <w:color w:val="auto"/>
              </w:rPr>
              <w:t>Net income</w:t>
            </w:r>
          </w:p>
        </w:tc>
        <w:tc>
          <w:tcPr>
            <w:tcW w:w="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8"/>
              </w:rPr>
              <w:t>213,329</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2"/>
              </w:rPr>
              <w:t>210,370</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8"/>
              </w:rPr>
              <w:t>212,573</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tcPr>
          <w:p>
            <w:pPr>
              <w:ind w:left="40"/>
              <w:spacing w:after="0" w:line="98" w:lineRule="exact"/>
              <w:rPr>
                <w:sz w:val="20"/>
                <w:szCs w:val="20"/>
                <w:color w:val="auto"/>
              </w:rPr>
            </w:pPr>
            <w:r>
              <w:rPr>
                <w:rFonts w:ascii="Arial" w:cs="Arial" w:eastAsia="Arial" w:hAnsi="Arial"/>
                <w:sz w:val="9"/>
                <w:szCs w:val="9"/>
                <w:color w:val="auto"/>
                <w:w w:val="79"/>
              </w:rPr>
              <w:t>202,917</w:t>
            </w:r>
          </w:p>
        </w:tc>
        <w:tc>
          <w:tcPr>
            <w:tcW w:w="20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8"/>
              </w:rPr>
              <w:t>204,985</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3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2"/>
              </w:rPr>
              <w:t>191,074</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98"/>
              </w:rPr>
              <w:t>196,834</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bottom w:val="single" w:sz="8" w:color="auto"/>
            </w:tcBorders>
          </w:tcPr>
          <w:p>
            <w:pPr>
              <w:ind w:left="20"/>
              <w:spacing w:after="0" w:line="98" w:lineRule="exact"/>
              <w:rPr>
                <w:sz w:val="20"/>
                <w:szCs w:val="20"/>
                <w:color w:val="auto"/>
              </w:rPr>
            </w:pPr>
            <w:r>
              <w:rPr>
                <w:rFonts w:ascii="Arial" w:cs="Arial" w:eastAsia="Arial" w:hAnsi="Arial"/>
                <w:sz w:val="9"/>
                <w:szCs w:val="9"/>
                <w:color w:val="auto"/>
                <w:w w:val="85"/>
              </w:rPr>
              <w:t>189,290</w:t>
            </w:r>
          </w:p>
        </w:tc>
        <w:tc>
          <w:tcPr>
            <w:tcW w:w="100" w:type="dxa"/>
            <w:vAlign w:val="bottom"/>
          </w:tcPr>
          <w:p>
            <w:pPr>
              <w:spacing w:after="0"/>
              <w:rPr>
                <w:sz w:val="9"/>
                <w:szCs w:val="9"/>
                <w:color w:val="auto"/>
              </w:rPr>
            </w:pPr>
          </w:p>
        </w:tc>
      </w:tr>
      <w:tr>
        <w:trPr>
          <w:trHeight w:val="103"/>
        </w:trPr>
        <w:tc>
          <w:tcPr>
            <w:tcW w:w="5280" w:type="dxa"/>
            <w:vAlign w:val="bottom"/>
            <w:shd w:val="clear" w:color="auto" w:fill="CCEEFF"/>
          </w:tcPr>
          <w:p>
            <w:pPr>
              <w:spacing w:after="0"/>
              <w:rPr>
                <w:sz w:val="20"/>
                <w:szCs w:val="20"/>
                <w:color w:val="auto"/>
              </w:rPr>
            </w:pPr>
            <w:r>
              <w:rPr>
                <w:rFonts w:ascii="Arial" w:cs="Arial" w:eastAsia="Arial" w:hAnsi="Arial"/>
                <w:sz w:val="9"/>
                <w:szCs w:val="9"/>
                <w:color w:val="auto"/>
              </w:rPr>
              <w:t>Per common share data</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Basic earnings</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1.93</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1.89</w:t>
            </w:r>
          </w:p>
        </w:tc>
        <w:tc>
          <w:tcPr>
            <w:tcW w:w="180" w:type="dxa"/>
            <w:vAlign w:val="bottom"/>
          </w:tcPr>
          <w:p>
            <w:pPr>
              <w:spacing w:after="0"/>
              <w:rPr>
                <w:sz w:val="8"/>
                <w:szCs w:val="8"/>
                <w:color w:val="auto"/>
              </w:rPr>
            </w:pP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1.91</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1.82</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1.82</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1.68</w:t>
            </w:r>
          </w:p>
        </w:tc>
        <w:tc>
          <w:tcPr>
            <w:tcW w:w="18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1.73</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1.65</w:t>
            </w: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Diluted earnings</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1.88</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1.85</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1.87</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1.77</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1.78</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1.64</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1.69</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1.62</w:t>
            </w: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Cash dividends</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.60</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.60</w:t>
            </w:r>
          </w:p>
        </w:tc>
        <w:tc>
          <w:tcPr>
            <w:tcW w:w="180" w:type="dxa"/>
            <w:vAlign w:val="bottom"/>
          </w:tcPr>
          <w:p>
            <w:pPr>
              <w:spacing w:after="0"/>
              <w:rPr>
                <w:sz w:val="8"/>
                <w:szCs w:val="8"/>
                <w:color w:val="auto"/>
              </w:rPr>
            </w:pP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.60</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.45</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.45</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.45</w:t>
            </w:r>
          </w:p>
        </w:tc>
        <w:tc>
          <w:tcPr>
            <w:tcW w:w="18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.45</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.40</w:t>
            </w: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Average common shares outstanding</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Basic</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110,705</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w w:val="92"/>
              </w:rPr>
              <w:t>111,047</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111,259</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2"/>
              </w:rPr>
              <w:t>111,693</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112,529</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w w:val="92"/>
              </w:rPr>
              <w:t>113,530</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113,949</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w w:val="92"/>
              </w:rPr>
              <w:t>114,773</w:t>
            </w: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Diluted</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113,468</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92"/>
              </w:rPr>
              <w:t>113,897</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113,968</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2"/>
              </w:rPr>
              <w:t>114,347</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115,147</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92"/>
              </w:rPr>
              <w:t>116,200</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w w:val="98"/>
              </w:rPr>
              <w:t>116,422</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92"/>
              </w:rPr>
              <w:t>117,184</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b w:val="1"/>
                <w:bCs w:val="1"/>
                <w:color w:val="auto"/>
              </w:rPr>
              <w:t>Performance ratios, annualized</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Return on</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Average assets</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1.50%</w:t>
            </w:r>
          </w:p>
        </w:tc>
        <w:tc>
          <w:tcPr>
            <w:tcW w:w="80" w:type="dxa"/>
            <w:vAlign w:val="bottom"/>
          </w:tcPr>
          <w:p>
            <w:pPr>
              <w:spacing w:after="0"/>
              <w:rPr>
                <w:sz w:val="8"/>
                <w:szCs w:val="8"/>
                <w:color w:val="auto"/>
              </w:rPr>
            </w:pPr>
          </w:p>
        </w:tc>
        <w:tc>
          <w:tcPr>
            <w:tcW w:w="520" w:type="dxa"/>
            <w:vAlign w:val="bottom"/>
            <w:gridSpan w:val="3"/>
          </w:tcPr>
          <w:p>
            <w:pPr>
              <w:jc w:val="right"/>
              <w:ind w:right="74"/>
              <w:spacing w:after="0" w:line="98" w:lineRule="exact"/>
              <w:rPr>
                <w:sz w:val="20"/>
                <w:szCs w:val="20"/>
                <w:color w:val="auto"/>
              </w:rPr>
            </w:pPr>
            <w:r>
              <w:rPr>
                <w:rFonts w:ascii="Arial" w:cs="Arial" w:eastAsia="Arial" w:hAnsi="Arial"/>
                <w:sz w:val="9"/>
                <w:szCs w:val="9"/>
                <w:color w:val="auto"/>
              </w:rPr>
              <w:t>1.49%</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1.54%</w:t>
            </w:r>
          </w:p>
        </w:tc>
        <w:tc>
          <w:tcPr>
            <w:tcW w:w="80" w:type="dxa"/>
            <w:vAlign w:val="bottom"/>
          </w:tcPr>
          <w:p>
            <w:pPr>
              <w:spacing w:after="0"/>
              <w:rPr>
                <w:sz w:val="8"/>
                <w:szCs w:val="8"/>
                <w:color w:val="auto"/>
              </w:rPr>
            </w:pPr>
          </w:p>
        </w:tc>
        <w:tc>
          <w:tcPr>
            <w:tcW w:w="52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1.49%</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1.48%</w:t>
            </w:r>
          </w:p>
        </w:tc>
        <w:tc>
          <w:tcPr>
            <w:tcW w:w="80" w:type="dxa"/>
            <w:vAlign w:val="bottom"/>
          </w:tcPr>
          <w:p>
            <w:pPr>
              <w:spacing w:after="0"/>
              <w:rPr>
                <w:sz w:val="8"/>
                <w:szCs w:val="8"/>
                <w:color w:val="auto"/>
              </w:rPr>
            </w:pPr>
          </w:p>
        </w:tc>
        <w:tc>
          <w:tcPr>
            <w:tcW w:w="520" w:type="dxa"/>
            <w:vAlign w:val="bottom"/>
            <w:gridSpan w:val="3"/>
          </w:tcPr>
          <w:p>
            <w:pPr>
              <w:jc w:val="right"/>
              <w:ind w:right="74"/>
              <w:spacing w:after="0" w:line="98" w:lineRule="exact"/>
              <w:rPr>
                <w:sz w:val="20"/>
                <w:szCs w:val="20"/>
                <w:color w:val="auto"/>
              </w:rPr>
            </w:pPr>
            <w:r>
              <w:rPr>
                <w:rFonts w:ascii="Arial" w:cs="Arial" w:eastAsia="Arial" w:hAnsi="Arial"/>
                <w:sz w:val="9"/>
                <w:szCs w:val="9"/>
                <w:color w:val="auto"/>
              </w:rPr>
              <w:t>1.39%</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1.46%</w:t>
            </w:r>
          </w:p>
        </w:tc>
        <w:tc>
          <w:tcPr>
            <w:tcW w:w="80" w:type="dxa"/>
            <w:vAlign w:val="bottom"/>
          </w:tcPr>
          <w:p>
            <w:pPr>
              <w:spacing w:after="0"/>
              <w:rPr>
                <w:sz w:val="8"/>
                <w:szCs w:val="8"/>
                <w:color w:val="auto"/>
              </w:rPr>
            </w:pPr>
          </w:p>
        </w:tc>
        <w:tc>
          <w:tcPr>
            <w:tcW w:w="4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1.44%</w:t>
            </w: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Average common stockholders’ equity</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13.55%</w:t>
            </w:r>
          </w:p>
        </w:tc>
        <w:tc>
          <w:tcPr>
            <w:tcW w:w="8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74"/>
              <w:spacing w:after="0" w:line="98" w:lineRule="exact"/>
              <w:rPr>
                <w:sz w:val="20"/>
                <w:szCs w:val="20"/>
                <w:color w:val="auto"/>
              </w:rPr>
            </w:pPr>
            <w:r>
              <w:rPr>
                <w:rFonts w:ascii="Arial" w:cs="Arial" w:eastAsia="Arial" w:hAnsi="Arial"/>
                <w:sz w:val="9"/>
                <w:szCs w:val="9"/>
                <w:color w:val="auto"/>
              </w:rPr>
              <w:t>13.72%</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14.35%</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13.97%</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13.85%</w:t>
            </w:r>
          </w:p>
        </w:tc>
        <w:tc>
          <w:tcPr>
            <w:tcW w:w="8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74"/>
              <w:spacing w:after="0" w:line="98" w:lineRule="exact"/>
              <w:rPr>
                <w:sz w:val="20"/>
                <w:szCs w:val="20"/>
                <w:color w:val="auto"/>
              </w:rPr>
            </w:pPr>
            <w:r>
              <w:rPr>
                <w:rFonts w:ascii="Arial" w:cs="Arial" w:eastAsia="Arial" w:hAnsi="Arial"/>
                <w:sz w:val="9"/>
                <w:szCs w:val="9"/>
                <w:color w:val="auto"/>
              </w:rPr>
              <w:t>12.97%</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13.73%</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13.41%</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Net interest margin on average earning assets (taxable-equivalent basis)</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3.73%</w:t>
            </w:r>
          </w:p>
        </w:tc>
        <w:tc>
          <w:tcPr>
            <w:tcW w:w="80" w:type="dxa"/>
            <w:vAlign w:val="bottom"/>
          </w:tcPr>
          <w:p>
            <w:pPr>
              <w:spacing w:after="0"/>
              <w:rPr>
                <w:sz w:val="8"/>
                <w:szCs w:val="8"/>
                <w:color w:val="auto"/>
              </w:rPr>
            </w:pPr>
          </w:p>
        </w:tc>
        <w:tc>
          <w:tcPr>
            <w:tcW w:w="520" w:type="dxa"/>
            <w:vAlign w:val="bottom"/>
            <w:gridSpan w:val="3"/>
          </w:tcPr>
          <w:p>
            <w:pPr>
              <w:jc w:val="right"/>
              <w:ind w:right="74"/>
              <w:spacing w:after="0" w:line="98" w:lineRule="exact"/>
              <w:rPr>
                <w:sz w:val="20"/>
                <w:szCs w:val="20"/>
                <w:color w:val="auto"/>
              </w:rPr>
            </w:pPr>
            <w:r>
              <w:rPr>
                <w:rFonts w:ascii="Arial" w:cs="Arial" w:eastAsia="Arial" w:hAnsi="Arial"/>
                <w:sz w:val="9"/>
                <w:szCs w:val="9"/>
                <w:color w:val="auto"/>
              </w:rPr>
              <w:t>3.68%</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3.66%</w:t>
            </w:r>
          </w:p>
        </w:tc>
        <w:tc>
          <w:tcPr>
            <w:tcW w:w="80" w:type="dxa"/>
            <w:vAlign w:val="bottom"/>
          </w:tcPr>
          <w:p>
            <w:pPr>
              <w:spacing w:after="0"/>
              <w:rPr>
                <w:sz w:val="8"/>
                <w:szCs w:val="8"/>
                <w:color w:val="auto"/>
              </w:rPr>
            </w:pPr>
          </w:p>
        </w:tc>
        <w:tc>
          <w:tcPr>
            <w:tcW w:w="52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3.73%</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3.69%</w:t>
            </w:r>
          </w:p>
        </w:tc>
        <w:tc>
          <w:tcPr>
            <w:tcW w:w="80" w:type="dxa"/>
            <w:vAlign w:val="bottom"/>
          </w:tcPr>
          <w:p>
            <w:pPr>
              <w:spacing w:after="0"/>
              <w:rPr>
                <w:sz w:val="8"/>
                <w:szCs w:val="8"/>
                <w:color w:val="auto"/>
              </w:rPr>
            </w:pPr>
          </w:p>
        </w:tc>
        <w:tc>
          <w:tcPr>
            <w:tcW w:w="520" w:type="dxa"/>
            <w:vAlign w:val="bottom"/>
            <w:gridSpan w:val="3"/>
          </w:tcPr>
          <w:p>
            <w:pPr>
              <w:jc w:val="right"/>
              <w:ind w:right="74"/>
              <w:spacing w:after="0" w:line="98" w:lineRule="exact"/>
              <w:rPr>
                <w:sz w:val="20"/>
                <w:szCs w:val="20"/>
                <w:color w:val="auto"/>
              </w:rPr>
            </w:pPr>
            <w:r>
              <w:rPr>
                <w:rFonts w:ascii="Arial" w:cs="Arial" w:eastAsia="Arial" w:hAnsi="Arial"/>
                <w:sz w:val="9"/>
                <w:szCs w:val="9"/>
                <w:color w:val="auto"/>
              </w:rPr>
              <w:t>3.76%</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3.78%</w:t>
            </w:r>
          </w:p>
        </w:tc>
        <w:tc>
          <w:tcPr>
            <w:tcW w:w="80" w:type="dxa"/>
            <w:vAlign w:val="bottom"/>
          </w:tcPr>
          <w:p>
            <w:pPr>
              <w:spacing w:after="0"/>
              <w:rPr>
                <w:sz w:val="8"/>
                <w:szCs w:val="8"/>
                <w:color w:val="auto"/>
              </w:rPr>
            </w:pPr>
          </w:p>
        </w:tc>
        <w:tc>
          <w:tcPr>
            <w:tcW w:w="4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3.83%</w:t>
            </w: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Nonperforming loans to total loans and leases, net of unearned discount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.52%</w:t>
            </w:r>
          </w:p>
        </w:tc>
        <w:tc>
          <w:tcPr>
            <w:tcW w:w="8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74"/>
              <w:spacing w:after="0" w:line="98" w:lineRule="exact"/>
              <w:rPr>
                <w:sz w:val="20"/>
                <w:szCs w:val="20"/>
                <w:color w:val="auto"/>
              </w:rPr>
            </w:pPr>
            <w:r>
              <w:rPr>
                <w:rFonts w:ascii="Arial" w:cs="Arial" w:eastAsia="Arial" w:hAnsi="Arial"/>
                <w:sz w:val="9"/>
                <w:szCs w:val="9"/>
                <w:color w:val="auto"/>
              </w:rPr>
              <w:t>.43%</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.38%</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.35%</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.39%</w:t>
            </w:r>
          </w:p>
        </w:tc>
        <w:tc>
          <w:tcPr>
            <w:tcW w:w="8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74"/>
              <w:spacing w:after="0" w:line="98" w:lineRule="exact"/>
              <w:rPr>
                <w:sz w:val="20"/>
                <w:szCs w:val="20"/>
                <w:color w:val="auto"/>
              </w:rPr>
            </w:pPr>
            <w:r>
              <w:rPr>
                <w:rFonts w:ascii="Arial" w:cs="Arial" w:eastAsia="Arial" w:hAnsi="Arial"/>
                <w:sz w:val="9"/>
                <w:szCs w:val="9"/>
                <w:color w:val="auto"/>
              </w:rPr>
              <w:t>.41%</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.46%</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.46%</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Efficiency ratio(a)</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52.79%</w:t>
            </w:r>
          </w:p>
        </w:tc>
        <w:tc>
          <w:tcPr>
            <w:tcW w:w="80" w:type="dxa"/>
            <w:vAlign w:val="bottom"/>
          </w:tcPr>
          <w:p>
            <w:pPr>
              <w:spacing w:after="0"/>
              <w:rPr>
                <w:sz w:val="8"/>
                <w:szCs w:val="8"/>
                <w:color w:val="auto"/>
              </w:rPr>
            </w:pPr>
          </w:p>
        </w:tc>
        <w:tc>
          <w:tcPr>
            <w:tcW w:w="520" w:type="dxa"/>
            <w:vAlign w:val="bottom"/>
            <w:gridSpan w:val="3"/>
          </w:tcPr>
          <w:p>
            <w:pPr>
              <w:jc w:val="right"/>
              <w:ind w:right="74"/>
              <w:spacing w:after="0" w:line="98" w:lineRule="exact"/>
              <w:rPr>
                <w:sz w:val="20"/>
                <w:szCs w:val="20"/>
                <w:color w:val="auto"/>
              </w:rPr>
            </w:pPr>
            <w:r>
              <w:rPr>
                <w:rFonts w:ascii="Arial" w:cs="Arial" w:eastAsia="Arial" w:hAnsi="Arial"/>
                <w:sz w:val="9"/>
                <w:szCs w:val="9"/>
                <w:color w:val="auto"/>
              </w:rPr>
              <w:t>55.47%</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52.29%</w:t>
            </w:r>
          </w:p>
        </w:tc>
        <w:tc>
          <w:tcPr>
            <w:tcW w:w="80" w:type="dxa"/>
            <w:vAlign w:val="bottom"/>
          </w:tcPr>
          <w:p>
            <w:pPr>
              <w:spacing w:after="0"/>
              <w:rPr>
                <w:sz w:val="8"/>
                <w:szCs w:val="8"/>
                <w:color w:val="auto"/>
              </w:rPr>
            </w:pPr>
          </w:p>
        </w:tc>
        <w:tc>
          <w:tcPr>
            <w:tcW w:w="52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54.21%</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52.49%</w:t>
            </w:r>
          </w:p>
        </w:tc>
        <w:tc>
          <w:tcPr>
            <w:tcW w:w="80" w:type="dxa"/>
            <w:vAlign w:val="bottom"/>
          </w:tcPr>
          <w:p>
            <w:pPr>
              <w:spacing w:after="0"/>
              <w:rPr>
                <w:sz w:val="8"/>
                <w:szCs w:val="8"/>
                <w:color w:val="auto"/>
              </w:rPr>
            </w:pPr>
          </w:p>
        </w:tc>
        <w:tc>
          <w:tcPr>
            <w:tcW w:w="520" w:type="dxa"/>
            <w:vAlign w:val="bottom"/>
            <w:gridSpan w:val="3"/>
          </w:tcPr>
          <w:p>
            <w:pPr>
              <w:jc w:val="right"/>
              <w:ind w:right="74"/>
              <w:spacing w:after="0" w:line="98" w:lineRule="exact"/>
              <w:rPr>
                <w:sz w:val="20"/>
                <w:szCs w:val="20"/>
                <w:color w:val="auto"/>
              </w:rPr>
            </w:pPr>
            <w:r>
              <w:rPr>
                <w:rFonts w:ascii="Arial" w:cs="Arial" w:eastAsia="Arial" w:hAnsi="Arial"/>
                <w:sz w:val="9"/>
                <w:szCs w:val="9"/>
                <w:color w:val="auto"/>
              </w:rPr>
              <w:t>51.94%</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54.58%</w:t>
            </w:r>
          </w:p>
        </w:tc>
        <w:tc>
          <w:tcPr>
            <w:tcW w:w="80" w:type="dxa"/>
            <w:vAlign w:val="bottom"/>
          </w:tcPr>
          <w:p>
            <w:pPr>
              <w:spacing w:after="0"/>
              <w:rPr>
                <w:sz w:val="8"/>
                <w:szCs w:val="8"/>
                <w:color w:val="auto"/>
              </w:rPr>
            </w:pPr>
          </w:p>
        </w:tc>
        <w:tc>
          <w:tcPr>
            <w:tcW w:w="4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54.00%</w:t>
            </w: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color w:val="auto"/>
              </w:rPr>
              <w:t>Net operating (tangible) results(b)</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Net operating income (in thousands)</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224,733</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w w:val="92"/>
              </w:rPr>
              <w:t>223,228</w:t>
            </w:r>
          </w:p>
        </w:tc>
        <w:tc>
          <w:tcPr>
            <w:tcW w:w="180" w:type="dxa"/>
            <w:vAlign w:val="bottom"/>
          </w:tcPr>
          <w:p>
            <w:pPr>
              <w:spacing w:after="0"/>
              <w:rPr>
                <w:sz w:val="8"/>
                <w:szCs w:val="8"/>
                <w:color w:val="auto"/>
              </w:rPr>
            </w:pP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221,838</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2"/>
              </w:rPr>
              <w:t>210,856</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212,738</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w w:val="92"/>
              </w:rPr>
              <w:t>199,577</w:t>
            </w:r>
          </w:p>
        </w:tc>
        <w:tc>
          <w:tcPr>
            <w:tcW w:w="18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w w:val="98"/>
              </w:rPr>
              <w:t>205,415</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w w:val="92"/>
              </w:rPr>
              <w:t>199,135</w:t>
            </w: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Diluted net operating income per common share</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1.98</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1.96</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1.95</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1.84</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1.85</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1.72</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1.76</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1.70</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Annualized return on</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Average tangible assets</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1.67%</w:t>
            </w:r>
          </w:p>
        </w:tc>
        <w:tc>
          <w:tcPr>
            <w:tcW w:w="8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74"/>
              <w:spacing w:after="0" w:line="98" w:lineRule="exact"/>
              <w:rPr>
                <w:sz w:val="20"/>
                <w:szCs w:val="20"/>
                <w:color w:val="auto"/>
              </w:rPr>
            </w:pPr>
            <w:r>
              <w:rPr>
                <w:rFonts w:ascii="Arial" w:cs="Arial" w:eastAsia="Arial" w:hAnsi="Arial"/>
                <w:sz w:val="9"/>
                <w:szCs w:val="9"/>
                <w:color w:val="auto"/>
              </w:rPr>
              <w:t>1.67%</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1.69%</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1.64%</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1.63%</w:t>
            </w:r>
          </w:p>
        </w:tc>
        <w:tc>
          <w:tcPr>
            <w:tcW w:w="8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74"/>
              <w:spacing w:after="0" w:line="98" w:lineRule="exact"/>
              <w:rPr>
                <w:sz w:val="20"/>
                <w:szCs w:val="20"/>
                <w:color w:val="auto"/>
              </w:rPr>
            </w:pPr>
            <w:r>
              <w:rPr>
                <w:rFonts w:ascii="Arial" w:cs="Arial" w:eastAsia="Arial" w:hAnsi="Arial"/>
                <w:sz w:val="9"/>
                <w:szCs w:val="9"/>
                <w:color w:val="auto"/>
              </w:rPr>
              <w:t>1.54%</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1.62%</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1.61%</w:t>
            </w: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Average tangible common stockholders’ equity</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28.71%</w:t>
            </w:r>
          </w:p>
        </w:tc>
        <w:tc>
          <w:tcPr>
            <w:tcW w:w="80" w:type="dxa"/>
            <w:vAlign w:val="bottom"/>
          </w:tcPr>
          <w:p>
            <w:pPr>
              <w:spacing w:after="0"/>
              <w:rPr>
                <w:sz w:val="8"/>
                <w:szCs w:val="8"/>
                <w:color w:val="auto"/>
              </w:rPr>
            </w:pPr>
          </w:p>
        </w:tc>
        <w:tc>
          <w:tcPr>
            <w:tcW w:w="520" w:type="dxa"/>
            <w:vAlign w:val="bottom"/>
            <w:gridSpan w:val="3"/>
          </w:tcPr>
          <w:p>
            <w:pPr>
              <w:jc w:val="right"/>
              <w:ind w:right="74"/>
              <w:spacing w:after="0" w:line="98" w:lineRule="exact"/>
              <w:rPr>
                <w:sz w:val="20"/>
                <w:szCs w:val="20"/>
                <w:color w:val="auto"/>
              </w:rPr>
            </w:pPr>
            <w:r>
              <w:rPr>
                <w:rFonts w:ascii="Arial" w:cs="Arial" w:eastAsia="Arial" w:hAnsi="Arial"/>
                <w:sz w:val="9"/>
                <w:szCs w:val="9"/>
                <w:color w:val="auto"/>
              </w:rPr>
              <w:t>30.22%</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30.02%</w:t>
            </w:r>
          </w:p>
        </w:tc>
        <w:tc>
          <w:tcPr>
            <w:tcW w:w="80" w:type="dxa"/>
            <w:vAlign w:val="bottom"/>
          </w:tcPr>
          <w:p>
            <w:pPr>
              <w:spacing w:after="0"/>
              <w:rPr>
                <w:sz w:val="8"/>
                <w:szCs w:val="8"/>
                <w:color w:val="auto"/>
              </w:rPr>
            </w:pPr>
          </w:p>
        </w:tc>
        <w:tc>
          <w:tcPr>
            <w:tcW w:w="52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29.31%</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29.12%</w:t>
            </w:r>
          </w:p>
        </w:tc>
        <w:tc>
          <w:tcPr>
            <w:tcW w:w="80" w:type="dxa"/>
            <w:vAlign w:val="bottom"/>
          </w:tcPr>
          <w:p>
            <w:pPr>
              <w:spacing w:after="0"/>
              <w:rPr>
                <w:sz w:val="8"/>
                <w:szCs w:val="8"/>
                <w:color w:val="auto"/>
              </w:rPr>
            </w:pPr>
          </w:p>
        </w:tc>
        <w:tc>
          <w:tcPr>
            <w:tcW w:w="520" w:type="dxa"/>
            <w:vAlign w:val="bottom"/>
            <w:gridSpan w:val="3"/>
          </w:tcPr>
          <w:p>
            <w:pPr>
              <w:jc w:val="right"/>
              <w:ind w:right="74"/>
              <w:spacing w:after="0" w:line="98" w:lineRule="exact"/>
              <w:rPr>
                <w:sz w:val="20"/>
                <w:szCs w:val="20"/>
                <w:color w:val="auto"/>
              </w:rPr>
            </w:pPr>
            <w:r>
              <w:rPr>
                <w:rFonts w:ascii="Arial" w:cs="Arial" w:eastAsia="Arial" w:hAnsi="Arial"/>
                <w:sz w:val="9"/>
                <w:szCs w:val="9"/>
                <w:color w:val="auto"/>
              </w:rPr>
              <w:t>27.67%</w:t>
            </w:r>
          </w:p>
        </w:tc>
        <w:tc>
          <w:tcPr>
            <w:tcW w:w="60" w:type="dxa"/>
            <w:vAlign w:val="bottom"/>
          </w:tcPr>
          <w:p>
            <w:pPr>
              <w:spacing w:after="0"/>
              <w:rPr>
                <w:sz w:val="8"/>
                <w:szCs w:val="8"/>
                <w:color w:val="auto"/>
              </w:rPr>
            </w:pPr>
          </w:p>
        </w:tc>
        <w:tc>
          <w:tcPr>
            <w:tcW w:w="540" w:type="dxa"/>
            <w:vAlign w:val="bottom"/>
            <w:gridSpan w:val="2"/>
          </w:tcPr>
          <w:p>
            <w:pPr>
              <w:jc w:val="right"/>
              <w:ind w:right="120"/>
              <w:spacing w:after="0" w:line="98" w:lineRule="exact"/>
              <w:rPr>
                <w:sz w:val="20"/>
                <w:szCs w:val="20"/>
                <w:color w:val="auto"/>
              </w:rPr>
            </w:pPr>
            <w:r>
              <w:rPr>
                <w:rFonts w:ascii="Arial" w:cs="Arial" w:eastAsia="Arial" w:hAnsi="Arial"/>
                <w:sz w:val="9"/>
                <w:szCs w:val="9"/>
                <w:color w:val="auto"/>
              </w:rPr>
              <w:t>29.88%</w:t>
            </w:r>
          </w:p>
        </w:tc>
        <w:tc>
          <w:tcPr>
            <w:tcW w:w="80" w:type="dxa"/>
            <w:vAlign w:val="bottom"/>
          </w:tcPr>
          <w:p>
            <w:pPr>
              <w:spacing w:after="0"/>
              <w:rPr>
                <w:sz w:val="8"/>
                <w:szCs w:val="8"/>
                <w:color w:val="auto"/>
              </w:rPr>
            </w:pPr>
          </w:p>
        </w:tc>
        <w:tc>
          <w:tcPr>
            <w:tcW w:w="4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29.67%</w:t>
            </w: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Efficiency ratio(a)</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50.22%</w:t>
            </w:r>
          </w:p>
        </w:tc>
        <w:tc>
          <w:tcPr>
            <w:tcW w:w="8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74"/>
              <w:spacing w:after="0" w:line="98" w:lineRule="exact"/>
              <w:rPr>
                <w:sz w:val="20"/>
                <w:szCs w:val="20"/>
                <w:color w:val="auto"/>
              </w:rPr>
            </w:pPr>
            <w:r>
              <w:rPr>
                <w:rFonts w:ascii="Arial" w:cs="Arial" w:eastAsia="Arial" w:hAnsi="Arial"/>
                <w:sz w:val="9"/>
                <w:szCs w:val="9"/>
                <w:color w:val="auto"/>
              </w:rPr>
              <w:t>52.76%</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50.70%</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52.36%</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50.69%</w:t>
            </w:r>
          </w:p>
        </w:tc>
        <w:tc>
          <w:tcPr>
            <w:tcW w:w="80" w:type="dxa"/>
            <w:vAlign w:val="bottom"/>
            <w:shd w:val="clear" w:color="auto" w:fill="CCEEFF"/>
          </w:tcPr>
          <w:p>
            <w:pPr>
              <w:spacing w:after="0"/>
              <w:rPr>
                <w:sz w:val="8"/>
                <w:szCs w:val="8"/>
                <w:color w:val="auto"/>
              </w:rPr>
            </w:pPr>
          </w:p>
        </w:tc>
        <w:tc>
          <w:tcPr>
            <w:tcW w:w="520" w:type="dxa"/>
            <w:vAlign w:val="bottom"/>
            <w:gridSpan w:val="3"/>
            <w:shd w:val="clear" w:color="auto" w:fill="CCEEFF"/>
          </w:tcPr>
          <w:p>
            <w:pPr>
              <w:jc w:val="right"/>
              <w:ind w:right="74"/>
              <w:spacing w:after="0" w:line="98" w:lineRule="exact"/>
              <w:rPr>
                <w:sz w:val="20"/>
                <w:szCs w:val="20"/>
                <w:color w:val="auto"/>
              </w:rPr>
            </w:pPr>
            <w:r>
              <w:rPr>
                <w:rFonts w:ascii="Arial" w:cs="Arial" w:eastAsia="Arial" w:hAnsi="Arial"/>
                <w:sz w:val="9"/>
                <w:szCs w:val="9"/>
                <w:color w:val="auto"/>
              </w:rPr>
              <w:t>49.97%</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52.56%</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51.63%</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b w:val="1"/>
                <w:bCs w:val="1"/>
                <w:color w:val="auto"/>
              </w:rPr>
              <w:t>Balance sheet data</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i w:val="1"/>
                <w:iCs w:val="1"/>
                <w:color w:val="auto"/>
              </w:rPr>
              <w:t>In millions, except per share</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color w:val="auto"/>
              </w:rPr>
              <w:t>Average balances</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Total assets(c)</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56,575</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56,158</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55,498</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55,106</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54,835</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54,444</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53,935</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53,306</w:t>
            </w: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Total tangible assets(c)</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53,437</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53,004</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52,522</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52,130</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51,860</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51,461</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50,944</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50,305</w:t>
            </w: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Earning assets</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50,235</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49,849</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49,443</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49,066</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48,833</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48,447</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47,931</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47,240</w:t>
            </w: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Investment securities</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7,556</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7,898</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8,314</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8,383</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8,302</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8,439</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8,593</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8,573</w:t>
            </w: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Loans and leases, net of unearned discount</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42,474</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41,710</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40,980</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40,544</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40,403</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39,879</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39,229</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38,580</w:t>
            </w: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Deposits</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38,504</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39,158</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38,435</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37,569</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37,006</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36,708</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36,245</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35,282</w:t>
            </w: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Stockholders’ equity(c)</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6,244</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6,085</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5,940</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5,893</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5,873</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5,845</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5,749</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5,723</w:t>
            </w: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Tangible stockholders’ equity(c)</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3,106</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2,931</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2,964</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2,917</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2,898</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2,862</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2,758</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2,722</w:t>
            </w:r>
          </w:p>
        </w:tc>
      </w:tr>
      <w:tr>
        <w:trPr>
          <w:trHeight w:val="98"/>
        </w:trPr>
        <w:tc>
          <w:tcPr>
            <w:tcW w:w="52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At end of quarter</w:t>
            </w: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Total assets(c)</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57,065</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56,373</w:t>
            </w:r>
          </w:p>
        </w:tc>
        <w:tc>
          <w:tcPr>
            <w:tcW w:w="180" w:type="dxa"/>
            <w:vAlign w:val="bottom"/>
          </w:tcPr>
          <w:p>
            <w:pPr>
              <w:spacing w:after="0"/>
              <w:rPr>
                <w:sz w:val="8"/>
                <w:szCs w:val="8"/>
                <w:color w:val="auto"/>
              </w:rPr>
            </w:pP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56,507</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55,420</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55,146</w:t>
            </w:r>
          </w:p>
        </w:tc>
        <w:tc>
          <w:tcPr>
            <w:tcW w:w="8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54,841</w:t>
            </w:r>
          </w:p>
        </w:tc>
        <w:tc>
          <w:tcPr>
            <w:tcW w:w="18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54,482</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53,887</w:t>
            </w: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Total tangible assets(c)</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53,936</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53,227</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53,345</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52,443</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52,176</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51,863</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51,495</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50,891</w:t>
            </w: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Earning assets</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50,379</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49,950</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49,628</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49,281</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48,852</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48,691</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48,341</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47,853</w:t>
            </w: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Investment securities</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7,252</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7,626</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7,903</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8,294</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8,400</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8,230</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8,320</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8,679</w:t>
            </w: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Loans and leases, net of unearned discount</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42,947</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42,098</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41,599</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40,859</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40,331</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40,335</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39,911</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39,073</w:t>
            </w: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Deposits</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39,911</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39,079</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38,514</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38,171</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37,100</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37,199</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37,306</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36,293</w:t>
            </w: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Stockholders’ equity(c)</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6,281</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6,151</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6,000</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5,919</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5,876</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5,847</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5,838</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5,674</w:t>
            </w: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Tangible stockholders’ equity(c)</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3,152</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3,005</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2,838</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2,942</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2,906</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2,869</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2,851</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2,678</w:t>
            </w: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Equity per common share</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56.94</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55.58</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54.01</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53.11</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52.39</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51.81</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51.20</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49.78</w:t>
            </w: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Tangible equity per common share</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28.57</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27.15</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25.55</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26.41</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25.91</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25.42</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25.00</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23.49</w:t>
            </w:r>
          </w:p>
        </w:tc>
      </w:tr>
      <w:tr>
        <w:trPr>
          <w:trHeight w:val="98"/>
        </w:trPr>
        <w:tc>
          <w:tcPr>
            <w:tcW w:w="5280" w:type="dxa"/>
            <w:vAlign w:val="bottom"/>
          </w:tcPr>
          <w:p>
            <w:pPr>
              <w:spacing w:after="0" w:line="98" w:lineRule="exact"/>
              <w:rPr>
                <w:sz w:val="20"/>
                <w:szCs w:val="20"/>
                <w:color w:val="auto"/>
              </w:rPr>
            </w:pPr>
            <w:r>
              <w:rPr>
                <w:rFonts w:ascii="Arial" w:cs="Arial" w:eastAsia="Arial" w:hAnsi="Arial"/>
                <w:sz w:val="9"/>
                <w:szCs w:val="9"/>
                <w:b w:val="1"/>
                <w:bCs w:val="1"/>
                <w:color w:val="auto"/>
              </w:rPr>
              <w:t>Market price per common share</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High</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124.98</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124.94</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119.93</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117.39</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111.86</w:t>
            </w:r>
          </w:p>
        </w:tc>
        <w:tc>
          <w:tcPr>
            <w:tcW w:w="8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112.50</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107.28</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108.04</w:t>
            </w:r>
          </w:p>
        </w:tc>
      </w:tr>
      <w:tr>
        <w:trPr>
          <w:trHeight w:val="98"/>
        </w:trPr>
        <w:tc>
          <w:tcPr>
            <w:tcW w:w="5280" w:type="dxa"/>
            <w:vAlign w:val="bottom"/>
          </w:tcPr>
          <w:p>
            <w:pPr>
              <w:ind w:left="100"/>
              <w:spacing w:after="0" w:line="98" w:lineRule="exact"/>
              <w:rPr>
                <w:sz w:val="20"/>
                <w:szCs w:val="20"/>
                <w:color w:val="auto"/>
              </w:rPr>
            </w:pPr>
            <w:r>
              <w:rPr>
                <w:rFonts w:ascii="Arial" w:cs="Arial" w:eastAsia="Arial" w:hAnsi="Arial"/>
                <w:sz w:val="9"/>
                <w:szCs w:val="9"/>
                <w:color w:val="auto"/>
              </w:rPr>
              <w:t>Low</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117.31</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116.00</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112.90</w:t>
            </w:r>
          </w:p>
        </w:tc>
        <w:tc>
          <w:tcPr>
            <w:tcW w:w="80" w:type="dxa"/>
            <w:vAlign w:val="bottom"/>
          </w:tcPr>
          <w:p>
            <w:pPr>
              <w:spacing w:after="0"/>
              <w:rPr>
                <w:sz w:val="8"/>
                <w:szCs w:val="8"/>
                <w:color w:val="auto"/>
              </w:rPr>
            </w:pPr>
          </w:p>
        </w:tc>
        <w:tc>
          <w:tcPr>
            <w:tcW w:w="52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105.72</w:t>
            </w: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101.31</w:t>
            </w:r>
          </w:p>
        </w:tc>
        <w:tc>
          <w:tcPr>
            <w:tcW w:w="80" w:type="dxa"/>
            <w:vAlign w:val="bottom"/>
          </w:tcPr>
          <w:p>
            <w:pPr>
              <w:spacing w:after="0"/>
              <w:rPr>
                <w:sz w:val="8"/>
                <w:szCs w:val="8"/>
                <w:color w:val="auto"/>
              </w:rPr>
            </w:pPr>
          </w:p>
        </w:tc>
        <w:tc>
          <w:tcPr>
            <w:tcW w:w="34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103.50</w:t>
            </w: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tcPr>
          <w:p>
            <w:pPr>
              <w:jc w:val="right"/>
              <w:ind w:right="200"/>
              <w:spacing w:after="0" w:line="98" w:lineRule="exact"/>
              <w:rPr>
                <w:sz w:val="20"/>
                <w:szCs w:val="20"/>
                <w:color w:val="auto"/>
              </w:rPr>
            </w:pPr>
            <w:r>
              <w:rPr>
                <w:rFonts w:ascii="Arial" w:cs="Arial" w:eastAsia="Arial" w:hAnsi="Arial"/>
                <w:sz w:val="9"/>
                <w:szCs w:val="9"/>
                <w:color w:val="auto"/>
              </w:rPr>
              <w:t>98.75</w:t>
            </w:r>
          </w:p>
        </w:tc>
        <w:tc>
          <w:tcPr>
            <w:tcW w:w="80" w:type="dxa"/>
            <w:vAlign w:val="bottom"/>
          </w:tcPr>
          <w:p>
            <w:pPr>
              <w:spacing w:after="0"/>
              <w:rPr>
                <w:sz w:val="8"/>
                <w:szCs w:val="8"/>
                <w:color w:val="auto"/>
              </w:rPr>
            </w:pPr>
          </w:p>
        </w:tc>
        <w:tc>
          <w:tcPr>
            <w:tcW w:w="42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96.71</w:t>
            </w:r>
          </w:p>
        </w:tc>
      </w:tr>
      <w:tr>
        <w:trPr>
          <w:trHeight w:val="98"/>
        </w:trPr>
        <w:tc>
          <w:tcPr>
            <w:tcW w:w="52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Closing</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122.16</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119.96</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117.92</w:t>
            </w:r>
          </w:p>
        </w:tc>
        <w:tc>
          <w:tcPr>
            <w:tcW w:w="80" w:type="dxa"/>
            <w:vAlign w:val="bottom"/>
            <w:shd w:val="clear" w:color="auto" w:fill="CCEEFF"/>
          </w:tcPr>
          <w:p>
            <w:pPr>
              <w:spacing w:after="0"/>
              <w:rPr>
                <w:sz w:val="8"/>
                <w:szCs w:val="8"/>
                <w:color w:val="auto"/>
              </w:rPr>
            </w:pPr>
          </w:p>
        </w:tc>
        <w:tc>
          <w:tcPr>
            <w:tcW w:w="52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114.14</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109.05</w:t>
            </w:r>
          </w:p>
        </w:tc>
        <w:tc>
          <w:tcPr>
            <w:tcW w:w="80" w:type="dxa"/>
            <w:vAlign w:val="bottom"/>
            <w:shd w:val="clear" w:color="auto" w:fill="CCEEFF"/>
          </w:tcPr>
          <w:p>
            <w:pPr>
              <w:spacing w:after="0"/>
              <w:rPr>
                <w:sz w:val="8"/>
                <w:szCs w:val="8"/>
                <w:color w:val="auto"/>
              </w:rPr>
            </w:pPr>
          </w:p>
        </w:tc>
        <w:tc>
          <w:tcPr>
            <w:tcW w:w="34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105.71</w:t>
            </w:r>
          </w:p>
        </w:tc>
        <w:tc>
          <w:tcPr>
            <w:tcW w:w="1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105.16</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102.06</w:t>
            </w:r>
          </w:p>
        </w:tc>
      </w:tr>
    </w:tbl>
    <w:p>
      <w:pPr>
        <w:spacing w:after="0" w:line="97" w:lineRule="exact"/>
        <w:rPr>
          <w:sz w:val="20"/>
          <w:szCs w:val="20"/>
          <w:color w:val="auto"/>
        </w:rPr>
      </w:pPr>
    </w:p>
    <w:p>
      <w:pPr>
        <w:ind w:left="1000" w:hanging="313"/>
        <w:spacing w:after="0"/>
        <w:tabs>
          <w:tab w:leader="none" w:pos="1000" w:val="left"/>
        </w:tabs>
        <w:numPr>
          <w:ilvl w:val="0"/>
          <w:numId w:val="22"/>
        </w:numPr>
        <w:rPr>
          <w:rFonts w:ascii="Arial" w:cs="Arial" w:eastAsia="Arial" w:hAnsi="Arial"/>
          <w:sz w:val="9"/>
          <w:szCs w:val="9"/>
          <w:i w:val="1"/>
          <w:iCs w:val="1"/>
          <w:color w:val="auto"/>
        </w:rPr>
      </w:pPr>
      <w:r>
        <w:rPr>
          <w:rFonts w:ascii="Arial" w:cs="Arial" w:eastAsia="Arial" w:hAnsi="Arial"/>
          <w:sz w:val="9"/>
          <w:szCs w:val="9"/>
          <w:i w:val="1"/>
          <w:iCs w:val="1"/>
          <w:color w:val="auto"/>
        </w:rPr>
        <w:t>Excludes impact of merger-related expenses and net securities transactions.</w:t>
      </w:r>
    </w:p>
    <w:p>
      <w:pPr>
        <w:spacing w:after="0" w:line="2" w:lineRule="exact"/>
        <w:rPr>
          <w:rFonts w:ascii="Arial" w:cs="Arial" w:eastAsia="Arial" w:hAnsi="Arial"/>
          <w:sz w:val="9"/>
          <w:szCs w:val="9"/>
          <w:i w:val="1"/>
          <w:iCs w:val="1"/>
          <w:color w:val="auto"/>
        </w:rPr>
      </w:pPr>
    </w:p>
    <w:p>
      <w:pPr>
        <w:ind w:left="1000" w:right="100" w:hanging="313"/>
        <w:spacing w:after="0" w:line="227" w:lineRule="auto"/>
        <w:tabs>
          <w:tab w:leader="none" w:pos="1000" w:val="left"/>
        </w:tabs>
        <w:numPr>
          <w:ilvl w:val="0"/>
          <w:numId w:val="22"/>
        </w:numPr>
        <w:rPr>
          <w:rFonts w:ascii="Arial" w:cs="Arial" w:eastAsia="Arial" w:hAnsi="Arial"/>
          <w:sz w:val="9"/>
          <w:szCs w:val="9"/>
          <w:i w:val="1"/>
          <w:iCs w:val="1"/>
          <w:color w:val="auto"/>
        </w:rPr>
      </w:pPr>
      <w:r>
        <w:rPr>
          <w:rFonts w:ascii="Arial" w:cs="Arial" w:eastAsia="Arial" w:hAnsi="Arial"/>
          <w:sz w:val="9"/>
          <w:szCs w:val="9"/>
          <w:i w:val="1"/>
          <w:iCs w:val="1"/>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21.</w:t>
      </w:r>
    </w:p>
    <w:p>
      <w:pPr>
        <w:ind w:left="1000" w:right="260" w:hanging="313"/>
        <w:spacing w:after="0" w:line="238" w:lineRule="auto"/>
        <w:tabs>
          <w:tab w:leader="none" w:pos="1000" w:val="left"/>
        </w:tabs>
        <w:numPr>
          <w:ilvl w:val="0"/>
          <w:numId w:val="22"/>
        </w:numPr>
        <w:rPr>
          <w:rFonts w:ascii="Arial" w:cs="Arial" w:eastAsia="Arial" w:hAnsi="Arial"/>
          <w:sz w:val="9"/>
          <w:szCs w:val="9"/>
          <w:i w:val="1"/>
          <w:iCs w:val="1"/>
          <w:color w:val="auto"/>
        </w:rPr>
      </w:pPr>
      <w:r>
        <w:rPr>
          <w:rFonts w:ascii="Arial" w:cs="Arial" w:eastAsia="Arial" w:hAnsi="Arial"/>
          <w:sz w:val="9"/>
          <w:szCs w:val="9"/>
          <w:i w:val="1"/>
          <w:iCs w:val="1"/>
          <w:color w:val="auto"/>
        </w:rPr>
        <w:t>The difference between total assets and total tangible assets, and stockholders’ equity and tangible stockholders’ equity, represents goodwill, core deposit and other intangible assets, net of applicable deferred tax balances. A reconciliation of such balances appears in Table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-321310</wp:posOffset>
            </wp:positionV>
            <wp:extent cx="823595"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7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Table 21</w:t>
      </w:r>
    </w:p>
    <w:p>
      <w:pPr>
        <w:spacing w:after="0" w:line="95" w:lineRule="exact"/>
        <w:rPr>
          <w:sz w:val="20"/>
          <w:szCs w:val="20"/>
          <w:color w:val="auto"/>
        </w:rPr>
      </w:pPr>
    </w:p>
    <w:p>
      <w:pPr>
        <w:ind w:left="3280"/>
        <w:spacing w:after="0"/>
        <w:rPr>
          <w:sz w:val="20"/>
          <w:szCs w:val="20"/>
          <w:color w:val="auto"/>
        </w:rPr>
      </w:pPr>
      <w:r>
        <w:rPr>
          <w:rFonts w:ascii="Arial" w:cs="Arial" w:eastAsia="Arial" w:hAnsi="Arial"/>
          <w:sz w:val="14"/>
          <w:szCs w:val="14"/>
          <w:b w:val="1"/>
          <w:bCs w:val="1"/>
          <w:color w:val="auto"/>
        </w:rPr>
        <w:t>RECONCILIATION OF QUARTERLY GAAP TO NON-GAAP MEASURES</w:t>
      </w:r>
    </w:p>
    <w:p>
      <w:pPr>
        <w:spacing w:after="0" w:line="108"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4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9"/>
                <w:szCs w:val="9"/>
                <w:b w:val="1"/>
                <w:bCs w:val="1"/>
                <w:color w:val="auto"/>
              </w:rPr>
              <w:t>2006 Quarters</w:t>
            </w: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9"/>
                <w:szCs w:val="9"/>
                <w:b w:val="1"/>
                <w:bCs w:val="1"/>
                <w:color w:val="auto"/>
              </w:rPr>
              <w:t>2005 Quarters</w:t>
            </w: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88"/>
        </w:trPr>
        <w:tc>
          <w:tcPr>
            <w:tcW w:w="4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3"/>
          </w:tcPr>
          <w:p>
            <w:pPr>
              <w:jc w:val="right"/>
              <w:ind w:right="340"/>
              <w:spacing w:after="0" w:line="88" w:lineRule="exact"/>
              <w:rPr>
                <w:sz w:val="20"/>
                <w:szCs w:val="20"/>
                <w:color w:val="auto"/>
              </w:rPr>
            </w:pPr>
            <w:r>
              <w:rPr>
                <w:rFonts w:ascii="Arial" w:cs="Arial" w:eastAsia="Arial" w:hAnsi="Arial"/>
                <w:sz w:val="9"/>
                <w:szCs w:val="9"/>
                <w:b w:val="1"/>
                <w:bCs w:val="1"/>
                <w:color w:val="auto"/>
                <w:w w:val="98"/>
              </w:rPr>
              <w:t>Fourth</w:t>
            </w:r>
          </w:p>
        </w:tc>
        <w:tc>
          <w:tcPr>
            <w:tcW w:w="100" w:type="dxa"/>
            <w:vAlign w:val="bottom"/>
          </w:tcPr>
          <w:p>
            <w:pPr>
              <w:spacing w:after="0"/>
              <w:rPr>
                <w:sz w:val="7"/>
                <w:szCs w:val="7"/>
                <w:color w:val="auto"/>
              </w:rPr>
            </w:pPr>
          </w:p>
        </w:tc>
        <w:tc>
          <w:tcPr>
            <w:tcW w:w="620" w:type="dxa"/>
            <w:vAlign w:val="bottom"/>
            <w:gridSpan w:val="2"/>
          </w:tcPr>
          <w:p>
            <w:pPr>
              <w:jc w:val="right"/>
              <w:ind w:right="360"/>
              <w:spacing w:after="0" w:line="88" w:lineRule="exact"/>
              <w:rPr>
                <w:sz w:val="20"/>
                <w:szCs w:val="20"/>
                <w:color w:val="auto"/>
              </w:rPr>
            </w:pPr>
            <w:r>
              <w:rPr>
                <w:rFonts w:ascii="Arial" w:cs="Arial" w:eastAsia="Arial" w:hAnsi="Arial"/>
                <w:sz w:val="9"/>
                <w:szCs w:val="9"/>
                <w:b w:val="1"/>
                <w:bCs w:val="1"/>
                <w:color w:val="auto"/>
              </w:rPr>
              <w:t>Third</w:t>
            </w:r>
          </w:p>
        </w:tc>
        <w:tc>
          <w:tcPr>
            <w:tcW w:w="80" w:type="dxa"/>
            <w:vAlign w:val="bottom"/>
          </w:tcPr>
          <w:p>
            <w:pPr>
              <w:spacing w:after="0"/>
              <w:rPr>
                <w:sz w:val="7"/>
                <w:szCs w:val="7"/>
                <w:color w:val="auto"/>
              </w:rPr>
            </w:pPr>
          </w:p>
        </w:tc>
        <w:tc>
          <w:tcPr>
            <w:tcW w:w="600" w:type="dxa"/>
            <w:vAlign w:val="bottom"/>
            <w:gridSpan w:val="2"/>
          </w:tcPr>
          <w:p>
            <w:pPr>
              <w:jc w:val="right"/>
              <w:ind w:right="300"/>
              <w:spacing w:after="0" w:line="88" w:lineRule="exact"/>
              <w:rPr>
                <w:sz w:val="20"/>
                <w:szCs w:val="20"/>
                <w:color w:val="auto"/>
              </w:rPr>
            </w:pPr>
            <w:r>
              <w:rPr>
                <w:rFonts w:ascii="Arial" w:cs="Arial" w:eastAsia="Arial" w:hAnsi="Arial"/>
                <w:sz w:val="9"/>
                <w:szCs w:val="9"/>
                <w:b w:val="1"/>
                <w:bCs w:val="1"/>
                <w:color w:val="auto"/>
                <w:w w:val="85"/>
              </w:rPr>
              <w:t>Second</w:t>
            </w:r>
          </w:p>
        </w:tc>
        <w:tc>
          <w:tcPr>
            <w:tcW w:w="100" w:type="dxa"/>
            <w:vAlign w:val="bottom"/>
          </w:tcPr>
          <w:p>
            <w:pPr>
              <w:spacing w:after="0"/>
              <w:rPr>
                <w:sz w:val="7"/>
                <w:szCs w:val="7"/>
                <w:color w:val="auto"/>
              </w:rPr>
            </w:pPr>
          </w:p>
        </w:tc>
        <w:tc>
          <w:tcPr>
            <w:tcW w:w="400" w:type="dxa"/>
            <w:vAlign w:val="bottom"/>
          </w:tcPr>
          <w:p>
            <w:pPr>
              <w:jc w:val="right"/>
              <w:ind w:right="108"/>
              <w:spacing w:after="0" w:line="88" w:lineRule="exact"/>
              <w:rPr>
                <w:sz w:val="20"/>
                <w:szCs w:val="20"/>
                <w:color w:val="auto"/>
              </w:rPr>
            </w:pPr>
            <w:r>
              <w:rPr>
                <w:rFonts w:ascii="Arial" w:cs="Arial" w:eastAsia="Arial" w:hAnsi="Arial"/>
                <w:sz w:val="9"/>
                <w:szCs w:val="9"/>
                <w:b w:val="1"/>
                <w:bCs w:val="1"/>
                <w:color w:val="auto"/>
              </w:rPr>
              <w:t>First</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gridSpan w:val="2"/>
          </w:tcPr>
          <w:p>
            <w:pPr>
              <w:jc w:val="right"/>
              <w:ind w:right="300"/>
              <w:spacing w:after="0" w:line="88" w:lineRule="exact"/>
              <w:rPr>
                <w:sz w:val="20"/>
                <w:szCs w:val="20"/>
                <w:color w:val="auto"/>
              </w:rPr>
            </w:pPr>
            <w:r>
              <w:rPr>
                <w:rFonts w:ascii="Arial" w:cs="Arial" w:eastAsia="Arial" w:hAnsi="Arial"/>
                <w:sz w:val="9"/>
                <w:szCs w:val="9"/>
                <w:b w:val="1"/>
                <w:bCs w:val="1"/>
                <w:color w:val="auto"/>
                <w:w w:val="98"/>
              </w:rPr>
              <w:t>Fourth</w:t>
            </w:r>
          </w:p>
        </w:tc>
        <w:tc>
          <w:tcPr>
            <w:tcW w:w="100" w:type="dxa"/>
            <w:vAlign w:val="bottom"/>
          </w:tcPr>
          <w:p>
            <w:pPr>
              <w:spacing w:after="0"/>
              <w:rPr>
                <w:sz w:val="7"/>
                <w:szCs w:val="7"/>
                <w:color w:val="auto"/>
              </w:rPr>
            </w:pPr>
          </w:p>
        </w:tc>
        <w:tc>
          <w:tcPr>
            <w:tcW w:w="580" w:type="dxa"/>
            <w:vAlign w:val="bottom"/>
            <w:gridSpan w:val="2"/>
          </w:tcPr>
          <w:p>
            <w:pPr>
              <w:jc w:val="right"/>
              <w:ind w:right="320"/>
              <w:spacing w:after="0" w:line="88" w:lineRule="exact"/>
              <w:rPr>
                <w:sz w:val="20"/>
                <w:szCs w:val="20"/>
                <w:color w:val="auto"/>
              </w:rPr>
            </w:pPr>
            <w:r>
              <w:rPr>
                <w:rFonts w:ascii="Arial" w:cs="Arial" w:eastAsia="Arial" w:hAnsi="Arial"/>
                <w:sz w:val="9"/>
                <w:szCs w:val="9"/>
                <w:b w:val="1"/>
                <w:bCs w:val="1"/>
                <w:color w:val="auto"/>
              </w:rPr>
              <w:t>Third</w:t>
            </w:r>
          </w:p>
        </w:tc>
        <w:tc>
          <w:tcPr>
            <w:tcW w:w="80" w:type="dxa"/>
            <w:vAlign w:val="bottom"/>
          </w:tcPr>
          <w:p>
            <w:pPr>
              <w:spacing w:after="0"/>
              <w:rPr>
                <w:sz w:val="7"/>
                <w:szCs w:val="7"/>
                <w:color w:val="auto"/>
              </w:rPr>
            </w:pPr>
          </w:p>
        </w:tc>
        <w:tc>
          <w:tcPr>
            <w:tcW w:w="620" w:type="dxa"/>
            <w:vAlign w:val="bottom"/>
            <w:gridSpan w:val="2"/>
          </w:tcPr>
          <w:p>
            <w:pPr>
              <w:jc w:val="right"/>
              <w:ind w:right="300"/>
              <w:spacing w:after="0" w:line="88" w:lineRule="exact"/>
              <w:rPr>
                <w:sz w:val="20"/>
                <w:szCs w:val="20"/>
                <w:color w:val="auto"/>
              </w:rPr>
            </w:pPr>
            <w:r>
              <w:rPr>
                <w:rFonts w:ascii="Arial" w:cs="Arial" w:eastAsia="Arial" w:hAnsi="Arial"/>
                <w:sz w:val="9"/>
                <w:szCs w:val="9"/>
                <w:b w:val="1"/>
                <w:bCs w:val="1"/>
                <w:color w:val="auto"/>
                <w:w w:val="92"/>
              </w:rPr>
              <w:t>Second</w:t>
            </w:r>
          </w:p>
        </w:tc>
        <w:tc>
          <w:tcPr>
            <w:tcW w:w="100" w:type="dxa"/>
            <w:vAlign w:val="bottom"/>
          </w:tcPr>
          <w:p>
            <w:pPr>
              <w:spacing w:after="0"/>
              <w:rPr>
                <w:sz w:val="7"/>
                <w:szCs w:val="7"/>
                <w:color w:val="auto"/>
              </w:rPr>
            </w:pPr>
          </w:p>
        </w:tc>
        <w:tc>
          <w:tcPr>
            <w:tcW w:w="380" w:type="dxa"/>
            <w:vAlign w:val="bottom"/>
          </w:tcPr>
          <w:p>
            <w:pPr>
              <w:jc w:val="right"/>
              <w:ind w:right="88"/>
              <w:spacing w:after="0" w:line="88" w:lineRule="exact"/>
              <w:rPr>
                <w:sz w:val="20"/>
                <w:szCs w:val="20"/>
                <w:color w:val="auto"/>
              </w:rPr>
            </w:pPr>
            <w:r>
              <w:rPr>
                <w:rFonts w:ascii="Arial" w:cs="Arial" w:eastAsia="Arial" w:hAnsi="Arial"/>
                <w:sz w:val="9"/>
                <w:szCs w:val="9"/>
                <w:b w:val="1"/>
                <w:bCs w:val="1"/>
                <w:color w:val="auto"/>
              </w:rPr>
              <w:t>First</w:t>
            </w:r>
          </w:p>
        </w:tc>
        <w:tc>
          <w:tcPr>
            <w:tcW w:w="100" w:type="dxa"/>
            <w:vAlign w:val="bottom"/>
          </w:tcPr>
          <w:p>
            <w:pPr>
              <w:spacing w:after="0"/>
              <w:rPr>
                <w:sz w:val="7"/>
                <w:szCs w:val="7"/>
                <w:color w:val="auto"/>
              </w:rPr>
            </w:pPr>
          </w:p>
        </w:tc>
      </w:tr>
      <w:tr>
        <w:trPr>
          <w:trHeight w:val="29"/>
        </w:trPr>
        <w:tc>
          <w:tcPr>
            <w:tcW w:w="45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08"/>
        </w:trPr>
        <w:tc>
          <w:tcPr>
            <w:tcW w:w="450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Income statement data</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4500" w:type="dxa"/>
            <w:vAlign w:val="bottom"/>
          </w:tcPr>
          <w:p>
            <w:pPr>
              <w:spacing w:after="0" w:line="108" w:lineRule="exact"/>
              <w:rPr>
                <w:sz w:val="20"/>
                <w:szCs w:val="20"/>
                <w:color w:val="auto"/>
              </w:rPr>
            </w:pPr>
            <w:r>
              <w:rPr>
                <w:rFonts w:ascii="Arial" w:cs="Arial" w:eastAsia="Arial" w:hAnsi="Arial"/>
                <w:sz w:val="10"/>
                <w:szCs w:val="10"/>
                <w:i w:val="1"/>
                <w:iCs w:val="1"/>
                <w:color w:val="auto"/>
              </w:rPr>
              <w:t>In thousands, except per share</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450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Net income</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4500" w:type="dxa"/>
            <w:vAlign w:val="bottom"/>
          </w:tcPr>
          <w:p>
            <w:pPr>
              <w:spacing w:after="0" w:line="108" w:lineRule="exact"/>
              <w:rPr>
                <w:sz w:val="20"/>
                <w:szCs w:val="20"/>
                <w:color w:val="auto"/>
              </w:rPr>
            </w:pPr>
            <w:r>
              <w:rPr>
                <w:rFonts w:ascii="Arial" w:cs="Arial" w:eastAsia="Arial" w:hAnsi="Arial"/>
                <w:sz w:val="10"/>
                <w:szCs w:val="10"/>
                <w:color w:val="auto"/>
              </w:rPr>
              <w:t>Net income</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213,329</w:t>
            </w:r>
          </w:p>
        </w:tc>
        <w:tc>
          <w:tcPr>
            <w:tcW w:w="200" w:type="dxa"/>
            <w:vAlign w:val="bottom"/>
          </w:tcPr>
          <w:p>
            <w:pPr>
              <w:spacing w:after="0"/>
              <w:rPr>
                <w:sz w:val="9"/>
                <w:szCs w:val="9"/>
                <w:color w:val="auto"/>
              </w:rPr>
            </w:pP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210,370</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212,573</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202,917</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204,985</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191,074</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196,834</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w w:val="99"/>
              </w:rPr>
              <w:t>189,290</w:t>
            </w:r>
          </w:p>
        </w:tc>
      </w:tr>
      <w:tr>
        <w:trPr>
          <w:trHeight w:val="108"/>
        </w:trPr>
        <w:tc>
          <w:tcPr>
            <w:tcW w:w="45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Amortization of core deposit and other intangible assets(a)</w:t>
            </w: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11,404</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12,154</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6,921</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7,939</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7,753</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8,503</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8,581</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9,845</w:t>
            </w:r>
          </w:p>
        </w:tc>
      </w:tr>
      <w:tr>
        <w:trPr>
          <w:trHeight w:val="108"/>
        </w:trPr>
        <w:tc>
          <w:tcPr>
            <w:tcW w:w="4500" w:type="dxa"/>
            <w:vAlign w:val="bottom"/>
          </w:tcPr>
          <w:p>
            <w:pPr>
              <w:spacing w:after="0" w:line="108" w:lineRule="exact"/>
              <w:rPr>
                <w:sz w:val="20"/>
                <w:szCs w:val="20"/>
                <w:color w:val="auto"/>
              </w:rPr>
            </w:pPr>
            <w:r>
              <w:rPr>
                <w:rFonts w:ascii="Arial" w:cs="Arial" w:eastAsia="Arial" w:hAnsi="Arial"/>
                <w:sz w:val="10"/>
                <w:szCs w:val="10"/>
                <w:color w:val="auto"/>
              </w:rPr>
              <w:t>Merger-related expenses(a)</w:t>
            </w:r>
          </w:p>
        </w:tc>
        <w:tc>
          <w:tcPr>
            <w:tcW w:w="100" w:type="dxa"/>
            <w:vAlign w:val="bottom"/>
          </w:tcPr>
          <w:p>
            <w:pPr>
              <w:spacing w:after="0"/>
              <w:rPr>
                <w:sz w:val="9"/>
                <w:szCs w:val="9"/>
                <w:color w:val="auto"/>
              </w:rPr>
            </w:pPr>
          </w:p>
        </w:tc>
        <w:tc>
          <w:tcPr>
            <w:tcW w:w="640" w:type="dxa"/>
            <w:vAlign w:val="bottom"/>
            <w:gridSpan w:val="3"/>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704</w:t>
            </w:r>
          </w:p>
        </w:tc>
        <w:tc>
          <w:tcPr>
            <w:tcW w:w="8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2,344</w:t>
            </w:r>
          </w:p>
        </w:tc>
        <w:tc>
          <w:tcPr>
            <w:tcW w:w="10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20"/>
        </w:trPr>
        <w:tc>
          <w:tcPr>
            <w:tcW w:w="4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7"/>
        </w:trPr>
        <w:tc>
          <w:tcPr>
            <w:tcW w:w="45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Net operating income</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224,733</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223,228</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221,838</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210,856</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212,738</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199,577</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205,415</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w w:val="99"/>
              </w:rPr>
              <w:t>199,135</w:t>
            </w:r>
          </w:p>
        </w:tc>
      </w:tr>
      <w:tr>
        <w:trPr>
          <w:trHeight w:val="118"/>
        </w:trPr>
        <w:tc>
          <w:tcPr>
            <w:tcW w:w="4500" w:type="dxa"/>
            <w:vAlign w:val="bottom"/>
          </w:tcPr>
          <w:p>
            <w:pPr>
              <w:spacing w:after="0"/>
              <w:rPr>
                <w:sz w:val="20"/>
                <w:szCs w:val="20"/>
                <w:color w:val="auto"/>
              </w:rPr>
            </w:pPr>
            <w:r>
              <w:rPr>
                <w:rFonts w:ascii="Arial" w:cs="Arial" w:eastAsia="Arial" w:hAnsi="Arial"/>
                <w:sz w:val="10"/>
                <w:szCs w:val="10"/>
                <w:b w:val="1"/>
                <w:bCs w:val="1"/>
                <w:color w:val="auto"/>
              </w:rPr>
              <w:t>Earnings per share</w:t>
            </w: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45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Diluted earnings per common share</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1.88</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1.85</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1.87</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1.77</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1.78</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1.64</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1.69</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1.62</w:t>
            </w:r>
          </w:p>
        </w:tc>
      </w:tr>
      <w:tr>
        <w:trPr>
          <w:trHeight w:val="108"/>
        </w:trPr>
        <w:tc>
          <w:tcPr>
            <w:tcW w:w="4500" w:type="dxa"/>
            <w:vAlign w:val="bottom"/>
          </w:tcPr>
          <w:p>
            <w:pPr>
              <w:spacing w:after="0" w:line="108" w:lineRule="exact"/>
              <w:rPr>
                <w:sz w:val="20"/>
                <w:szCs w:val="20"/>
                <w:color w:val="auto"/>
              </w:rPr>
            </w:pPr>
            <w:r>
              <w:rPr>
                <w:rFonts w:ascii="Arial" w:cs="Arial" w:eastAsia="Arial" w:hAnsi="Arial"/>
                <w:sz w:val="10"/>
                <w:szCs w:val="10"/>
                <w:color w:val="auto"/>
              </w:rPr>
              <w:t>Amortization of core deposit and other intangible assets(a)</w:t>
            </w:r>
          </w:p>
        </w:tc>
        <w:tc>
          <w:tcPr>
            <w:tcW w:w="100" w:type="dxa"/>
            <w:vAlign w:val="bottom"/>
          </w:tcPr>
          <w:p>
            <w:pPr>
              <w:spacing w:after="0"/>
              <w:rPr>
                <w:sz w:val="9"/>
                <w:szCs w:val="9"/>
                <w:color w:val="auto"/>
              </w:rPr>
            </w:pPr>
          </w:p>
        </w:tc>
        <w:tc>
          <w:tcPr>
            <w:tcW w:w="4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.10</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.10</w:t>
            </w:r>
          </w:p>
        </w:tc>
        <w:tc>
          <w:tcPr>
            <w:tcW w:w="8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.06</w:t>
            </w:r>
          </w:p>
        </w:tc>
        <w:tc>
          <w:tcPr>
            <w:tcW w:w="10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.07</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.07</w:t>
            </w:r>
          </w:p>
        </w:tc>
        <w:tc>
          <w:tcPr>
            <w:tcW w:w="10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.08</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.07</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.08</w:t>
            </w:r>
          </w:p>
        </w:tc>
      </w:tr>
      <w:tr>
        <w:trPr>
          <w:trHeight w:val="108"/>
        </w:trPr>
        <w:tc>
          <w:tcPr>
            <w:tcW w:w="45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Merger-related expenses(a)</w:t>
            </w:r>
          </w:p>
        </w:tc>
        <w:tc>
          <w:tcPr>
            <w:tcW w:w="100" w:type="dxa"/>
            <w:vAlign w:val="bottom"/>
            <w:shd w:val="clear" w:color="auto" w:fill="CCEEFF"/>
          </w:tcPr>
          <w:p>
            <w:pPr>
              <w:spacing w:after="0"/>
              <w:rPr>
                <w:sz w:val="9"/>
                <w:szCs w:val="9"/>
                <w:color w:val="auto"/>
              </w:rPr>
            </w:pPr>
          </w:p>
        </w:tc>
        <w:tc>
          <w:tcPr>
            <w:tcW w:w="640" w:type="dxa"/>
            <w:vAlign w:val="bottom"/>
            <w:gridSpan w:val="3"/>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.01</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.02</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22"/>
        </w:trPr>
        <w:tc>
          <w:tcPr>
            <w:tcW w:w="4500" w:type="dxa"/>
            <w:vAlign w:val="bottom"/>
          </w:tcPr>
          <w:p>
            <w:pPr>
              <w:ind w:left="120"/>
              <w:spacing w:after="0" w:line="108" w:lineRule="exact"/>
              <w:rPr>
                <w:sz w:val="20"/>
                <w:szCs w:val="20"/>
                <w:color w:val="auto"/>
              </w:rPr>
            </w:pPr>
            <w:r>
              <w:rPr>
                <w:rFonts w:ascii="Arial" w:cs="Arial" w:eastAsia="Arial" w:hAnsi="Arial"/>
                <w:sz w:val="10"/>
                <w:szCs w:val="10"/>
                <w:color w:val="auto"/>
              </w:rPr>
              <w:t>Diluted net operating earnings per share</w:t>
            </w: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1.98</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1.96</w:t>
            </w:r>
          </w:p>
        </w:tc>
        <w:tc>
          <w:tcPr>
            <w:tcW w:w="2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1.95</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1.84</w:t>
            </w:r>
          </w:p>
        </w:tc>
        <w:tc>
          <w:tcPr>
            <w:tcW w:w="1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1.85</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1.72</w:t>
            </w: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1.76</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1.70</w:t>
            </w:r>
          </w:p>
        </w:tc>
        <w:tc>
          <w:tcPr>
            <w:tcW w:w="100" w:type="dxa"/>
            <w:vAlign w:val="bottom"/>
          </w:tcPr>
          <w:p>
            <w:pPr>
              <w:spacing w:after="0"/>
              <w:rPr>
                <w:sz w:val="10"/>
                <w:szCs w:val="10"/>
                <w:color w:val="auto"/>
              </w:rPr>
            </w:pPr>
          </w:p>
        </w:tc>
      </w:tr>
      <w:tr>
        <w:trPr>
          <w:trHeight w:val="113"/>
        </w:trPr>
        <w:tc>
          <w:tcPr>
            <w:tcW w:w="4500" w:type="dxa"/>
            <w:vAlign w:val="bottom"/>
            <w:shd w:val="clear" w:color="auto" w:fill="CCEEFF"/>
          </w:tcPr>
          <w:p>
            <w:pPr>
              <w:spacing w:after="0" w:line="113" w:lineRule="exact"/>
              <w:rPr>
                <w:sz w:val="20"/>
                <w:szCs w:val="20"/>
                <w:color w:val="auto"/>
              </w:rPr>
            </w:pPr>
            <w:r>
              <w:rPr>
                <w:rFonts w:ascii="Arial" w:cs="Arial" w:eastAsia="Arial" w:hAnsi="Arial"/>
                <w:sz w:val="10"/>
                <w:szCs w:val="10"/>
                <w:b w:val="1"/>
                <w:bCs w:val="1"/>
                <w:color w:val="auto"/>
              </w:rPr>
              <w:t>Other expense</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4500" w:type="dxa"/>
            <w:vAlign w:val="bottom"/>
          </w:tcPr>
          <w:p>
            <w:pPr>
              <w:spacing w:after="0" w:line="108" w:lineRule="exact"/>
              <w:rPr>
                <w:sz w:val="20"/>
                <w:szCs w:val="20"/>
                <w:color w:val="auto"/>
              </w:rPr>
            </w:pPr>
            <w:r>
              <w:rPr>
                <w:rFonts w:ascii="Arial" w:cs="Arial" w:eastAsia="Arial" w:hAnsi="Arial"/>
                <w:sz w:val="10"/>
                <w:szCs w:val="10"/>
                <w:color w:val="auto"/>
              </w:rPr>
              <w:t>Other expense</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383,810</w:t>
            </w:r>
          </w:p>
        </w:tc>
        <w:tc>
          <w:tcPr>
            <w:tcW w:w="200" w:type="dxa"/>
            <w:vAlign w:val="bottom"/>
          </w:tcPr>
          <w:p>
            <w:pPr>
              <w:spacing w:after="0"/>
              <w:rPr>
                <w:sz w:val="9"/>
                <w:szCs w:val="9"/>
                <w:color w:val="auto"/>
              </w:rPr>
            </w:pP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408,941</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376,997</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382,003</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369,114</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368,250</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380,441</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w w:val="99"/>
              </w:rPr>
              <w:t>367,337</w:t>
            </w:r>
          </w:p>
        </w:tc>
      </w:tr>
      <w:tr>
        <w:trPr>
          <w:trHeight w:val="108"/>
        </w:trPr>
        <w:tc>
          <w:tcPr>
            <w:tcW w:w="45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Amortization of core deposit and other intangible assets</w:t>
            </w:r>
          </w:p>
        </w:tc>
        <w:tc>
          <w:tcPr>
            <w:tcW w:w="100" w:type="dxa"/>
            <w:vAlign w:val="bottom"/>
            <w:shd w:val="clear" w:color="auto" w:fill="CCEEFF"/>
          </w:tcPr>
          <w:p>
            <w:pPr>
              <w:spacing w:after="0"/>
              <w:rPr>
                <w:sz w:val="9"/>
                <w:szCs w:val="9"/>
                <w:color w:val="auto"/>
              </w:rPr>
            </w:pPr>
          </w:p>
        </w:tc>
        <w:tc>
          <w:tcPr>
            <w:tcW w:w="640" w:type="dxa"/>
            <w:vAlign w:val="bottom"/>
            <w:gridSpan w:val="3"/>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(18,687)</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(19,936)</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(11,357)</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(13,028)</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(12,703)</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(13,926)</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(14,055)</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(16,121)</w:t>
            </w:r>
          </w:p>
        </w:tc>
      </w:tr>
      <w:tr>
        <w:trPr>
          <w:trHeight w:val="108"/>
        </w:trPr>
        <w:tc>
          <w:tcPr>
            <w:tcW w:w="4500" w:type="dxa"/>
            <w:vAlign w:val="bottom"/>
          </w:tcPr>
          <w:p>
            <w:pPr>
              <w:spacing w:after="0" w:line="108" w:lineRule="exact"/>
              <w:rPr>
                <w:sz w:val="20"/>
                <w:szCs w:val="20"/>
                <w:color w:val="auto"/>
              </w:rPr>
            </w:pPr>
            <w:r>
              <w:rPr>
                <w:rFonts w:ascii="Arial" w:cs="Arial" w:eastAsia="Arial" w:hAnsi="Arial"/>
                <w:sz w:val="10"/>
                <w:szCs w:val="10"/>
                <w:color w:val="auto"/>
              </w:rPr>
              <w:t>Merger-related expenses</w:t>
            </w:r>
          </w:p>
        </w:tc>
        <w:tc>
          <w:tcPr>
            <w:tcW w:w="100" w:type="dxa"/>
            <w:vAlign w:val="bottom"/>
          </w:tcPr>
          <w:p>
            <w:pPr>
              <w:spacing w:after="0"/>
              <w:rPr>
                <w:sz w:val="9"/>
                <w:szCs w:val="9"/>
                <w:color w:val="auto"/>
              </w:rPr>
            </w:pPr>
          </w:p>
        </w:tc>
        <w:tc>
          <w:tcPr>
            <w:tcW w:w="640" w:type="dxa"/>
            <w:vAlign w:val="bottom"/>
            <w:gridSpan w:val="3"/>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(1,155)</w:t>
            </w:r>
          </w:p>
        </w:tc>
        <w:tc>
          <w:tcPr>
            <w:tcW w:w="8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(3,842)</w:t>
            </w:r>
          </w:p>
        </w:tc>
        <w:tc>
          <w:tcPr>
            <w:tcW w:w="10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20"/>
        </w:trPr>
        <w:tc>
          <w:tcPr>
            <w:tcW w:w="4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7"/>
        </w:trPr>
        <w:tc>
          <w:tcPr>
            <w:tcW w:w="45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Noninterest operating expense</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365,123</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387,850</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361,798</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368,975</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356,411</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354,324</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366,386</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w w:val="99"/>
              </w:rPr>
              <w:t>351,216</w:t>
            </w:r>
          </w:p>
        </w:tc>
      </w:tr>
      <w:tr>
        <w:trPr>
          <w:trHeight w:val="118"/>
        </w:trPr>
        <w:tc>
          <w:tcPr>
            <w:tcW w:w="4500" w:type="dxa"/>
            <w:vAlign w:val="bottom"/>
          </w:tcPr>
          <w:p>
            <w:pPr>
              <w:spacing w:after="0"/>
              <w:rPr>
                <w:sz w:val="20"/>
                <w:szCs w:val="20"/>
                <w:color w:val="auto"/>
              </w:rPr>
            </w:pPr>
            <w:r>
              <w:rPr>
                <w:rFonts w:ascii="Arial" w:cs="Arial" w:eastAsia="Arial" w:hAnsi="Arial"/>
                <w:sz w:val="10"/>
                <w:szCs w:val="10"/>
                <w:b w:val="1"/>
                <w:bCs w:val="1"/>
                <w:color w:val="auto"/>
              </w:rPr>
              <w:t>Merger-related expenses</w:t>
            </w: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45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Salaries and employee benefits</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gridSpan w:val="3"/>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305</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510</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4500" w:type="dxa"/>
            <w:vAlign w:val="bottom"/>
          </w:tcPr>
          <w:p>
            <w:pPr>
              <w:spacing w:after="0" w:line="108" w:lineRule="exact"/>
              <w:rPr>
                <w:sz w:val="20"/>
                <w:szCs w:val="20"/>
                <w:color w:val="auto"/>
              </w:rPr>
            </w:pPr>
            <w:r>
              <w:rPr>
                <w:rFonts w:ascii="Arial" w:cs="Arial" w:eastAsia="Arial" w:hAnsi="Arial"/>
                <w:sz w:val="10"/>
                <w:szCs w:val="10"/>
                <w:color w:val="auto"/>
              </w:rPr>
              <w:t>Equipment and net occupancy</w:t>
            </w:r>
          </w:p>
        </w:tc>
        <w:tc>
          <w:tcPr>
            <w:tcW w:w="100" w:type="dxa"/>
            <w:vAlign w:val="bottom"/>
          </w:tcPr>
          <w:p>
            <w:pPr>
              <w:spacing w:after="0"/>
              <w:rPr>
                <w:sz w:val="9"/>
                <w:szCs w:val="9"/>
                <w:color w:val="auto"/>
              </w:rPr>
            </w:pPr>
          </w:p>
        </w:tc>
        <w:tc>
          <w:tcPr>
            <w:tcW w:w="640" w:type="dxa"/>
            <w:vAlign w:val="bottom"/>
            <w:gridSpan w:val="3"/>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12</w:t>
            </w:r>
          </w:p>
        </w:tc>
        <w:tc>
          <w:tcPr>
            <w:tcW w:w="8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212</w:t>
            </w:r>
          </w:p>
        </w:tc>
        <w:tc>
          <w:tcPr>
            <w:tcW w:w="10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45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Printing, postage and supplies</w:t>
            </w:r>
          </w:p>
        </w:tc>
        <w:tc>
          <w:tcPr>
            <w:tcW w:w="100" w:type="dxa"/>
            <w:vAlign w:val="bottom"/>
            <w:shd w:val="clear" w:color="auto" w:fill="CCEEFF"/>
          </w:tcPr>
          <w:p>
            <w:pPr>
              <w:spacing w:after="0"/>
              <w:rPr>
                <w:sz w:val="9"/>
                <w:szCs w:val="9"/>
                <w:color w:val="auto"/>
              </w:rPr>
            </w:pPr>
          </w:p>
        </w:tc>
        <w:tc>
          <w:tcPr>
            <w:tcW w:w="640" w:type="dxa"/>
            <w:vAlign w:val="bottom"/>
            <w:gridSpan w:val="3"/>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141</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14</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4500" w:type="dxa"/>
            <w:vAlign w:val="bottom"/>
          </w:tcPr>
          <w:p>
            <w:pPr>
              <w:spacing w:after="0" w:line="108" w:lineRule="exact"/>
              <w:rPr>
                <w:sz w:val="20"/>
                <w:szCs w:val="20"/>
                <w:color w:val="auto"/>
              </w:rPr>
            </w:pPr>
            <w:r>
              <w:rPr>
                <w:rFonts w:ascii="Arial" w:cs="Arial" w:eastAsia="Arial" w:hAnsi="Arial"/>
                <w:sz w:val="10"/>
                <w:szCs w:val="10"/>
                <w:color w:val="auto"/>
              </w:rPr>
              <w:t>Other costs of operations</w:t>
            </w:r>
          </w:p>
        </w:tc>
        <w:tc>
          <w:tcPr>
            <w:tcW w:w="100" w:type="dxa"/>
            <w:vAlign w:val="bottom"/>
          </w:tcPr>
          <w:p>
            <w:pPr>
              <w:spacing w:after="0"/>
              <w:rPr>
                <w:sz w:val="9"/>
                <w:szCs w:val="9"/>
                <w:color w:val="auto"/>
              </w:rPr>
            </w:pPr>
          </w:p>
        </w:tc>
        <w:tc>
          <w:tcPr>
            <w:tcW w:w="640" w:type="dxa"/>
            <w:vAlign w:val="bottom"/>
            <w:gridSpan w:val="3"/>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697</w:t>
            </w:r>
          </w:p>
        </w:tc>
        <w:tc>
          <w:tcPr>
            <w:tcW w:w="8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3,106</w:t>
            </w:r>
          </w:p>
        </w:tc>
        <w:tc>
          <w:tcPr>
            <w:tcW w:w="10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20"/>
        </w:trPr>
        <w:tc>
          <w:tcPr>
            <w:tcW w:w="4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7"/>
        </w:trPr>
        <w:tc>
          <w:tcPr>
            <w:tcW w:w="45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Total</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40" w:type="dxa"/>
            <w:vAlign w:val="bottom"/>
            <w:gridSpan w:val="3"/>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1,155</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3,842</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18"/>
        </w:trPr>
        <w:tc>
          <w:tcPr>
            <w:tcW w:w="4500" w:type="dxa"/>
            <w:vAlign w:val="bottom"/>
          </w:tcPr>
          <w:p>
            <w:pPr>
              <w:spacing w:after="0"/>
              <w:rPr>
                <w:sz w:val="20"/>
                <w:szCs w:val="20"/>
                <w:color w:val="auto"/>
              </w:rPr>
            </w:pPr>
            <w:r>
              <w:rPr>
                <w:rFonts w:ascii="Arial" w:cs="Arial" w:eastAsia="Arial" w:hAnsi="Arial"/>
                <w:sz w:val="10"/>
                <w:szCs w:val="10"/>
                <w:b w:val="1"/>
                <w:bCs w:val="1"/>
                <w:color w:val="auto"/>
              </w:rPr>
              <w:t>Balance sheet data</w:t>
            </w: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4500" w:type="dxa"/>
            <w:vAlign w:val="bottom"/>
            <w:shd w:val="clear" w:color="auto" w:fill="CCEEFF"/>
          </w:tcPr>
          <w:p>
            <w:pPr>
              <w:spacing w:after="0" w:line="108" w:lineRule="exact"/>
              <w:rPr>
                <w:sz w:val="20"/>
                <w:szCs w:val="20"/>
                <w:color w:val="auto"/>
              </w:rPr>
            </w:pPr>
            <w:r>
              <w:rPr>
                <w:rFonts w:ascii="Arial" w:cs="Arial" w:eastAsia="Arial" w:hAnsi="Arial"/>
                <w:sz w:val="10"/>
                <w:szCs w:val="10"/>
                <w:i w:val="1"/>
                <w:iCs w:val="1"/>
                <w:color w:val="auto"/>
              </w:rPr>
              <w:t>In millions</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4500" w:type="dxa"/>
            <w:vAlign w:val="bottom"/>
          </w:tcPr>
          <w:p>
            <w:pPr>
              <w:spacing w:after="0" w:line="108" w:lineRule="exact"/>
              <w:rPr>
                <w:sz w:val="20"/>
                <w:szCs w:val="20"/>
                <w:color w:val="auto"/>
              </w:rPr>
            </w:pPr>
            <w:r>
              <w:rPr>
                <w:rFonts w:ascii="Arial" w:cs="Arial" w:eastAsia="Arial" w:hAnsi="Arial"/>
                <w:sz w:val="10"/>
                <w:szCs w:val="10"/>
                <w:b w:val="1"/>
                <w:bCs w:val="1"/>
                <w:color w:val="auto"/>
              </w:rPr>
              <w:t>Average assets</w:t>
            </w: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45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Average assets</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56,575</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56,158</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55,498</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55,106</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54,835</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54,444</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53,935</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53,306</w:t>
            </w:r>
          </w:p>
        </w:tc>
      </w:tr>
      <w:tr>
        <w:trPr>
          <w:trHeight w:val="108"/>
        </w:trPr>
        <w:tc>
          <w:tcPr>
            <w:tcW w:w="4500" w:type="dxa"/>
            <w:vAlign w:val="bottom"/>
          </w:tcPr>
          <w:p>
            <w:pPr>
              <w:spacing w:after="0" w:line="108" w:lineRule="exact"/>
              <w:rPr>
                <w:sz w:val="20"/>
                <w:szCs w:val="20"/>
                <w:color w:val="auto"/>
              </w:rPr>
            </w:pPr>
            <w:r>
              <w:rPr>
                <w:rFonts w:ascii="Arial" w:cs="Arial" w:eastAsia="Arial" w:hAnsi="Arial"/>
                <w:sz w:val="10"/>
                <w:szCs w:val="10"/>
                <w:color w:val="auto"/>
              </w:rPr>
              <w:t>Goodwill</w:t>
            </w:r>
          </w:p>
        </w:tc>
        <w:tc>
          <w:tcPr>
            <w:tcW w:w="100" w:type="dxa"/>
            <w:vAlign w:val="bottom"/>
          </w:tcPr>
          <w:p>
            <w:pPr>
              <w:spacing w:after="0"/>
              <w:rPr>
                <w:sz w:val="9"/>
                <w:szCs w:val="9"/>
                <w:color w:val="auto"/>
              </w:rPr>
            </w:pPr>
          </w:p>
        </w:tc>
        <w:tc>
          <w:tcPr>
            <w:tcW w:w="640" w:type="dxa"/>
            <w:vAlign w:val="bottom"/>
            <w:gridSpan w:val="3"/>
          </w:tcPr>
          <w:p>
            <w:pPr>
              <w:jc w:val="right"/>
              <w:ind w:right="180"/>
              <w:spacing w:after="0" w:line="108" w:lineRule="exact"/>
              <w:rPr>
                <w:sz w:val="20"/>
                <w:szCs w:val="20"/>
                <w:color w:val="auto"/>
              </w:rPr>
            </w:pPr>
            <w:r>
              <w:rPr>
                <w:rFonts w:ascii="Arial" w:cs="Arial" w:eastAsia="Arial" w:hAnsi="Arial"/>
                <w:sz w:val="10"/>
                <w:szCs w:val="10"/>
                <w:color w:val="auto"/>
              </w:rPr>
              <w:t>(2,909)</w:t>
            </w:r>
          </w:p>
        </w:tc>
        <w:tc>
          <w:tcPr>
            <w:tcW w:w="100" w:type="dxa"/>
            <w:vAlign w:val="bottom"/>
          </w:tcPr>
          <w:p>
            <w:pPr>
              <w:spacing w:after="0"/>
              <w:rPr>
                <w:sz w:val="9"/>
                <w:szCs w:val="9"/>
                <w:color w:val="auto"/>
              </w:rPr>
            </w:pP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(2,909)</w:t>
            </w:r>
          </w:p>
        </w:tc>
        <w:tc>
          <w:tcPr>
            <w:tcW w:w="8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(2,909)</w:t>
            </w:r>
          </w:p>
        </w:tc>
        <w:tc>
          <w:tcPr>
            <w:tcW w:w="100" w:type="dxa"/>
            <w:vAlign w:val="bottom"/>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(2,907)</w:t>
            </w:r>
          </w:p>
        </w:tc>
        <w:tc>
          <w:tcPr>
            <w:tcW w:w="10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(2,904)</w:t>
            </w:r>
          </w:p>
        </w:tc>
        <w:tc>
          <w:tcPr>
            <w:tcW w:w="100" w:type="dxa"/>
            <w:vAlign w:val="bottom"/>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(2,904)</w:t>
            </w:r>
          </w:p>
        </w:tc>
        <w:tc>
          <w:tcPr>
            <w:tcW w:w="80" w:type="dxa"/>
            <w:vAlign w:val="bottom"/>
          </w:tcPr>
          <w:p>
            <w:pPr>
              <w:spacing w:after="0"/>
              <w:rPr>
                <w:sz w:val="9"/>
                <w:szCs w:val="9"/>
                <w:color w:val="auto"/>
              </w:rPr>
            </w:pP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(2,904)</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(2,904)</w:t>
            </w:r>
          </w:p>
        </w:tc>
      </w:tr>
      <w:tr>
        <w:trPr>
          <w:trHeight w:val="108"/>
        </w:trPr>
        <w:tc>
          <w:tcPr>
            <w:tcW w:w="45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Core deposit and other intangible assets</w:t>
            </w:r>
          </w:p>
        </w:tc>
        <w:tc>
          <w:tcPr>
            <w:tcW w:w="100" w:type="dxa"/>
            <w:vAlign w:val="bottom"/>
            <w:shd w:val="clear" w:color="auto" w:fill="CCEEFF"/>
          </w:tcPr>
          <w:p>
            <w:pPr>
              <w:spacing w:after="0"/>
              <w:rPr>
                <w:sz w:val="9"/>
                <w:szCs w:val="9"/>
                <w:color w:val="auto"/>
              </w:rPr>
            </w:pPr>
          </w:p>
        </w:tc>
        <w:tc>
          <w:tcPr>
            <w:tcW w:w="640" w:type="dxa"/>
            <w:vAlign w:val="bottom"/>
            <w:gridSpan w:val="3"/>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(261)</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(281)</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(107)</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(112)</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(115)</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(128)</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(142)</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(157)</w:t>
            </w:r>
          </w:p>
        </w:tc>
      </w:tr>
      <w:tr>
        <w:trPr>
          <w:trHeight w:val="108"/>
        </w:trPr>
        <w:tc>
          <w:tcPr>
            <w:tcW w:w="4500" w:type="dxa"/>
            <w:vAlign w:val="bottom"/>
          </w:tcPr>
          <w:p>
            <w:pPr>
              <w:spacing w:after="0" w:line="108" w:lineRule="exact"/>
              <w:rPr>
                <w:sz w:val="20"/>
                <w:szCs w:val="20"/>
                <w:color w:val="auto"/>
              </w:rPr>
            </w:pPr>
            <w:r>
              <w:rPr>
                <w:rFonts w:ascii="Arial" w:cs="Arial" w:eastAsia="Arial" w:hAnsi="Arial"/>
                <w:sz w:val="10"/>
                <w:szCs w:val="10"/>
                <w:color w:val="auto"/>
              </w:rPr>
              <w:t>Deferred taxes</w:t>
            </w:r>
          </w:p>
        </w:tc>
        <w:tc>
          <w:tcPr>
            <w:tcW w:w="100" w:type="dxa"/>
            <w:vAlign w:val="bottom"/>
          </w:tcPr>
          <w:p>
            <w:pPr>
              <w:spacing w:after="0"/>
              <w:rPr>
                <w:sz w:val="9"/>
                <w:szCs w:val="9"/>
                <w:color w:val="auto"/>
              </w:rPr>
            </w:pPr>
          </w:p>
        </w:tc>
        <w:tc>
          <w:tcPr>
            <w:tcW w:w="420" w:type="dxa"/>
            <w:vAlign w:val="bottom"/>
          </w:tcPr>
          <w:p>
            <w:pPr>
              <w:jc w:val="right"/>
              <w:spacing w:after="0" w:line="108" w:lineRule="exact"/>
              <w:rPr>
                <w:sz w:val="20"/>
                <w:szCs w:val="20"/>
                <w:color w:val="auto"/>
              </w:rPr>
            </w:pPr>
            <w:r>
              <w:rPr>
                <w:rFonts w:ascii="Arial" w:cs="Arial" w:eastAsia="Arial" w:hAnsi="Arial"/>
                <w:sz w:val="10"/>
                <w:szCs w:val="10"/>
                <w:color w:val="auto"/>
              </w:rPr>
              <w:t>32</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36</w:t>
            </w:r>
          </w:p>
        </w:tc>
        <w:tc>
          <w:tcPr>
            <w:tcW w:w="8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40</w:t>
            </w:r>
          </w:p>
        </w:tc>
        <w:tc>
          <w:tcPr>
            <w:tcW w:w="10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43</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44</w:t>
            </w:r>
          </w:p>
        </w:tc>
        <w:tc>
          <w:tcPr>
            <w:tcW w:w="10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49</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55</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60</w:t>
            </w:r>
          </w:p>
        </w:tc>
      </w:tr>
      <w:tr>
        <w:trPr>
          <w:trHeight w:val="20"/>
        </w:trPr>
        <w:tc>
          <w:tcPr>
            <w:tcW w:w="4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7"/>
        </w:trPr>
        <w:tc>
          <w:tcPr>
            <w:tcW w:w="45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Average tangible assets</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53,437</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53,004</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52,522</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52,130</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51,860</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51,461</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50,944</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50,305</w:t>
            </w:r>
          </w:p>
        </w:tc>
      </w:tr>
      <w:tr>
        <w:trPr>
          <w:trHeight w:val="118"/>
        </w:trPr>
        <w:tc>
          <w:tcPr>
            <w:tcW w:w="4500" w:type="dxa"/>
            <w:vAlign w:val="bottom"/>
          </w:tcPr>
          <w:p>
            <w:pPr>
              <w:spacing w:after="0"/>
              <w:rPr>
                <w:sz w:val="20"/>
                <w:szCs w:val="20"/>
                <w:color w:val="auto"/>
              </w:rPr>
            </w:pPr>
            <w:r>
              <w:rPr>
                <w:rFonts w:ascii="Arial" w:cs="Arial" w:eastAsia="Arial" w:hAnsi="Arial"/>
                <w:sz w:val="10"/>
                <w:szCs w:val="10"/>
                <w:b w:val="1"/>
                <w:bCs w:val="1"/>
                <w:color w:val="auto"/>
              </w:rPr>
              <w:t>Average equity</w:t>
            </w: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45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Average equity</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6,244</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6,085</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5,940</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5,893</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5,873</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5,845</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5,749</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5,723</w:t>
            </w:r>
          </w:p>
        </w:tc>
      </w:tr>
      <w:tr>
        <w:trPr>
          <w:trHeight w:val="108"/>
        </w:trPr>
        <w:tc>
          <w:tcPr>
            <w:tcW w:w="4500" w:type="dxa"/>
            <w:vAlign w:val="bottom"/>
          </w:tcPr>
          <w:p>
            <w:pPr>
              <w:spacing w:after="0" w:line="108" w:lineRule="exact"/>
              <w:rPr>
                <w:sz w:val="20"/>
                <w:szCs w:val="20"/>
                <w:color w:val="auto"/>
              </w:rPr>
            </w:pPr>
            <w:r>
              <w:rPr>
                <w:rFonts w:ascii="Arial" w:cs="Arial" w:eastAsia="Arial" w:hAnsi="Arial"/>
                <w:sz w:val="10"/>
                <w:szCs w:val="10"/>
                <w:color w:val="auto"/>
              </w:rPr>
              <w:t>Goodwill</w:t>
            </w:r>
          </w:p>
        </w:tc>
        <w:tc>
          <w:tcPr>
            <w:tcW w:w="100" w:type="dxa"/>
            <w:vAlign w:val="bottom"/>
          </w:tcPr>
          <w:p>
            <w:pPr>
              <w:spacing w:after="0"/>
              <w:rPr>
                <w:sz w:val="9"/>
                <w:szCs w:val="9"/>
                <w:color w:val="auto"/>
              </w:rPr>
            </w:pPr>
          </w:p>
        </w:tc>
        <w:tc>
          <w:tcPr>
            <w:tcW w:w="640" w:type="dxa"/>
            <w:vAlign w:val="bottom"/>
            <w:gridSpan w:val="3"/>
          </w:tcPr>
          <w:p>
            <w:pPr>
              <w:jc w:val="right"/>
              <w:ind w:right="180"/>
              <w:spacing w:after="0" w:line="108" w:lineRule="exact"/>
              <w:rPr>
                <w:sz w:val="20"/>
                <w:szCs w:val="20"/>
                <w:color w:val="auto"/>
              </w:rPr>
            </w:pPr>
            <w:r>
              <w:rPr>
                <w:rFonts w:ascii="Arial" w:cs="Arial" w:eastAsia="Arial" w:hAnsi="Arial"/>
                <w:sz w:val="10"/>
                <w:szCs w:val="10"/>
                <w:color w:val="auto"/>
              </w:rPr>
              <w:t>(2,909)</w:t>
            </w:r>
          </w:p>
        </w:tc>
        <w:tc>
          <w:tcPr>
            <w:tcW w:w="100" w:type="dxa"/>
            <w:vAlign w:val="bottom"/>
          </w:tcPr>
          <w:p>
            <w:pPr>
              <w:spacing w:after="0"/>
              <w:rPr>
                <w:sz w:val="9"/>
                <w:szCs w:val="9"/>
                <w:color w:val="auto"/>
              </w:rPr>
            </w:pP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(2,909)</w:t>
            </w:r>
          </w:p>
        </w:tc>
        <w:tc>
          <w:tcPr>
            <w:tcW w:w="8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(2,909)</w:t>
            </w:r>
          </w:p>
        </w:tc>
        <w:tc>
          <w:tcPr>
            <w:tcW w:w="100" w:type="dxa"/>
            <w:vAlign w:val="bottom"/>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(2,907)</w:t>
            </w:r>
          </w:p>
        </w:tc>
        <w:tc>
          <w:tcPr>
            <w:tcW w:w="10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(2,904)</w:t>
            </w:r>
          </w:p>
        </w:tc>
        <w:tc>
          <w:tcPr>
            <w:tcW w:w="100" w:type="dxa"/>
            <w:vAlign w:val="bottom"/>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(2,904)</w:t>
            </w:r>
          </w:p>
        </w:tc>
        <w:tc>
          <w:tcPr>
            <w:tcW w:w="80" w:type="dxa"/>
            <w:vAlign w:val="bottom"/>
          </w:tcPr>
          <w:p>
            <w:pPr>
              <w:spacing w:after="0"/>
              <w:rPr>
                <w:sz w:val="9"/>
                <w:szCs w:val="9"/>
                <w:color w:val="auto"/>
              </w:rPr>
            </w:pP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(2,904)</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(2,904)</w:t>
            </w:r>
          </w:p>
        </w:tc>
      </w:tr>
      <w:tr>
        <w:trPr>
          <w:trHeight w:val="108"/>
        </w:trPr>
        <w:tc>
          <w:tcPr>
            <w:tcW w:w="45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Core deposit and other intangible assets</w:t>
            </w:r>
          </w:p>
        </w:tc>
        <w:tc>
          <w:tcPr>
            <w:tcW w:w="100" w:type="dxa"/>
            <w:vAlign w:val="bottom"/>
            <w:shd w:val="clear" w:color="auto" w:fill="CCEEFF"/>
          </w:tcPr>
          <w:p>
            <w:pPr>
              <w:spacing w:after="0"/>
              <w:rPr>
                <w:sz w:val="9"/>
                <w:szCs w:val="9"/>
                <w:color w:val="auto"/>
              </w:rPr>
            </w:pPr>
          </w:p>
        </w:tc>
        <w:tc>
          <w:tcPr>
            <w:tcW w:w="640" w:type="dxa"/>
            <w:vAlign w:val="bottom"/>
            <w:gridSpan w:val="3"/>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(261)</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(281)</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(107)</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(112)</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(115)</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(128)</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(142)</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(157)</w:t>
            </w:r>
          </w:p>
        </w:tc>
      </w:tr>
      <w:tr>
        <w:trPr>
          <w:trHeight w:val="108"/>
        </w:trPr>
        <w:tc>
          <w:tcPr>
            <w:tcW w:w="4500" w:type="dxa"/>
            <w:vAlign w:val="bottom"/>
          </w:tcPr>
          <w:p>
            <w:pPr>
              <w:spacing w:after="0" w:line="108" w:lineRule="exact"/>
              <w:rPr>
                <w:sz w:val="20"/>
                <w:szCs w:val="20"/>
                <w:color w:val="auto"/>
              </w:rPr>
            </w:pPr>
            <w:r>
              <w:rPr>
                <w:rFonts w:ascii="Arial" w:cs="Arial" w:eastAsia="Arial" w:hAnsi="Arial"/>
                <w:sz w:val="10"/>
                <w:szCs w:val="10"/>
                <w:color w:val="auto"/>
              </w:rPr>
              <w:t>Deferred taxes</w:t>
            </w:r>
          </w:p>
        </w:tc>
        <w:tc>
          <w:tcPr>
            <w:tcW w:w="100" w:type="dxa"/>
            <w:vAlign w:val="bottom"/>
          </w:tcPr>
          <w:p>
            <w:pPr>
              <w:spacing w:after="0"/>
              <w:rPr>
                <w:sz w:val="9"/>
                <w:szCs w:val="9"/>
                <w:color w:val="auto"/>
              </w:rPr>
            </w:pPr>
          </w:p>
        </w:tc>
        <w:tc>
          <w:tcPr>
            <w:tcW w:w="420" w:type="dxa"/>
            <w:vAlign w:val="bottom"/>
          </w:tcPr>
          <w:p>
            <w:pPr>
              <w:jc w:val="right"/>
              <w:spacing w:after="0" w:line="108" w:lineRule="exact"/>
              <w:rPr>
                <w:sz w:val="20"/>
                <w:szCs w:val="20"/>
                <w:color w:val="auto"/>
              </w:rPr>
            </w:pPr>
            <w:r>
              <w:rPr>
                <w:rFonts w:ascii="Arial" w:cs="Arial" w:eastAsia="Arial" w:hAnsi="Arial"/>
                <w:sz w:val="10"/>
                <w:szCs w:val="10"/>
                <w:color w:val="auto"/>
              </w:rPr>
              <w:t>32</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36</w:t>
            </w:r>
          </w:p>
        </w:tc>
        <w:tc>
          <w:tcPr>
            <w:tcW w:w="8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40</w:t>
            </w:r>
          </w:p>
        </w:tc>
        <w:tc>
          <w:tcPr>
            <w:tcW w:w="10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43</w:t>
            </w:r>
          </w:p>
        </w:tc>
        <w:tc>
          <w:tcPr>
            <w:tcW w:w="100" w:type="dxa"/>
            <w:vAlign w:val="bottom"/>
          </w:tcPr>
          <w:p>
            <w:pPr>
              <w:spacing w:after="0"/>
              <w:rPr>
                <w:sz w:val="9"/>
                <w:szCs w:val="9"/>
                <w:color w:val="auto"/>
              </w:rPr>
            </w:pP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44</w:t>
            </w:r>
          </w:p>
        </w:tc>
        <w:tc>
          <w:tcPr>
            <w:tcW w:w="100" w:type="dxa"/>
            <w:vAlign w:val="bottom"/>
          </w:tcPr>
          <w:p>
            <w:pPr>
              <w:spacing w:after="0"/>
              <w:rPr>
                <w:sz w:val="9"/>
                <w:szCs w:val="9"/>
                <w:color w:val="auto"/>
              </w:rPr>
            </w:pP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49</w:t>
            </w:r>
          </w:p>
        </w:tc>
        <w:tc>
          <w:tcPr>
            <w:tcW w:w="80" w:type="dxa"/>
            <w:vAlign w:val="bottom"/>
          </w:tcPr>
          <w:p>
            <w:pPr>
              <w:spacing w:after="0"/>
              <w:rPr>
                <w:sz w:val="9"/>
                <w:szCs w:val="9"/>
                <w:color w:val="auto"/>
              </w:rPr>
            </w:pP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55</w:t>
            </w:r>
          </w:p>
        </w:tc>
        <w:tc>
          <w:tcPr>
            <w:tcW w:w="100" w:type="dxa"/>
            <w:vAlign w:val="bottom"/>
          </w:tcPr>
          <w:p>
            <w:pPr>
              <w:spacing w:after="0"/>
              <w:rPr>
                <w:sz w:val="9"/>
                <w:szCs w:val="9"/>
                <w:color w:val="auto"/>
              </w:rPr>
            </w:pP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60</w:t>
            </w:r>
          </w:p>
        </w:tc>
      </w:tr>
      <w:tr>
        <w:trPr>
          <w:trHeight w:val="20"/>
        </w:trPr>
        <w:tc>
          <w:tcPr>
            <w:tcW w:w="4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7"/>
        </w:trPr>
        <w:tc>
          <w:tcPr>
            <w:tcW w:w="45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Average tangible equity</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3,106</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2,931</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2,964</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2,917</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2,898</w:t>
            </w: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2,862</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2,758</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2,722</w:t>
            </w:r>
          </w:p>
        </w:tc>
      </w:tr>
      <w:tr>
        <w:trPr>
          <w:trHeight w:val="118"/>
        </w:trPr>
        <w:tc>
          <w:tcPr>
            <w:tcW w:w="4500" w:type="dxa"/>
            <w:vAlign w:val="bottom"/>
          </w:tcPr>
          <w:p>
            <w:pPr>
              <w:spacing w:after="0"/>
              <w:rPr>
                <w:sz w:val="20"/>
                <w:szCs w:val="20"/>
                <w:color w:val="auto"/>
              </w:rPr>
            </w:pPr>
            <w:r>
              <w:rPr>
                <w:rFonts w:ascii="Arial" w:cs="Arial" w:eastAsia="Arial" w:hAnsi="Arial"/>
                <w:sz w:val="10"/>
                <w:szCs w:val="10"/>
                <w:b w:val="1"/>
                <w:bCs w:val="1"/>
                <w:color w:val="auto"/>
              </w:rPr>
              <w:t>At end of quarter</w:t>
            </w: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450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Total assets</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4500" w:type="dxa"/>
            <w:vAlign w:val="bottom"/>
          </w:tcPr>
          <w:p>
            <w:pPr>
              <w:spacing w:after="0" w:line="108" w:lineRule="exact"/>
              <w:rPr>
                <w:sz w:val="20"/>
                <w:szCs w:val="20"/>
                <w:color w:val="auto"/>
              </w:rPr>
            </w:pPr>
            <w:r>
              <w:rPr>
                <w:rFonts w:ascii="Arial" w:cs="Arial" w:eastAsia="Arial" w:hAnsi="Arial"/>
                <w:sz w:val="10"/>
                <w:szCs w:val="10"/>
                <w:color w:val="auto"/>
              </w:rPr>
              <w:t>Total assets</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57,065</w:t>
            </w:r>
          </w:p>
        </w:tc>
        <w:tc>
          <w:tcPr>
            <w:tcW w:w="200" w:type="dxa"/>
            <w:vAlign w:val="bottom"/>
          </w:tcPr>
          <w:p>
            <w:pPr>
              <w:spacing w:after="0"/>
              <w:rPr>
                <w:sz w:val="9"/>
                <w:szCs w:val="9"/>
                <w:color w:val="auto"/>
              </w:rPr>
            </w:pP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56,373</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56,507</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55,420</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55,146</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54,841</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54,482</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53,887</w:t>
            </w:r>
          </w:p>
        </w:tc>
      </w:tr>
      <w:tr>
        <w:trPr>
          <w:trHeight w:val="108"/>
        </w:trPr>
        <w:tc>
          <w:tcPr>
            <w:tcW w:w="45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Goodwill</w:t>
            </w:r>
          </w:p>
        </w:tc>
        <w:tc>
          <w:tcPr>
            <w:tcW w:w="100" w:type="dxa"/>
            <w:vAlign w:val="bottom"/>
            <w:shd w:val="clear" w:color="auto" w:fill="CCEEFF"/>
          </w:tcPr>
          <w:p>
            <w:pPr>
              <w:spacing w:after="0"/>
              <w:rPr>
                <w:sz w:val="9"/>
                <w:szCs w:val="9"/>
                <w:color w:val="auto"/>
              </w:rPr>
            </w:pPr>
          </w:p>
        </w:tc>
        <w:tc>
          <w:tcPr>
            <w:tcW w:w="640" w:type="dxa"/>
            <w:vAlign w:val="bottom"/>
            <w:gridSpan w:val="3"/>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(2,909)</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(2,909)</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(2,909)</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(2,909)</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(2,904)</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(2,904)</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(2,904)</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(2,904)</w:t>
            </w:r>
          </w:p>
        </w:tc>
      </w:tr>
      <w:tr>
        <w:trPr>
          <w:trHeight w:val="108"/>
        </w:trPr>
        <w:tc>
          <w:tcPr>
            <w:tcW w:w="4500" w:type="dxa"/>
            <w:vAlign w:val="bottom"/>
          </w:tcPr>
          <w:p>
            <w:pPr>
              <w:spacing w:after="0" w:line="108" w:lineRule="exact"/>
              <w:rPr>
                <w:sz w:val="20"/>
                <w:szCs w:val="20"/>
                <w:color w:val="auto"/>
              </w:rPr>
            </w:pPr>
            <w:r>
              <w:rPr>
                <w:rFonts w:ascii="Arial" w:cs="Arial" w:eastAsia="Arial" w:hAnsi="Arial"/>
                <w:sz w:val="10"/>
                <w:szCs w:val="10"/>
                <w:color w:val="auto"/>
              </w:rPr>
              <w:t>Core deposit and other intangible assets</w:t>
            </w:r>
          </w:p>
        </w:tc>
        <w:tc>
          <w:tcPr>
            <w:tcW w:w="100" w:type="dxa"/>
            <w:vAlign w:val="bottom"/>
          </w:tcPr>
          <w:p>
            <w:pPr>
              <w:spacing w:after="0"/>
              <w:rPr>
                <w:sz w:val="9"/>
                <w:szCs w:val="9"/>
                <w:color w:val="auto"/>
              </w:rPr>
            </w:pPr>
          </w:p>
        </w:tc>
        <w:tc>
          <w:tcPr>
            <w:tcW w:w="640" w:type="dxa"/>
            <w:vAlign w:val="bottom"/>
            <w:gridSpan w:val="3"/>
          </w:tcPr>
          <w:p>
            <w:pPr>
              <w:jc w:val="right"/>
              <w:ind w:right="180"/>
              <w:spacing w:after="0" w:line="108" w:lineRule="exact"/>
              <w:rPr>
                <w:sz w:val="20"/>
                <w:szCs w:val="20"/>
                <w:color w:val="auto"/>
              </w:rPr>
            </w:pPr>
            <w:r>
              <w:rPr>
                <w:rFonts w:ascii="Arial" w:cs="Arial" w:eastAsia="Arial" w:hAnsi="Arial"/>
                <w:sz w:val="10"/>
                <w:szCs w:val="10"/>
                <w:color w:val="auto"/>
              </w:rPr>
              <w:t>(250)</w:t>
            </w:r>
          </w:p>
        </w:tc>
        <w:tc>
          <w:tcPr>
            <w:tcW w:w="100" w:type="dxa"/>
            <w:vAlign w:val="bottom"/>
          </w:tcPr>
          <w:p>
            <w:pPr>
              <w:spacing w:after="0"/>
              <w:rPr>
                <w:sz w:val="9"/>
                <w:szCs w:val="9"/>
                <w:color w:val="auto"/>
              </w:rPr>
            </w:pP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(271)</w:t>
            </w:r>
          </w:p>
        </w:tc>
        <w:tc>
          <w:tcPr>
            <w:tcW w:w="8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(291)</w:t>
            </w:r>
          </w:p>
        </w:tc>
        <w:tc>
          <w:tcPr>
            <w:tcW w:w="100" w:type="dxa"/>
            <w:vAlign w:val="bottom"/>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(111)</w:t>
            </w:r>
          </w:p>
        </w:tc>
        <w:tc>
          <w:tcPr>
            <w:tcW w:w="10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(108)</w:t>
            </w:r>
          </w:p>
        </w:tc>
        <w:tc>
          <w:tcPr>
            <w:tcW w:w="100" w:type="dxa"/>
            <w:vAlign w:val="bottom"/>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(121)</w:t>
            </w:r>
          </w:p>
        </w:tc>
        <w:tc>
          <w:tcPr>
            <w:tcW w:w="80" w:type="dxa"/>
            <w:vAlign w:val="bottom"/>
          </w:tcPr>
          <w:p>
            <w:pPr>
              <w:spacing w:after="0"/>
              <w:rPr>
                <w:sz w:val="9"/>
                <w:szCs w:val="9"/>
                <w:color w:val="auto"/>
              </w:rPr>
            </w:pP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(135)</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(149)</w:t>
            </w:r>
          </w:p>
        </w:tc>
      </w:tr>
      <w:tr>
        <w:trPr>
          <w:trHeight w:val="108"/>
        </w:trPr>
        <w:tc>
          <w:tcPr>
            <w:tcW w:w="45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Deferred taxes</w:t>
            </w: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30</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34</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38</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43</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42</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47</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52</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57</w:t>
            </w:r>
          </w:p>
        </w:tc>
      </w:tr>
      <w:tr>
        <w:trPr>
          <w:trHeight w:val="122"/>
        </w:trPr>
        <w:tc>
          <w:tcPr>
            <w:tcW w:w="4500" w:type="dxa"/>
            <w:vAlign w:val="bottom"/>
          </w:tcPr>
          <w:p>
            <w:pPr>
              <w:ind w:left="120"/>
              <w:spacing w:after="0" w:line="108" w:lineRule="exact"/>
              <w:rPr>
                <w:sz w:val="20"/>
                <w:szCs w:val="20"/>
                <w:color w:val="auto"/>
              </w:rPr>
            </w:pPr>
            <w:r>
              <w:rPr>
                <w:rFonts w:ascii="Arial" w:cs="Arial" w:eastAsia="Arial" w:hAnsi="Arial"/>
                <w:sz w:val="10"/>
                <w:szCs w:val="10"/>
                <w:color w:val="auto"/>
              </w:rPr>
              <w:t>Total tangible assets</w:t>
            </w: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53,936</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53,227</w:t>
            </w:r>
          </w:p>
        </w:tc>
        <w:tc>
          <w:tcPr>
            <w:tcW w:w="2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53,345</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52,443</w:t>
            </w:r>
          </w:p>
        </w:tc>
        <w:tc>
          <w:tcPr>
            <w:tcW w:w="1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52,176</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51,863</w:t>
            </w: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51,495</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50,891</w:t>
            </w:r>
          </w:p>
        </w:tc>
        <w:tc>
          <w:tcPr>
            <w:tcW w:w="100" w:type="dxa"/>
            <w:vAlign w:val="bottom"/>
          </w:tcPr>
          <w:p>
            <w:pPr>
              <w:spacing w:after="0"/>
              <w:rPr>
                <w:sz w:val="10"/>
                <w:szCs w:val="10"/>
                <w:color w:val="auto"/>
              </w:rPr>
            </w:pPr>
          </w:p>
        </w:tc>
      </w:tr>
      <w:tr>
        <w:trPr>
          <w:trHeight w:val="113"/>
        </w:trPr>
        <w:tc>
          <w:tcPr>
            <w:tcW w:w="4500" w:type="dxa"/>
            <w:vAlign w:val="bottom"/>
            <w:shd w:val="clear" w:color="auto" w:fill="CCEEFF"/>
          </w:tcPr>
          <w:p>
            <w:pPr>
              <w:spacing w:after="0" w:line="113" w:lineRule="exact"/>
              <w:rPr>
                <w:sz w:val="20"/>
                <w:szCs w:val="20"/>
                <w:color w:val="auto"/>
              </w:rPr>
            </w:pPr>
            <w:r>
              <w:rPr>
                <w:rFonts w:ascii="Arial" w:cs="Arial" w:eastAsia="Arial" w:hAnsi="Arial"/>
                <w:sz w:val="10"/>
                <w:szCs w:val="10"/>
                <w:b w:val="1"/>
                <w:bCs w:val="1"/>
                <w:color w:val="auto"/>
              </w:rPr>
              <w:t>Total equity</w:t>
            </w: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4500" w:type="dxa"/>
            <w:vAlign w:val="bottom"/>
          </w:tcPr>
          <w:p>
            <w:pPr>
              <w:spacing w:after="0" w:line="108" w:lineRule="exact"/>
              <w:rPr>
                <w:sz w:val="20"/>
                <w:szCs w:val="20"/>
                <w:color w:val="auto"/>
              </w:rPr>
            </w:pPr>
            <w:r>
              <w:rPr>
                <w:rFonts w:ascii="Arial" w:cs="Arial" w:eastAsia="Arial" w:hAnsi="Arial"/>
                <w:sz w:val="10"/>
                <w:szCs w:val="10"/>
                <w:color w:val="auto"/>
              </w:rPr>
              <w:t>Total equity</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6,281</w:t>
            </w:r>
          </w:p>
        </w:tc>
        <w:tc>
          <w:tcPr>
            <w:tcW w:w="200" w:type="dxa"/>
            <w:vAlign w:val="bottom"/>
          </w:tcPr>
          <w:p>
            <w:pPr>
              <w:spacing w:after="0"/>
              <w:rPr>
                <w:sz w:val="9"/>
                <w:szCs w:val="9"/>
                <w:color w:val="auto"/>
              </w:rPr>
            </w:pP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6,151</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6,000</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5,919</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5,876</w:t>
            </w: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5,847</w:t>
            </w: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5,838</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4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5,674</w:t>
            </w:r>
          </w:p>
        </w:tc>
      </w:tr>
      <w:tr>
        <w:trPr>
          <w:trHeight w:val="108"/>
        </w:trPr>
        <w:tc>
          <w:tcPr>
            <w:tcW w:w="45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Goodwill</w:t>
            </w:r>
          </w:p>
        </w:tc>
        <w:tc>
          <w:tcPr>
            <w:tcW w:w="100" w:type="dxa"/>
            <w:vAlign w:val="bottom"/>
            <w:shd w:val="clear" w:color="auto" w:fill="CCEEFF"/>
          </w:tcPr>
          <w:p>
            <w:pPr>
              <w:spacing w:after="0"/>
              <w:rPr>
                <w:sz w:val="9"/>
                <w:szCs w:val="9"/>
                <w:color w:val="auto"/>
              </w:rPr>
            </w:pPr>
          </w:p>
        </w:tc>
        <w:tc>
          <w:tcPr>
            <w:tcW w:w="640" w:type="dxa"/>
            <w:vAlign w:val="bottom"/>
            <w:gridSpan w:val="3"/>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(2,909)</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(2,909)</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(2,909)</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(2,909)</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(2,904)</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(2,904)</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(2,904)</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(2,904)</w:t>
            </w:r>
          </w:p>
        </w:tc>
      </w:tr>
      <w:tr>
        <w:trPr>
          <w:trHeight w:val="108"/>
        </w:trPr>
        <w:tc>
          <w:tcPr>
            <w:tcW w:w="4500" w:type="dxa"/>
            <w:vAlign w:val="bottom"/>
          </w:tcPr>
          <w:p>
            <w:pPr>
              <w:spacing w:after="0" w:line="108" w:lineRule="exact"/>
              <w:rPr>
                <w:sz w:val="20"/>
                <w:szCs w:val="20"/>
                <w:color w:val="auto"/>
              </w:rPr>
            </w:pPr>
            <w:r>
              <w:rPr>
                <w:rFonts w:ascii="Arial" w:cs="Arial" w:eastAsia="Arial" w:hAnsi="Arial"/>
                <w:sz w:val="10"/>
                <w:szCs w:val="10"/>
                <w:color w:val="auto"/>
              </w:rPr>
              <w:t>Core deposit and other intangible assets</w:t>
            </w:r>
          </w:p>
        </w:tc>
        <w:tc>
          <w:tcPr>
            <w:tcW w:w="100" w:type="dxa"/>
            <w:vAlign w:val="bottom"/>
          </w:tcPr>
          <w:p>
            <w:pPr>
              <w:spacing w:after="0"/>
              <w:rPr>
                <w:sz w:val="9"/>
                <w:szCs w:val="9"/>
                <w:color w:val="auto"/>
              </w:rPr>
            </w:pPr>
          </w:p>
        </w:tc>
        <w:tc>
          <w:tcPr>
            <w:tcW w:w="640" w:type="dxa"/>
            <w:vAlign w:val="bottom"/>
            <w:gridSpan w:val="3"/>
          </w:tcPr>
          <w:p>
            <w:pPr>
              <w:jc w:val="right"/>
              <w:ind w:right="180"/>
              <w:spacing w:after="0" w:line="108" w:lineRule="exact"/>
              <w:rPr>
                <w:sz w:val="20"/>
                <w:szCs w:val="20"/>
                <w:color w:val="auto"/>
              </w:rPr>
            </w:pPr>
            <w:r>
              <w:rPr>
                <w:rFonts w:ascii="Arial" w:cs="Arial" w:eastAsia="Arial" w:hAnsi="Arial"/>
                <w:sz w:val="10"/>
                <w:szCs w:val="10"/>
                <w:color w:val="auto"/>
              </w:rPr>
              <w:t>(250)</w:t>
            </w:r>
          </w:p>
        </w:tc>
        <w:tc>
          <w:tcPr>
            <w:tcW w:w="100" w:type="dxa"/>
            <w:vAlign w:val="bottom"/>
          </w:tcPr>
          <w:p>
            <w:pPr>
              <w:spacing w:after="0"/>
              <w:rPr>
                <w:sz w:val="9"/>
                <w:szCs w:val="9"/>
                <w:color w:val="auto"/>
              </w:rPr>
            </w:pPr>
          </w:p>
        </w:tc>
        <w:tc>
          <w:tcPr>
            <w:tcW w:w="62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(271)</w:t>
            </w:r>
          </w:p>
        </w:tc>
        <w:tc>
          <w:tcPr>
            <w:tcW w:w="8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(291)</w:t>
            </w:r>
          </w:p>
        </w:tc>
        <w:tc>
          <w:tcPr>
            <w:tcW w:w="100" w:type="dxa"/>
            <w:vAlign w:val="bottom"/>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(111)</w:t>
            </w:r>
          </w:p>
        </w:tc>
        <w:tc>
          <w:tcPr>
            <w:tcW w:w="100" w:type="dxa"/>
            <w:vAlign w:val="bottom"/>
          </w:tcPr>
          <w:p>
            <w:pPr>
              <w:spacing w:after="0"/>
              <w:rPr>
                <w:sz w:val="9"/>
                <w:szCs w:val="9"/>
                <w:color w:val="auto"/>
              </w:rPr>
            </w:pP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(108)</w:t>
            </w:r>
          </w:p>
        </w:tc>
        <w:tc>
          <w:tcPr>
            <w:tcW w:w="100" w:type="dxa"/>
            <w:vAlign w:val="bottom"/>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(121)</w:t>
            </w:r>
          </w:p>
        </w:tc>
        <w:tc>
          <w:tcPr>
            <w:tcW w:w="80" w:type="dxa"/>
            <w:vAlign w:val="bottom"/>
          </w:tcPr>
          <w:p>
            <w:pPr>
              <w:spacing w:after="0"/>
              <w:rPr>
                <w:sz w:val="9"/>
                <w:szCs w:val="9"/>
                <w:color w:val="auto"/>
              </w:rPr>
            </w:pPr>
          </w:p>
        </w:tc>
        <w:tc>
          <w:tcPr>
            <w:tcW w:w="6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(135)</w:t>
            </w:r>
          </w:p>
        </w:tc>
        <w:tc>
          <w:tcPr>
            <w:tcW w:w="100" w:type="dxa"/>
            <w:vAlign w:val="bottom"/>
          </w:tcPr>
          <w:p>
            <w:pPr>
              <w:spacing w:after="0"/>
              <w:rPr>
                <w:sz w:val="9"/>
                <w:szCs w:val="9"/>
                <w:color w:val="auto"/>
              </w:rPr>
            </w:pPr>
          </w:p>
        </w:tc>
        <w:tc>
          <w:tcPr>
            <w:tcW w:w="4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(149)</w:t>
            </w:r>
          </w:p>
        </w:tc>
      </w:tr>
      <w:tr>
        <w:trPr>
          <w:trHeight w:val="108"/>
        </w:trPr>
        <w:tc>
          <w:tcPr>
            <w:tcW w:w="45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Deferred taxes</w:t>
            </w:r>
          </w:p>
        </w:tc>
        <w:tc>
          <w:tcPr>
            <w:tcW w:w="10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30</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34</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38</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43</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42</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47</w:t>
            </w: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52</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57</w:t>
            </w:r>
          </w:p>
        </w:tc>
      </w:tr>
      <w:tr>
        <w:trPr>
          <w:trHeight w:val="117"/>
        </w:trPr>
        <w:tc>
          <w:tcPr>
            <w:tcW w:w="4500" w:type="dxa"/>
            <w:vAlign w:val="bottom"/>
          </w:tcPr>
          <w:p>
            <w:pPr>
              <w:ind w:left="120"/>
              <w:spacing w:after="0" w:line="108" w:lineRule="exact"/>
              <w:rPr>
                <w:sz w:val="20"/>
                <w:szCs w:val="20"/>
                <w:color w:val="auto"/>
              </w:rPr>
            </w:pPr>
            <w:r>
              <w:rPr>
                <w:rFonts w:ascii="Arial" w:cs="Arial" w:eastAsia="Arial" w:hAnsi="Arial"/>
                <w:sz w:val="10"/>
                <w:szCs w:val="10"/>
                <w:color w:val="auto"/>
              </w:rPr>
              <w:t>Total tangible equity</w:t>
            </w: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3,152</w:t>
            </w:r>
          </w:p>
        </w:tc>
        <w:tc>
          <w:tcPr>
            <w:tcW w:w="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3,005</w:t>
            </w:r>
          </w:p>
        </w:tc>
        <w:tc>
          <w:tcPr>
            <w:tcW w:w="2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2,838</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2,942</w:t>
            </w:r>
          </w:p>
        </w:tc>
        <w:tc>
          <w:tcPr>
            <w:tcW w:w="1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2,906</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2,869</w:t>
            </w:r>
          </w:p>
        </w:tc>
        <w:tc>
          <w:tcPr>
            <w:tcW w:w="2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2,851</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3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2,678</w:t>
            </w: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68580</wp:posOffset>
            </wp:positionV>
            <wp:extent cx="823595"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4" w:lineRule="exact"/>
        <w:rPr>
          <w:sz w:val="20"/>
          <w:szCs w:val="20"/>
          <w:color w:val="auto"/>
        </w:rPr>
      </w:pPr>
    </w:p>
    <w:p>
      <w:pPr>
        <w:ind w:left="960"/>
        <w:spacing w:after="0"/>
        <w:tabs>
          <w:tab w:leader="none" w:pos="1160" w:val="left"/>
        </w:tabs>
        <w:rPr>
          <w:sz w:val="20"/>
          <w:szCs w:val="20"/>
          <w:color w:val="auto"/>
        </w:rPr>
      </w:pPr>
      <w:r>
        <w:rPr>
          <w:rFonts w:ascii="Arial" w:cs="Arial" w:eastAsia="Arial" w:hAnsi="Arial"/>
          <w:sz w:val="10"/>
          <w:szCs w:val="10"/>
          <w:i w:val="1"/>
          <w:iCs w:val="1"/>
          <w:color w:val="auto"/>
        </w:rPr>
        <w:t>(a)</w:t>
      </w:r>
      <w:r>
        <w:rPr>
          <w:sz w:val="20"/>
          <w:szCs w:val="20"/>
          <w:color w:val="auto"/>
        </w:rPr>
        <w:tab/>
      </w:r>
      <w:r>
        <w:rPr>
          <w:rFonts w:ascii="Arial" w:cs="Arial" w:eastAsia="Arial" w:hAnsi="Arial"/>
          <w:sz w:val="9"/>
          <w:szCs w:val="9"/>
          <w:i w:val="1"/>
          <w:iCs w:val="1"/>
          <w:color w:val="auto"/>
        </w:rPr>
        <w:t>After any related tax effect.</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4"/>
          <w:szCs w:val="14"/>
          <w:b w:val="1"/>
          <w:bCs w:val="1"/>
          <w:color w:val="auto"/>
        </w:rPr>
        <w:t>Item 7A.</w:t>
      </w:r>
      <w:r>
        <w:rPr>
          <w:sz w:val="20"/>
          <w:szCs w:val="20"/>
          <w:color w:val="auto"/>
        </w:rPr>
        <w:tab/>
      </w:r>
      <w:r>
        <w:rPr>
          <w:rFonts w:ascii="Arial" w:cs="Arial" w:eastAsia="Arial" w:hAnsi="Arial"/>
          <w:sz w:val="12"/>
          <w:szCs w:val="12"/>
          <w:b w:val="1"/>
          <w:bCs w:val="1"/>
          <w:i w:val="1"/>
          <w:iCs w:val="1"/>
          <w:color w:val="auto"/>
        </w:rPr>
        <w:t>Quantitative and Qualitative Disclosures About Market Risk.</w:t>
      </w:r>
    </w:p>
    <w:p>
      <w:pPr>
        <w:spacing w:after="0" w:line="99" w:lineRule="exact"/>
        <w:rPr>
          <w:sz w:val="20"/>
          <w:szCs w:val="20"/>
          <w:color w:val="auto"/>
        </w:rPr>
      </w:pPr>
    </w:p>
    <w:p>
      <w:pPr>
        <w:ind w:left="680" w:right="940"/>
        <w:spacing w:after="0" w:line="280" w:lineRule="auto"/>
        <w:rPr>
          <w:sz w:val="20"/>
          <w:szCs w:val="20"/>
          <w:color w:val="auto"/>
        </w:rPr>
      </w:pPr>
      <w:r>
        <w:rPr>
          <w:rFonts w:ascii="Arial" w:cs="Arial" w:eastAsia="Arial" w:hAnsi="Arial"/>
          <w:sz w:val="14"/>
          <w:szCs w:val="14"/>
          <w:color w:val="auto"/>
        </w:rPr>
        <w:t>Incorporated by reference to the discussion contained in Part II, Item 7, “Management’s Discussion and Analysis of Financial Condition and Results of Operations,” under the captions “Liquidity, Market Risk, and Interest Rate Sensitivity” (including Table 18) and “Capital.”</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 w:type="dxa"/>
            <w:vAlign w:val="bottom"/>
          </w:tcPr>
          <w:p>
            <w:pPr>
              <w:spacing w:after="0"/>
              <w:rPr>
                <w:sz w:val="16"/>
                <w:szCs w:val="16"/>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Item 8.</w:t>
            </w:r>
          </w:p>
        </w:tc>
        <w:tc>
          <w:tcPr>
            <w:tcW w:w="9100" w:type="dxa"/>
            <w:vAlign w:val="bottom"/>
            <w:gridSpan w:val="8"/>
          </w:tcPr>
          <w:p>
            <w:pPr>
              <w:ind w:left="200"/>
              <w:spacing w:after="0"/>
              <w:rPr>
                <w:sz w:val="20"/>
                <w:szCs w:val="20"/>
                <w:color w:val="auto"/>
              </w:rPr>
            </w:pPr>
            <w:r>
              <w:rPr>
                <w:rFonts w:ascii="Arial" w:cs="Arial" w:eastAsia="Arial" w:hAnsi="Arial"/>
                <w:sz w:val="14"/>
                <w:szCs w:val="14"/>
                <w:b w:val="1"/>
                <w:bCs w:val="1"/>
                <w:i w:val="1"/>
                <w:iCs w:val="1"/>
                <w:color w:val="auto"/>
              </w:rPr>
              <w:t>Financial Statements and Supplementary Data.</w:t>
            </w:r>
          </w:p>
        </w:tc>
        <w:tc>
          <w:tcPr>
            <w:tcW w:w="1060" w:type="dxa"/>
            <w:vAlign w:val="bottom"/>
          </w:tcPr>
          <w:p>
            <w:pPr>
              <w:spacing w:after="0"/>
              <w:rPr>
                <w:sz w:val="16"/>
                <w:szCs w:val="16"/>
                <w:color w:val="auto"/>
              </w:rPr>
            </w:pPr>
          </w:p>
        </w:tc>
      </w:tr>
      <w:tr>
        <w:trPr>
          <w:trHeight w:val="240"/>
        </w:trPr>
        <w:tc>
          <w:tcPr>
            <w:tcW w:w="680" w:type="dxa"/>
            <w:vAlign w:val="bottom"/>
          </w:tcPr>
          <w:p>
            <w:pPr>
              <w:spacing w:after="0"/>
              <w:rPr>
                <w:sz w:val="20"/>
                <w:szCs w:val="20"/>
                <w:color w:val="auto"/>
              </w:rPr>
            </w:pPr>
          </w:p>
        </w:tc>
        <w:tc>
          <w:tcPr>
            <w:tcW w:w="9720" w:type="dxa"/>
            <w:vAlign w:val="bottom"/>
            <w:gridSpan w:val="10"/>
          </w:tcPr>
          <w:p>
            <w:pPr>
              <w:spacing w:after="0"/>
              <w:rPr>
                <w:sz w:val="20"/>
                <w:szCs w:val="20"/>
                <w:color w:val="auto"/>
              </w:rPr>
            </w:pPr>
            <w:r>
              <w:rPr>
                <w:rFonts w:ascii="Arial" w:cs="Arial" w:eastAsia="Arial" w:hAnsi="Arial"/>
                <w:sz w:val="14"/>
                <w:szCs w:val="14"/>
                <w:color w:val="auto"/>
                <w:w w:val="93"/>
              </w:rPr>
              <w:t>Financial Statements and Supplementary Data consist of the financial statements as indexed and presented below and Table 20 “Quarterly Trends” presented in Part II,</w:t>
            </w:r>
          </w:p>
        </w:tc>
        <w:tc>
          <w:tcPr>
            <w:tcW w:w="1060" w:type="dxa"/>
            <w:vAlign w:val="bottom"/>
          </w:tcPr>
          <w:p>
            <w:pPr>
              <w:spacing w:after="0"/>
              <w:rPr>
                <w:sz w:val="20"/>
                <w:szCs w:val="20"/>
                <w:color w:val="auto"/>
              </w:rPr>
            </w:pPr>
          </w:p>
        </w:tc>
      </w:tr>
      <w:tr>
        <w:trPr>
          <w:trHeight w:val="182"/>
        </w:trPr>
        <w:tc>
          <w:tcPr>
            <w:tcW w:w="680" w:type="dxa"/>
            <w:vAlign w:val="bottom"/>
          </w:tcPr>
          <w:p>
            <w:pPr>
              <w:spacing w:after="0"/>
              <w:rPr>
                <w:sz w:val="15"/>
                <w:szCs w:val="15"/>
                <w:color w:val="auto"/>
              </w:rPr>
            </w:pPr>
          </w:p>
        </w:tc>
        <w:tc>
          <w:tcPr>
            <w:tcW w:w="9720" w:type="dxa"/>
            <w:vAlign w:val="bottom"/>
            <w:gridSpan w:val="10"/>
          </w:tcPr>
          <w:p>
            <w:pPr>
              <w:spacing w:after="0"/>
              <w:rPr>
                <w:sz w:val="20"/>
                <w:szCs w:val="20"/>
                <w:color w:val="auto"/>
              </w:rPr>
            </w:pPr>
            <w:r>
              <w:rPr>
                <w:rFonts w:ascii="Arial" w:cs="Arial" w:eastAsia="Arial" w:hAnsi="Arial"/>
                <w:sz w:val="14"/>
                <w:szCs w:val="14"/>
                <w:color w:val="auto"/>
              </w:rPr>
              <w:t>Item 7, “Management’s Discussion and Analysis of Financial Condition and Results of Operations.”</w:t>
            </w:r>
          </w:p>
        </w:tc>
        <w:tc>
          <w:tcPr>
            <w:tcW w:w="1060" w:type="dxa"/>
            <w:vAlign w:val="bottom"/>
          </w:tcPr>
          <w:p>
            <w:pPr>
              <w:spacing w:after="0"/>
              <w:rPr>
                <w:sz w:val="15"/>
                <w:szCs w:val="15"/>
                <w:color w:val="auto"/>
              </w:rPr>
            </w:pPr>
          </w:p>
        </w:tc>
      </w:tr>
      <w:tr>
        <w:trPr>
          <w:trHeight w:val="336"/>
        </w:trPr>
        <w:tc>
          <w:tcPr>
            <w:tcW w:w="680" w:type="dxa"/>
            <w:vAlign w:val="bottom"/>
          </w:tcPr>
          <w:p>
            <w:pPr>
              <w:spacing w:after="0"/>
              <w:rPr>
                <w:sz w:val="24"/>
                <w:szCs w:val="24"/>
                <w:color w:val="auto"/>
              </w:rPr>
            </w:pPr>
          </w:p>
        </w:tc>
        <w:tc>
          <w:tcPr>
            <w:tcW w:w="9720" w:type="dxa"/>
            <w:vAlign w:val="bottom"/>
            <w:gridSpan w:val="10"/>
          </w:tcPr>
          <w:p>
            <w:pPr>
              <w:spacing w:after="0"/>
              <w:rPr>
                <w:sz w:val="20"/>
                <w:szCs w:val="20"/>
                <w:color w:val="auto"/>
              </w:rPr>
            </w:pPr>
            <w:r>
              <w:rPr>
                <w:rFonts w:ascii="Arial" w:cs="Arial" w:eastAsia="Arial" w:hAnsi="Arial"/>
                <w:sz w:val="13"/>
                <w:szCs w:val="13"/>
                <w:b w:val="1"/>
                <w:bCs w:val="1"/>
                <w:color w:val="auto"/>
              </w:rPr>
              <w:t>Index to Financial Statements and Financial Statement Schedules</w:t>
            </w:r>
          </w:p>
        </w:tc>
        <w:tc>
          <w:tcPr>
            <w:tcW w:w="106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72"/>
        </w:trPr>
        <w:tc>
          <w:tcPr>
            <w:tcW w:w="680" w:type="dxa"/>
            <w:vAlign w:val="bottom"/>
          </w:tcPr>
          <w:p>
            <w:pPr>
              <w:spacing w:after="0"/>
              <w:rPr>
                <w:sz w:val="14"/>
                <w:szCs w:val="14"/>
                <w:color w:val="auto"/>
              </w:rPr>
            </w:pPr>
          </w:p>
        </w:tc>
        <w:tc>
          <w:tcPr>
            <w:tcW w:w="9720" w:type="dxa"/>
            <w:vAlign w:val="bottom"/>
            <w:gridSpan w:val="10"/>
          </w:tcPr>
          <w:p>
            <w:pPr>
              <w:spacing w:after="0"/>
              <w:rPr>
                <w:rFonts w:ascii="Arial" w:cs="Arial" w:eastAsia="Arial" w:hAnsi="Arial"/>
                <w:sz w:val="14"/>
                <w:szCs w:val="14"/>
                <w:color w:val="0000EE"/>
              </w:rPr>
            </w:pPr>
            <w:hyperlink w:anchor="page79">
              <w:r>
                <w:rPr>
                  <w:rFonts w:ascii="Arial" w:cs="Arial" w:eastAsia="Arial" w:hAnsi="Arial"/>
                  <w:sz w:val="14"/>
                  <w:szCs w:val="14"/>
                  <w:color w:val="0000EE"/>
                </w:rPr>
                <w:t>Report on Internal Control Over Financial Reporting</w:t>
              </w:r>
            </w:hyperlink>
          </w:p>
        </w:tc>
        <w:tc>
          <w:tcPr>
            <w:tcW w:w="1060" w:type="dxa"/>
            <w:vAlign w:val="bottom"/>
          </w:tcPr>
          <w:p>
            <w:pPr>
              <w:jc w:val="right"/>
              <w:ind w:right="730"/>
              <w:spacing w:after="0"/>
              <w:rPr>
                <w:sz w:val="20"/>
                <w:szCs w:val="20"/>
                <w:color w:val="auto"/>
              </w:rPr>
            </w:pPr>
            <w:r>
              <w:rPr>
                <w:rFonts w:ascii="Arial" w:cs="Arial" w:eastAsia="Arial" w:hAnsi="Arial"/>
                <w:sz w:val="14"/>
                <w:szCs w:val="14"/>
                <w:color w:val="auto"/>
              </w:rPr>
              <w:t>78</w:t>
            </w:r>
          </w:p>
        </w:tc>
      </w:tr>
      <w:tr>
        <w:trPr>
          <w:trHeight w:val="20"/>
        </w:trPr>
        <w:tc>
          <w:tcPr>
            <w:tcW w:w="680" w:type="dxa"/>
            <w:vAlign w:val="bottom"/>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9720" w:type="dxa"/>
            <w:vAlign w:val="bottom"/>
            <w:gridSpan w:val="10"/>
          </w:tcPr>
          <w:p>
            <w:pPr>
              <w:spacing w:after="0" w:line="147" w:lineRule="exact"/>
              <w:rPr>
                <w:rFonts w:ascii="Arial" w:cs="Arial" w:eastAsia="Arial" w:hAnsi="Arial"/>
                <w:sz w:val="14"/>
                <w:szCs w:val="14"/>
                <w:color w:val="0000EE"/>
              </w:rPr>
            </w:pPr>
            <w:hyperlink w:anchor="page80">
              <w:r>
                <w:rPr>
                  <w:rFonts w:ascii="Arial" w:cs="Arial" w:eastAsia="Arial" w:hAnsi="Arial"/>
                  <w:sz w:val="14"/>
                  <w:szCs w:val="14"/>
                  <w:color w:val="0000EE"/>
                </w:rPr>
                <w:t>Report of Independent Registered Public Accounting Firm</w:t>
              </w:r>
            </w:hyperlink>
          </w:p>
        </w:tc>
        <w:tc>
          <w:tcPr>
            <w:tcW w:w="1060" w:type="dxa"/>
            <w:vAlign w:val="bottom"/>
          </w:tcPr>
          <w:p>
            <w:pPr>
              <w:jc w:val="right"/>
              <w:ind w:right="730"/>
              <w:spacing w:after="0" w:line="147" w:lineRule="exact"/>
              <w:rPr>
                <w:sz w:val="20"/>
                <w:szCs w:val="20"/>
                <w:color w:val="auto"/>
              </w:rPr>
            </w:pPr>
            <w:r>
              <w:rPr>
                <w:rFonts w:ascii="Arial" w:cs="Arial" w:eastAsia="Arial" w:hAnsi="Arial"/>
                <w:sz w:val="14"/>
                <w:szCs w:val="14"/>
                <w:color w:val="auto"/>
              </w:rPr>
              <w:t>79</w:t>
            </w:r>
          </w:p>
        </w:tc>
      </w:tr>
      <w:tr>
        <w:trPr>
          <w:trHeight w:val="20"/>
        </w:trPr>
        <w:tc>
          <w:tcPr>
            <w:tcW w:w="680" w:type="dxa"/>
            <w:vAlign w:val="bottom"/>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9720" w:type="dxa"/>
            <w:vAlign w:val="bottom"/>
            <w:gridSpan w:val="10"/>
          </w:tcPr>
          <w:p>
            <w:pPr>
              <w:spacing w:after="0" w:line="147" w:lineRule="exact"/>
              <w:rPr>
                <w:rFonts w:ascii="Arial" w:cs="Arial" w:eastAsia="Arial" w:hAnsi="Arial"/>
                <w:sz w:val="14"/>
                <w:szCs w:val="14"/>
                <w:color w:val="0000EE"/>
              </w:rPr>
            </w:pPr>
            <w:hyperlink w:anchor="page82">
              <w:r>
                <w:rPr>
                  <w:rFonts w:ascii="Arial" w:cs="Arial" w:eastAsia="Arial" w:hAnsi="Arial"/>
                  <w:sz w:val="14"/>
                  <w:szCs w:val="14"/>
                  <w:color w:val="0000EE"/>
                </w:rPr>
                <w:t>Consolidated Balance Sheet — December 31, 2006 and 2005</w:t>
              </w:r>
            </w:hyperlink>
          </w:p>
        </w:tc>
        <w:tc>
          <w:tcPr>
            <w:tcW w:w="1060" w:type="dxa"/>
            <w:vAlign w:val="bottom"/>
          </w:tcPr>
          <w:p>
            <w:pPr>
              <w:jc w:val="right"/>
              <w:ind w:right="730"/>
              <w:spacing w:after="0" w:line="147" w:lineRule="exact"/>
              <w:rPr>
                <w:sz w:val="20"/>
                <w:szCs w:val="20"/>
                <w:color w:val="auto"/>
              </w:rPr>
            </w:pPr>
            <w:r>
              <w:rPr>
                <w:rFonts w:ascii="Arial" w:cs="Arial" w:eastAsia="Arial" w:hAnsi="Arial"/>
                <w:sz w:val="14"/>
                <w:szCs w:val="14"/>
                <w:color w:val="auto"/>
              </w:rPr>
              <w:t>81</w:t>
            </w:r>
          </w:p>
        </w:tc>
      </w:tr>
      <w:tr>
        <w:trPr>
          <w:trHeight w:val="20"/>
        </w:trPr>
        <w:tc>
          <w:tcPr>
            <w:tcW w:w="680" w:type="dxa"/>
            <w:vAlign w:val="bottom"/>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5020" w:type="dxa"/>
            <w:vAlign w:val="bottom"/>
            <w:tcBorders>
              <w:bottom w:val="single" w:sz="8" w:color="0000EE"/>
            </w:tcBorders>
            <w:gridSpan w:val="7"/>
          </w:tcPr>
          <w:p>
            <w:pPr>
              <w:spacing w:after="0" w:line="147" w:lineRule="exact"/>
              <w:rPr>
                <w:rFonts w:ascii="Arial" w:cs="Arial" w:eastAsia="Arial" w:hAnsi="Arial"/>
                <w:sz w:val="14"/>
                <w:szCs w:val="14"/>
                <w:color w:val="0000EE"/>
                <w:w w:val="91"/>
              </w:rPr>
            </w:pPr>
            <w:hyperlink w:anchor="page83">
              <w:r>
                <w:rPr>
                  <w:rFonts w:ascii="Arial" w:cs="Arial" w:eastAsia="Arial" w:hAnsi="Arial"/>
                  <w:sz w:val="14"/>
                  <w:szCs w:val="14"/>
                  <w:color w:val="0000EE"/>
                  <w:w w:val="91"/>
                </w:rPr>
                <w:t>Consolidated Statement of Income — Years ended December 31, 2006, 2005 and 2004</w:t>
              </w:r>
            </w:hyperlink>
          </w:p>
        </w:tc>
        <w:tc>
          <w:tcPr>
            <w:tcW w:w="4700" w:type="dxa"/>
            <w:vAlign w:val="bottom"/>
            <w:gridSpan w:val="3"/>
          </w:tcPr>
          <w:p>
            <w:pPr>
              <w:spacing w:after="0"/>
              <w:rPr>
                <w:sz w:val="12"/>
                <w:szCs w:val="12"/>
                <w:color w:val="auto"/>
              </w:rPr>
            </w:pPr>
          </w:p>
        </w:tc>
        <w:tc>
          <w:tcPr>
            <w:tcW w:w="1060" w:type="dxa"/>
            <w:vAlign w:val="bottom"/>
          </w:tcPr>
          <w:p>
            <w:pPr>
              <w:jc w:val="right"/>
              <w:ind w:right="730"/>
              <w:spacing w:after="0" w:line="147" w:lineRule="exact"/>
              <w:rPr>
                <w:sz w:val="20"/>
                <w:szCs w:val="20"/>
                <w:color w:val="auto"/>
              </w:rPr>
            </w:pPr>
            <w:r>
              <w:rPr>
                <w:rFonts w:ascii="Arial" w:cs="Arial" w:eastAsia="Arial" w:hAnsi="Arial"/>
                <w:sz w:val="14"/>
                <w:szCs w:val="14"/>
                <w:color w:val="auto"/>
              </w:rPr>
              <w:t>82</w:t>
            </w:r>
          </w:p>
        </w:tc>
      </w:tr>
      <w:tr>
        <w:trPr>
          <w:trHeight w:val="147"/>
        </w:trPr>
        <w:tc>
          <w:tcPr>
            <w:tcW w:w="680" w:type="dxa"/>
            <w:vAlign w:val="bottom"/>
          </w:tcPr>
          <w:p>
            <w:pPr>
              <w:spacing w:after="0"/>
              <w:rPr>
                <w:sz w:val="12"/>
                <w:szCs w:val="12"/>
                <w:color w:val="auto"/>
              </w:rPr>
            </w:pPr>
          </w:p>
        </w:tc>
        <w:tc>
          <w:tcPr>
            <w:tcW w:w="9720" w:type="dxa"/>
            <w:vAlign w:val="bottom"/>
            <w:gridSpan w:val="10"/>
          </w:tcPr>
          <w:p>
            <w:pPr>
              <w:spacing w:after="0" w:line="147" w:lineRule="exact"/>
              <w:rPr>
                <w:rFonts w:ascii="Arial" w:cs="Arial" w:eastAsia="Arial" w:hAnsi="Arial"/>
                <w:sz w:val="14"/>
                <w:szCs w:val="14"/>
                <w:color w:val="0000EE"/>
              </w:rPr>
            </w:pPr>
            <w:hyperlink w:anchor="page84">
              <w:r>
                <w:rPr>
                  <w:rFonts w:ascii="Arial" w:cs="Arial" w:eastAsia="Arial" w:hAnsi="Arial"/>
                  <w:sz w:val="14"/>
                  <w:szCs w:val="14"/>
                  <w:color w:val="0000EE"/>
                </w:rPr>
                <w:t>Consolidated Statement of Cash Flows — Years ended December 31, 2006, 2005 and 2004</w:t>
              </w:r>
            </w:hyperlink>
          </w:p>
        </w:tc>
        <w:tc>
          <w:tcPr>
            <w:tcW w:w="1060" w:type="dxa"/>
            <w:vAlign w:val="bottom"/>
          </w:tcPr>
          <w:p>
            <w:pPr>
              <w:jc w:val="right"/>
              <w:ind w:right="730"/>
              <w:spacing w:after="0" w:line="147" w:lineRule="exact"/>
              <w:rPr>
                <w:sz w:val="20"/>
                <w:szCs w:val="20"/>
                <w:color w:val="auto"/>
              </w:rPr>
            </w:pPr>
            <w:r>
              <w:rPr>
                <w:rFonts w:ascii="Arial" w:cs="Arial" w:eastAsia="Arial" w:hAnsi="Arial"/>
                <w:sz w:val="14"/>
                <w:szCs w:val="14"/>
                <w:color w:val="auto"/>
              </w:rPr>
              <w:t>83</w:t>
            </w:r>
          </w:p>
        </w:tc>
      </w:tr>
      <w:tr>
        <w:trPr>
          <w:trHeight w:val="20"/>
        </w:trPr>
        <w:tc>
          <w:tcPr>
            <w:tcW w:w="680" w:type="dxa"/>
            <w:vAlign w:val="bottom"/>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3520" w:type="dxa"/>
            <w:vAlign w:val="bottom"/>
            <w:gridSpan w:val="5"/>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47"/>
        </w:trPr>
        <w:tc>
          <w:tcPr>
            <w:tcW w:w="680" w:type="dxa"/>
            <w:vAlign w:val="bottom"/>
          </w:tcPr>
          <w:p>
            <w:pPr>
              <w:spacing w:after="0"/>
              <w:rPr>
                <w:sz w:val="12"/>
                <w:szCs w:val="12"/>
                <w:color w:val="auto"/>
              </w:rPr>
            </w:pPr>
          </w:p>
        </w:tc>
        <w:tc>
          <w:tcPr>
            <w:tcW w:w="9720" w:type="dxa"/>
            <w:vAlign w:val="bottom"/>
            <w:gridSpan w:val="10"/>
          </w:tcPr>
          <w:p>
            <w:pPr>
              <w:spacing w:after="0" w:line="147" w:lineRule="exact"/>
              <w:rPr>
                <w:rFonts w:ascii="Arial" w:cs="Arial" w:eastAsia="Arial" w:hAnsi="Arial"/>
                <w:sz w:val="14"/>
                <w:szCs w:val="14"/>
                <w:color w:val="0000EE"/>
              </w:rPr>
            </w:pPr>
            <w:hyperlink w:anchor="page85">
              <w:r>
                <w:rPr>
                  <w:rFonts w:ascii="Arial" w:cs="Arial" w:eastAsia="Arial" w:hAnsi="Arial"/>
                  <w:sz w:val="14"/>
                  <w:szCs w:val="14"/>
                  <w:color w:val="0000EE"/>
                </w:rPr>
                <w:t>Consolidated Statement of Changes in Stockholders’ Equity — Years ended December 31, 2006, 2005 and 2004</w:t>
              </w:r>
            </w:hyperlink>
          </w:p>
        </w:tc>
        <w:tc>
          <w:tcPr>
            <w:tcW w:w="1060" w:type="dxa"/>
            <w:vAlign w:val="bottom"/>
          </w:tcPr>
          <w:p>
            <w:pPr>
              <w:jc w:val="right"/>
              <w:ind w:right="730"/>
              <w:spacing w:after="0" w:line="147" w:lineRule="exact"/>
              <w:rPr>
                <w:sz w:val="20"/>
                <w:szCs w:val="20"/>
                <w:color w:val="auto"/>
              </w:rPr>
            </w:pPr>
            <w:r>
              <w:rPr>
                <w:rFonts w:ascii="Arial" w:cs="Arial" w:eastAsia="Arial" w:hAnsi="Arial"/>
                <w:sz w:val="14"/>
                <w:szCs w:val="14"/>
                <w:color w:val="auto"/>
              </w:rPr>
              <w:t>84</w:t>
            </w:r>
          </w:p>
        </w:tc>
      </w:tr>
      <w:tr>
        <w:trPr>
          <w:trHeight w:val="147"/>
        </w:trPr>
        <w:tc>
          <w:tcPr>
            <w:tcW w:w="680" w:type="dxa"/>
            <w:vAlign w:val="bottom"/>
          </w:tcPr>
          <w:p>
            <w:pPr>
              <w:spacing w:after="0"/>
              <w:rPr>
                <w:sz w:val="12"/>
                <w:szCs w:val="12"/>
                <w:color w:val="auto"/>
              </w:rPr>
            </w:pPr>
          </w:p>
        </w:tc>
        <w:tc>
          <w:tcPr>
            <w:tcW w:w="6480" w:type="dxa"/>
            <w:vAlign w:val="bottom"/>
            <w:tcBorders>
              <w:top w:val="single" w:sz="8" w:color="0000EE"/>
            </w:tcBorders>
            <w:gridSpan w:val="9"/>
          </w:tcPr>
          <w:p>
            <w:pPr>
              <w:spacing w:after="0" w:line="147" w:lineRule="exact"/>
              <w:rPr>
                <w:rFonts w:ascii="Arial" w:cs="Arial" w:eastAsia="Arial" w:hAnsi="Arial"/>
                <w:sz w:val="14"/>
                <w:szCs w:val="14"/>
                <w:color w:val="0000EE"/>
              </w:rPr>
            </w:pPr>
            <w:hyperlink w:anchor="page86">
              <w:r>
                <w:rPr>
                  <w:rFonts w:ascii="Arial" w:cs="Arial" w:eastAsia="Arial" w:hAnsi="Arial"/>
                  <w:sz w:val="14"/>
                  <w:szCs w:val="14"/>
                  <w:color w:val="0000EE"/>
                </w:rPr>
                <w:t>Notes to Financial Statements</w:t>
              </w:r>
            </w:hyperlink>
          </w:p>
        </w:tc>
        <w:tc>
          <w:tcPr>
            <w:tcW w:w="3240" w:type="dxa"/>
            <w:vAlign w:val="bottom"/>
          </w:tcPr>
          <w:p>
            <w:pPr>
              <w:spacing w:after="0"/>
              <w:rPr>
                <w:sz w:val="12"/>
                <w:szCs w:val="12"/>
                <w:color w:val="auto"/>
              </w:rPr>
            </w:pPr>
          </w:p>
        </w:tc>
        <w:tc>
          <w:tcPr>
            <w:tcW w:w="1060" w:type="dxa"/>
            <w:vAlign w:val="bottom"/>
          </w:tcPr>
          <w:p>
            <w:pPr>
              <w:jc w:val="right"/>
              <w:ind w:right="730"/>
              <w:spacing w:after="0" w:line="147" w:lineRule="exact"/>
              <w:rPr>
                <w:sz w:val="20"/>
                <w:szCs w:val="20"/>
                <w:color w:val="auto"/>
              </w:rPr>
            </w:pPr>
            <w:r>
              <w:rPr>
                <w:rFonts w:ascii="Arial" w:cs="Arial" w:eastAsia="Arial" w:hAnsi="Arial"/>
                <w:sz w:val="14"/>
                <w:szCs w:val="14"/>
                <w:color w:val="auto"/>
              </w:rPr>
              <w:t>85</w:t>
            </w:r>
          </w:p>
        </w:tc>
      </w:tr>
      <w:tr>
        <w:trPr>
          <w:trHeight w:val="319"/>
        </w:trPr>
        <w:tc>
          <w:tcPr>
            <w:tcW w:w="6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060" w:type="dxa"/>
            <w:vAlign w:val="bottom"/>
          </w:tcPr>
          <w:p>
            <w:pPr>
              <w:jc w:val="right"/>
              <w:ind w:right="730"/>
              <w:spacing w:after="0"/>
              <w:rPr>
                <w:sz w:val="20"/>
                <w:szCs w:val="20"/>
                <w:color w:val="auto"/>
              </w:rPr>
            </w:pPr>
            <w:r>
              <w:rPr>
                <w:rFonts w:ascii="Arial" w:cs="Arial" w:eastAsia="Arial" w:hAnsi="Arial"/>
                <w:sz w:val="12"/>
                <w:szCs w:val="12"/>
                <w:color w:val="auto"/>
              </w:rPr>
              <w:t>77</w:t>
            </w:r>
          </w:p>
        </w:tc>
      </w:tr>
      <w:tr>
        <w:trPr>
          <w:trHeight w:val="167"/>
        </w:trPr>
        <w:tc>
          <w:tcPr>
            <w:tcW w:w="6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120" w:type="dxa"/>
            <w:vAlign w:val="bottom"/>
            <w:tcBorders>
              <w:bottom w:val="single" w:sz="8" w:color="808080"/>
            </w:tcBorders>
          </w:tcPr>
          <w:p>
            <w:pPr>
              <w:spacing w:after="0"/>
              <w:rPr>
                <w:sz w:val="14"/>
                <w:szCs w:val="14"/>
                <w:color w:val="auto"/>
              </w:rPr>
            </w:pPr>
          </w:p>
        </w:tc>
        <w:tc>
          <w:tcPr>
            <w:tcW w:w="130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4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220" w:type="dxa"/>
            <w:vAlign w:val="bottom"/>
            <w:tcBorders>
              <w:bottom w:val="single" w:sz="8" w:color="808080"/>
            </w:tcBorders>
          </w:tcPr>
          <w:p>
            <w:pPr>
              <w:spacing w:after="0"/>
              <w:rPr>
                <w:sz w:val="14"/>
                <w:szCs w:val="14"/>
                <w:color w:val="auto"/>
              </w:rPr>
            </w:pPr>
          </w:p>
        </w:tc>
        <w:tc>
          <w:tcPr>
            <w:tcW w:w="3240" w:type="dxa"/>
            <w:vAlign w:val="bottom"/>
            <w:tcBorders>
              <w:bottom w:val="single" w:sz="8" w:color="808080"/>
            </w:tcBorders>
          </w:tcPr>
          <w:p>
            <w:pPr>
              <w:spacing w:after="0"/>
              <w:rPr>
                <w:sz w:val="14"/>
                <w:szCs w:val="14"/>
                <w:color w:val="auto"/>
              </w:rPr>
            </w:pPr>
          </w:p>
        </w:tc>
        <w:tc>
          <w:tcPr>
            <w:tcW w:w="106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Report on Internal Control Over Financial Reporting</w:t>
      </w:r>
    </w:p>
    <w:p>
      <w:pPr>
        <w:spacing w:after="0" w:line="99" w:lineRule="exact"/>
        <w:rPr>
          <w:sz w:val="20"/>
          <w:szCs w:val="20"/>
          <w:color w:val="auto"/>
        </w:rPr>
      </w:pPr>
    </w:p>
    <w:p>
      <w:pPr>
        <w:ind w:left="680"/>
        <w:spacing w:after="0" w:line="253" w:lineRule="auto"/>
        <w:rPr>
          <w:sz w:val="20"/>
          <w:szCs w:val="20"/>
          <w:color w:val="auto"/>
        </w:rPr>
      </w:pPr>
      <w:r>
        <w:rPr>
          <w:rFonts w:ascii="Arial" w:cs="Arial" w:eastAsia="Arial" w:hAnsi="Arial"/>
          <w:sz w:val="14"/>
          <w:szCs w:val="14"/>
          <w:color w:val="auto"/>
        </w:rPr>
        <w:t>Management is responsible for establishing and maintaining adequate internal control over financial reporting at M</w:t>
      </w:r>
      <w:r>
        <w:rPr>
          <w:rFonts w:ascii="Arial" w:cs="Arial" w:eastAsia="Arial" w:hAnsi="Arial"/>
          <w:sz w:val="13"/>
          <w:szCs w:val="13"/>
          <w:color w:val="auto"/>
        </w:rPr>
        <w:t>&amp;</w:t>
      </w:r>
      <w:r>
        <w:rPr>
          <w:rFonts w:ascii="Arial" w:cs="Arial" w:eastAsia="Arial" w:hAnsi="Arial"/>
          <w:sz w:val="14"/>
          <w:szCs w:val="14"/>
          <w:color w:val="auto"/>
        </w:rPr>
        <w:t>T Bank Corporation and subsidiaries (“the Company”). Management has assessed the effectiveness of the Company’s internal control over financial reporting as of December 31, 2006 based on criteria described in “Internal Control-Integrated Framework” issued by the Committee of Sponsoring Organizations of the Treadway Commission. Based on that assessment, management concluded that the Company maintained effective internal control over financial reporting as of December 31, 2006.</w:t>
      </w:r>
    </w:p>
    <w:p>
      <w:pPr>
        <w:spacing w:after="0" w:line="2" w:lineRule="exact"/>
        <w:rPr>
          <w:sz w:val="20"/>
          <w:szCs w:val="20"/>
          <w:color w:val="auto"/>
        </w:rPr>
      </w:pPr>
    </w:p>
    <w:p>
      <w:pPr>
        <w:ind w:left="680" w:right="20" w:firstLine="599"/>
        <w:spacing w:after="0" w:line="285" w:lineRule="auto"/>
        <w:rPr>
          <w:sz w:val="20"/>
          <w:szCs w:val="20"/>
          <w:color w:val="auto"/>
        </w:rPr>
      </w:pPr>
      <w:r>
        <w:rPr>
          <w:rFonts w:ascii="Arial" w:cs="Arial" w:eastAsia="Arial" w:hAnsi="Arial"/>
          <w:sz w:val="13"/>
          <w:szCs w:val="13"/>
          <w:color w:val="auto"/>
        </w:rPr>
        <w:t>The consolidated financial statements of the Company have been audited by PricewaterhouseCoopers LLP, an independent registered public accounting firm, that was engaged to express an opinion as to the fairness of presentation of such financial statements. PricewaterhouseCoopers LLP was also engaged to audit management’s assessment of the effectiveness of the Company’s internal control over financial reporting. The report of PricewaterhouseCoopers LLP follows this report.</w:t>
      </w:r>
    </w:p>
    <w:p>
      <w:pPr>
        <w:spacing w:after="0" w:line="281" w:lineRule="exact"/>
        <w:rPr>
          <w:sz w:val="20"/>
          <w:szCs w:val="20"/>
          <w:color w:val="auto"/>
        </w:rPr>
      </w:pPr>
    </w:p>
    <w:p>
      <w:pPr>
        <w:ind w:left="7220"/>
        <w:spacing w:after="0"/>
        <w:rPr>
          <w:sz w:val="20"/>
          <w:szCs w:val="20"/>
          <w:color w:val="auto"/>
        </w:rPr>
      </w:pPr>
      <w:r>
        <w:rPr>
          <w:rFonts w:ascii="Arial" w:cs="Arial" w:eastAsia="Arial" w:hAnsi="Arial"/>
          <w:sz w:val="14"/>
          <w:szCs w:val="14"/>
          <w:color w:val="auto"/>
        </w:rPr>
        <w:t>M</w:t>
      </w:r>
      <w:r>
        <w:rPr>
          <w:rFonts w:ascii="Arial" w:cs="Arial" w:eastAsia="Arial" w:hAnsi="Arial"/>
          <w:sz w:val="13"/>
          <w:szCs w:val="13"/>
          <w:color w:val="auto"/>
        </w:rPr>
        <w:t>&amp;</w:t>
      </w:r>
      <w:r>
        <w:rPr>
          <w:rFonts w:ascii="Arial" w:cs="Arial" w:eastAsia="Arial" w:hAnsi="Arial"/>
          <w:sz w:val="14"/>
          <w:szCs w:val="14"/>
          <w:color w:val="auto"/>
        </w:rPr>
        <w:t>T BANK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4262120</wp:posOffset>
            </wp:positionH>
            <wp:positionV relativeFrom="paragraph">
              <wp:posOffset>217805</wp:posOffset>
            </wp:positionV>
            <wp:extent cx="1784985" cy="2870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84985" cy="287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left="4780"/>
        <w:spacing w:after="0"/>
        <w:rPr>
          <w:sz w:val="20"/>
          <w:szCs w:val="20"/>
          <w:color w:val="auto"/>
        </w:rPr>
      </w:pPr>
      <w:r>
        <w:rPr>
          <w:rFonts w:ascii="Arial" w:cs="Arial" w:eastAsia="Arial" w:hAnsi="Arial"/>
          <w:sz w:val="14"/>
          <w:szCs w:val="14"/>
          <w:color w:val="auto"/>
        </w:rPr>
        <w:t>R</w:t>
      </w:r>
      <w:r>
        <w:rPr>
          <w:rFonts w:ascii="Arial" w:cs="Arial" w:eastAsia="Arial" w:hAnsi="Arial"/>
          <w:sz w:val="9"/>
          <w:szCs w:val="9"/>
          <w:color w:val="auto"/>
        </w:rPr>
        <w:t>OBERT</w:t>
      </w:r>
      <w:r>
        <w:rPr>
          <w:rFonts w:ascii="Arial" w:cs="Arial" w:eastAsia="Arial" w:hAnsi="Arial"/>
          <w:sz w:val="14"/>
          <w:szCs w:val="14"/>
          <w:color w:val="auto"/>
        </w:rPr>
        <w:t xml:space="preserve"> G. W</w:t>
      </w:r>
      <w:r>
        <w:rPr>
          <w:rFonts w:ascii="Arial" w:cs="Arial" w:eastAsia="Arial" w:hAnsi="Arial"/>
          <w:sz w:val="9"/>
          <w:szCs w:val="9"/>
          <w:color w:val="auto"/>
        </w:rPr>
        <w:t>ILMERS</w:t>
      </w:r>
    </w:p>
    <w:p>
      <w:pPr>
        <w:spacing w:after="0" w:line="18" w:lineRule="exact"/>
        <w:rPr>
          <w:sz w:val="20"/>
          <w:szCs w:val="20"/>
          <w:color w:val="auto"/>
        </w:rPr>
      </w:pPr>
    </w:p>
    <w:p>
      <w:pPr>
        <w:ind w:left="6640"/>
        <w:spacing w:after="0"/>
        <w:rPr>
          <w:sz w:val="20"/>
          <w:szCs w:val="20"/>
          <w:color w:val="auto"/>
        </w:rPr>
      </w:pPr>
      <w:r>
        <w:rPr>
          <w:rFonts w:ascii="Arial" w:cs="Arial" w:eastAsia="Arial" w:hAnsi="Arial"/>
          <w:sz w:val="14"/>
          <w:szCs w:val="14"/>
          <w:i w:val="1"/>
          <w:iCs w:val="1"/>
          <w:color w:val="auto"/>
        </w:rPr>
        <w:t>Chairman of the Board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4686300</wp:posOffset>
            </wp:positionH>
            <wp:positionV relativeFrom="paragraph">
              <wp:posOffset>210185</wp:posOffset>
            </wp:positionV>
            <wp:extent cx="935990" cy="4806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35990" cy="480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4780"/>
        <w:spacing w:after="0"/>
        <w:rPr>
          <w:sz w:val="20"/>
          <w:szCs w:val="20"/>
          <w:color w:val="auto"/>
        </w:rPr>
      </w:pPr>
      <w:r>
        <w:rPr>
          <w:rFonts w:ascii="Arial" w:cs="Arial" w:eastAsia="Arial" w:hAnsi="Arial"/>
          <w:sz w:val="14"/>
          <w:szCs w:val="14"/>
          <w:color w:val="auto"/>
        </w:rPr>
        <w:t>R</w:t>
      </w:r>
      <w:r>
        <w:rPr>
          <w:rFonts w:ascii="Arial" w:cs="Arial" w:eastAsia="Arial" w:hAnsi="Arial"/>
          <w:sz w:val="9"/>
          <w:szCs w:val="9"/>
          <w:color w:val="auto"/>
        </w:rPr>
        <w:t>ENÉ</w:t>
      </w:r>
      <w:r>
        <w:rPr>
          <w:rFonts w:ascii="Arial" w:cs="Arial" w:eastAsia="Arial" w:hAnsi="Arial"/>
          <w:sz w:val="14"/>
          <w:szCs w:val="14"/>
          <w:color w:val="auto"/>
        </w:rPr>
        <w:t xml:space="preserve"> F. J</w:t>
      </w:r>
      <w:r>
        <w:rPr>
          <w:rFonts w:ascii="Arial" w:cs="Arial" w:eastAsia="Arial" w:hAnsi="Arial"/>
          <w:sz w:val="9"/>
          <w:szCs w:val="9"/>
          <w:color w:val="auto"/>
        </w:rPr>
        <w:t>ONES</w:t>
      </w:r>
    </w:p>
    <w:p>
      <w:pPr>
        <w:spacing w:after="0" w:line="18" w:lineRule="exact"/>
        <w:rPr>
          <w:sz w:val="20"/>
          <w:szCs w:val="20"/>
          <w:color w:val="auto"/>
        </w:rPr>
      </w:pPr>
    </w:p>
    <w:p>
      <w:pPr>
        <w:ind w:left="6580"/>
        <w:spacing w:after="0"/>
        <w:rPr>
          <w:sz w:val="20"/>
          <w:szCs w:val="20"/>
          <w:color w:val="auto"/>
        </w:rPr>
      </w:pPr>
      <w:r>
        <w:rPr>
          <w:rFonts w:ascii="Arial" w:cs="Arial" w:eastAsia="Arial" w:hAnsi="Arial"/>
          <w:sz w:val="14"/>
          <w:szCs w:val="14"/>
          <w:i w:val="1"/>
          <w:iCs w:val="1"/>
          <w:color w:val="auto"/>
        </w:rPr>
        <w:t>Executive Vice President and Chief Financial Officer</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0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 the Board of Directors and Stockholders of</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M&amp;</w:t>
      </w:r>
      <w:r>
        <w:rPr>
          <w:rFonts w:ascii="Arial" w:cs="Arial" w:eastAsia="Arial" w:hAnsi="Arial"/>
          <w:sz w:val="14"/>
          <w:szCs w:val="14"/>
          <w:color w:val="auto"/>
        </w:rPr>
        <w:t>T Bank Corporation:</w:t>
      </w:r>
    </w:p>
    <w:p>
      <w:pPr>
        <w:spacing w:after="0" w:line="83" w:lineRule="exact"/>
        <w:rPr>
          <w:sz w:val="20"/>
          <w:szCs w:val="20"/>
          <w:color w:val="auto"/>
        </w:rPr>
      </w:pPr>
    </w:p>
    <w:p>
      <w:pPr>
        <w:ind w:left="680" w:right="180"/>
        <w:spacing w:after="0" w:line="321" w:lineRule="auto"/>
        <w:rPr>
          <w:sz w:val="20"/>
          <w:szCs w:val="20"/>
          <w:color w:val="auto"/>
        </w:rPr>
      </w:pPr>
      <w:r>
        <w:rPr>
          <w:rFonts w:ascii="Arial" w:cs="Arial" w:eastAsia="Arial" w:hAnsi="Arial"/>
          <w:sz w:val="13"/>
          <w:szCs w:val="13"/>
          <w:color w:val="auto"/>
        </w:rPr>
        <w:t>We have completed integrated audits of M</w:t>
      </w:r>
      <w:r>
        <w:rPr>
          <w:rFonts w:ascii="Arial" w:cs="Arial" w:eastAsia="Arial" w:hAnsi="Arial"/>
          <w:sz w:val="12"/>
          <w:szCs w:val="12"/>
          <w:color w:val="auto"/>
        </w:rPr>
        <w:t>&amp;</w:t>
      </w:r>
      <w:r>
        <w:rPr>
          <w:rFonts w:ascii="Arial" w:cs="Arial" w:eastAsia="Arial" w:hAnsi="Arial"/>
          <w:sz w:val="13"/>
          <w:szCs w:val="13"/>
          <w:color w:val="auto"/>
        </w:rPr>
        <w:t>T Bank Corporation’s consolidated financial statements and of its internal control over financial reporting as of December 31, 2006 in accordance with the standards of the Public Company Accounting Oversight Board (United States). Our opinions, based on our audits, are presented below.</w:t>
      </w:r>
    </w:p>
    <w:p>
      <w:pPr>
        <w:spacing w:after="0" w:line="9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Consolidated financial statements</w:t>
      </w:r>
    </w:p>
    <w:p>
      <w:pPr>
        <w:spacing w:after="0" w:line="22" w:lineRule="exact"/>
        <w:rPr>
          <w:sz w:val="20"/>
          <w:szCs w:val="20"/>
          <w:color w:val="auto"/>
        </w:rPr>
      </w:pPr>
    </w:p>
    <w:p>
      <w:pPr>
        <w:ind w:left="680" w:right="40"/>
        <w:spacing w:after="0" w:line="273" w:lineRule="auto"/>
        <w:rPr>
          <w:sz w:val="20"/>
          <w:szCs w:val="20"/>
          <w:color w:val="auto"/>
        </w:rPr>
      </w:pPr>
      <w:r>
        <w:rPr>
          <w:rFonts w:ascii="Arial" w:cs="Arial" w:eastAsia="Arial" w:hAnsi="Arial"/>
          <w:sz w:val="13"/>
          <w:szCs w:val="13"/>
          <w:color w:val="auto"/>
        </w:rPr>
        <w:t>In our opinion, the consolidated financial statements listed in the accompanying index present fairly, in all material respects, the financial position of M</w:t>
      </w:r>
      <w:r>
        <w:rPr>
          <w:rFonts w:ascii="Arial" w:cs="Arial" w:eastAsia="Arial" w:hAnsi="Arial"/>
          <w:sz w:val="12"/>
          <w:szCs w:val="12"/>
          <w:color w:val="auto"/>
        </w:rPr>
        <w:t>&amp;</w:t>
      </w:r>
      <w:r>
        <w:rPr>
          <w:rFonts w:ascii="Arial" w:cs="Arial" w:eastAsia="Arial" w:hAnsi="Arial"/>
          <w:sz w:val="13"/>
          <w:szCs w:val="13"/>
          <w:color w:val="auto"/>
        </w:rPr>
        <w:t>T Bank Corporation and subsidiaries (the “Company”) at December 31, 2006 and 2005, and the results of its operations and its cash flows for each of the three years in the period ended December 31, 2006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27"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Internal control over financial reporting</w:t>
      </w:r>
    </w:p>
    <w:p>
      <w:pPr>
        <w:spacing w:after="0" w:line="22" w:lineRule="exact"/>
        <w:rPr>
          <w:sz w:val="20"/>
          <w:szCs w:val="20"/>
          <w:color w:val="auto"/>
        </w:rPr>
      </w:pPr>
    </w:p>
    <w:p>
      <w:pPr>
        <w:ind w:left="680" w:right="80"/>
        <w:spacing w:after="0" w:line="250" w:lineRule="auto"/>
        <w:rPr>
          <w:sz w:val="20"/>
          <w:szCs w:val="20"/>
          <w:color w:val="auto"/>
        </w:rPr>
      </w:pPr>
      <w:r>
        <w:rPr>
          <w:rFonts w:ascii="Arial" w:cs="Arial" w:eastAsia="Arial" w:hAnsi="Arial"/>
          <w:sz w:val="14"/>
          <w:szCs w:val="14"/>
          <w:color w:val="auto"/>
        </w:rPr>
        <w:t xml:space="preserve">Also, in our opinion, management’s assessment, included in the Report on Internal Control Over Financial Reporting appearing under Item 8, that the Company maintained effective internal control over financial reporting as of December 31, 2006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issued by the Committee of Sponsoring Organizations of the Treadway Commission (“COSO”), is fairly stated, in all material respects, based on those criteria. Furthermore, in our opinion, the Company maintained, in all material respects, effective internal control over financial reporting as of December 31, 2006, based on criteria established in </w:t>
      </w:r>
      <w:r>
        <w:rPr>
          <w:rFonts w:ascii="Arial" w:cs="Arial" w:eastAsia="Arial" w:hAnsi="Arial"/>
          <w:sz w:val="14"/>
          <w:szCs w:val="14"/>
          <w:i w:val="1"/>
          <w:iCs w:val="1"/>
          <w:color w:val="auto"/>
        </w:rPr>
        <w:t xml:space="preserve">Internal Control — Integrated Framework </w:t>
      </w:r>
      <w:r>
        <w:rPr>
          <w:rFonts w:ascii="Arial" w:cs="Arial" w:eastAsia="Arial" w:hAnsi="Arial"/>
          <w:sz w:val="14"/>
          <w:szCs w:val="14"/>
          <w:color w:val="auto"/>
        </w:rPr>
        <w:t>issued by the COSO. The Company’s management is responsible for maintaining effective internal control over financial</w:t>
      </w:r>
      <w:r>
        <w:rPr>
          <w:rFonts w:ascii="Arial" w:cs="Arial" w:eastAsia="Arial" w:hAnsi="Arial"/>
          <w:sz w:val="14"/>
          <w:szCs w:val="14"/>
          <w:i w:val="1"/>
          <w:iCs w:val="1"/>
          <w:color w:val="auto"/>
        </w:rPr>
        <w:t xml:space="preserve"> </w:t>
      </w:r>
      <w:r>
        <w:rPr>
          <w:rFonts w:ascii="Arial" w:cs="Arial" w:eastAsia="Arial" w:hAnsi="Arial"/>
          <w:sz w:val="14"/>
          <w:szCs w:val="14"/>
          <w:color w:val="auto"/>
        </w:rPr>
        <w:t>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0" w:lineRule="exact"/>
        <w:rPr>
          <w:sz w:val="20"/>
          <w:szCs w:val="20"/>
          <w:color w:val="auto"/>
        </w:rPr>
      </w:pPr>
    </w:p>
    <w:p>
      <w:pPr>
        <w:spacing w:after="0" w:line="289" w:lineRule="exact"/>
        <w:rPr>
          <w:sz w:val="20"/>
          <w:szCs w:val="20"/>
          <w:color w:val="auto"/>
        </w:rPr>
      </w:pPr>
    </w:p>
    <w:p>
      <w:pPr>
        <w:ind w:left="680" w:right="20"/>
        <w:spacing w:after="0" w:line="254"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65" w:lineRule="exact"/>
        <w:rPr>
          <w:sz w:val="20"/>
          <w:szCs w:val="20"/>
          <w:color w:val="auto"/>
        </w:rPr>
      </w:pPr>
    </w:p>
    <w:p>
      <w:pPr>
        <w:jc w:val="both"/>
        <w:ind w:left="680"/>
        <w:spacing w:after="0" w:line="265"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143510</wp:posOffset>
            </wp:positionV>
            <wp:extent cx="917575" cy="2247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17575" cy="2247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Buffalo, New York</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February 23, 2007</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Consolidated Balance Sheet</w:t>
      </w:r>
    </w:p>
    <w:p>
      <w:pPr>
        <w:spacing w:after="0" w:line="10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700" w:type="dxa"/>
            <w:vAlign w:val="bottom"/>
          </w:tcPr>
          <w:p>
            <w:pPr>
              <w:spacing w:after="0"/>
              <w:rPr>
                <w:sz w:val="20"/>
                <w:szCs w:val="20"/>
                <w:color w:val="auto"/>
              </w:rPr>
            </w:pPr>
            <w:r>
              <w:rPr>
                <w:rFonts w:ascii="Arial" w:cs="Arial" w:eastAsia="Arial" w:hAnsi="Arial"/>
                <w:sz w:val="10"/>
                <w:szCs w:val="10"/>
                <w:b w:val="1"/>
                <w:bCs w:val="1"/>
                <w:color w:val="auto"/>
              </w:rPr>
              <w:t>(Dollars in thousands, except per share)</w:t>
            </w: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tcPr>
          <w:p>
            <w:pPr>
              <w:jc w:val="right"/>
              <w:ind w:right="29"/>
              <w:spacing w:after="0"/>
              <w:rPr>
                <w:sz w:val="20"/>
                <w:szCs w:val="20"/>
                <w:color w:val="auto"/>
              </w:rPr>
            </w:pPr>
            <w:r>
              <w:rPr>
                <w:rFonts w:ascii="Arial" w:cs="Arial" w:eastAsia="Arial" w:hAnsi="Arial"/>
                <w:sz w:val="10"/>
                <w:szCs w:val="10"/>
                <w:b w:val="1"/>
                <w:bCs w:val="1"/>
                <w:color w:val="auto"/>
              </w:rPr>
              <w:t>December 31</w:t>
            </w:r>
          </w:p>
        </w:tc>
        <w:tc>
          <w:tcPr>
            <w:tcW w:w="7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269"/>
              <w:spacing w:after="0" w:line="98" w:lineRule="exact"/>
              <w:rPr>
                <w:sz w:val="20"/>
                <w:szCs w:val="20"/>
                <w:color w:val="auto"/>
              </w:rPr>
            </w:pPr>
            <w:r>
              <w:rPr>
                <w:rFonts w:ascii="Arial" w:cs="Arial" w:eastAsia="Arial" w:hAnsi="Arial"/>
                <w:sz w:val="10"/>
                <w:szCs w:val="10"/>
                <w:b w:val="1"/>
                <w:bCs w:val="1"/>
                <w:color w:val="auto"/>
              </w:rPr>
              <w:t>2006</w:t>
            </w: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268"/>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r>
      <w:tr>
        <w:trPr>
          <w:trHeight w:val="29"/>
        </w:trPr>
        <w:tc>
          <w:tcPr>
            <w:tcW w:w="7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Cash and due from banks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1,605,506</w:t>
            </w:r>
          </w:p>
        </w:tc>
        <w:tc>
          <w:tcPr>
            <w:tcW w:w="380" w:type="dxa"/>
            <w:vAlign w:val="bottom"/>
          </w:tcPr>
          <w:p>
            <w:pPr>
              <w:spacing w:after="0"/>
              <w:rPr>
                <w:sz w:val="14"/>
                <w:szCs w:val="14"/>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1,479,239</w:t>
            </w: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Interest-bearing deposits at banks</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6,639</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8,408</w:t>
            </w: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Federal funds sold</w:t>
            </w: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19,458</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11,220</w:t>
            </w: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Agreements to resell securities</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100,000</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Trading account</w:t>
            </w: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136,752</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191,617</w:t>
            </w: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Investment securities</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7700" w:type="dxa"/>
            <w:vAlign w:val="bottom"/>
          </w:tcPr>
          <w:p>
            <w:pPr>
              <w:ind w:left="140"/>
              <w:spacing w:after="0"/>
              <w:rPr>
                <w:sz w:val="20"/>
                <w:szCs w:val="20"/>
                <w:color w:val="auto"/>
              </w:rPr>
            </w:pPr>
            <w:r>
              <w:rPr>
                <w:rFonts w:ascii="Arial" w:cs="Arial" w:eastAsia="Arial" w:hAnsi="Arial"/>
                <w:sz w:val="14"/>
                <w:szCs w:val="14"/>
                <w:color w:val="auto"/>
              </w:rPr>
              <w:t>Available for sale (cost: $6,878,332 in 2006; $8,011,560 in 2005)</w:t>
            </w: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6,829,848</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7,931,703</w:t>
            </w:r>
          </w:p>
        </w:tc>
      </w:tr>
      <w:tr>
        <w:trPr>
          <w:trHeight w:val="167"/>
        </w:trPr>
        <w:tc>
          <w:tcPr>
            <w:tcW w:w="7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Held to maturity (market value: $66,729 in 2006; $102,880 in 2005)</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64,899</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101,059</w:t>
            </w:r>
          </w:p>
        </w:tc>
      </w:tr>
      <w:tr>
        <w:trPr>
          <w:trHeight w:val="167"/>
        </w:trPr>
        <w:tc>
          <w:tcPr>
            <w:tcW w:w="7700" w:type="dxa"/>
            <w:vAlign w:val="bottom"/>
          </w:tcPr>
          <w:p>
            <w:pPr>
              <w:ind w:left="140"/>
              <w:spacing w:after="0"/>
              <w:rPr>
                <w:sz w:val="20"/>
                <w:szCs w:val="20"/>
                <w:color w:val="auto"/>
              </w:rPr>
            </w:pPr>
            <w:r>
              <w:rPr>
                <w:rFonts w:ascii="Arial" w:cs="Arial" w:eastAsia="Arial" w:hAnsi="Arial"/>
                <w:sz w:val="14"/>
                <w:szCs w:val="14"/>
                <w:color w:val="auto"/>
              </w:rPr>
              <w:t>Other (market value: $356,851 in 2006; $367,402 in 2005)</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356,851</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367,402</w:t>
            </w:r>
          </w:p>
        </w:tc>
      </w:tr>
      <w:tr>
        <w:trPr>
          <w:trHeight w:val="20"/>
        </w:trPr>
        <w:tc>
          <w:tcPr>
            <w:tcW w:w="7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7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investment securities</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7,251,598</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8,400,164</w:t>
            </w: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Loans and leases</w:t>
            </w: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43,206,954</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40,553,691</w:t>
            </w:r>
          </w:p>
        </w:tc>
        <w:tc>
          <w:tcPr>
            <w:tcW w:w="100" w:type="dxa"/>
            <w:vAlign w:val="bottom"/>
          </w:tcPr>
          <w:p>
            <w:pPr>
              <w:spacing w:after="0"/>
              <w:rPr>
                <w:sz w:val="14"/>
                <w:szCs w:val="14"/>
                <w:color w:val="auto"/>
              </w:rPr>
            </w:pPr>
          </w:p>
        </w:tc>
      </w:tr>
      <w:tr>
        <w:trPr>
          <w:trHeight w:val="167"/>
        </w:trPr>
        <w:tc>
          <w:tcPr>
            <w:tcW w:w="7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Unearned discount</w:t>
            </w:r>
          </w:p>
        </w:tc>
        <w:tc>
          <w:tcPr>
            <w:tcW w:w="16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(259,657)</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(223,046)</w:t>
            </w:r>
          </w:p>
        </w:tc>
      </w:tr>
      <w:tr>
        <w:trPr>
          <w:trHeight w:val="167"/>
        </w:trPr>
        <w:tc>
          <w:tcPr>
            <w:tcW w:w="7700" w:type="dxa"/>
            <w:vAlign w:val="bottom"/>
          </w:tcPr>
          <w:p>
            <w:pPr>
              <w:ind w:left="140"/>
              <w:spacing w:after="0"/>
              <w:rPr>
                <w:sz w:val="20"/>
                <w:szCs w:val="20"/>
                <w:color w:val="auto"/>
              </w:rPr>
            </w:pPr>
            <w:r>
              <w:rPr>
                <w:rFonts w:ascii="Arial" w:cs="Arial" w:eastAsia="Arial" w:hAnsi="Arial"/>
                <w:sz w:val="14"/>
                <w:szCs w:val="14"/>
                <w:color w:val="auto"/>
              </w:rPr>
              <w:t>Allowance for credit losses</w:t>
            </w:r>
          </w:p>
        </w:tc>
        <w:tc>
          <w:tcPr>
            <w:tcW w:w="160" w:type="dxa"/>
            <w:vAlign w:val="bottom"/>
          </w:tcPr>
          <w:p>
            <w:pPr>
              <w:spacing w:after="0"/>
              <w:rPr>
                <w:sz w:val="14"/>
                <w:szCs w:val="14"/>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4"/>
                <w:szCs w:val="14"/>
                <w:color w:val="auto"/>
              </w:rPr>
              <w:t>(649,948)</w:t>
            </w:r>
          </w:p>
        </w:tc>
        <w:tc>
          <w:tcPr>
            <w:tcW w:w="16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(637,663)</w:t>
            </w:r>
          </w:p>
        </w:tc>
      </w:tr>
      <w:tr>
        <w:trPr>
          <w:trHeight w:val="20"/>
        </w:trPr>
        <w:tc>
          <w:tcPr>
            <w:tcW w:w="7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7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Loans and leases, net</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42,297,349</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39,692,982</w:t>
            </w: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Premises and equipment</w:t>
            </w: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335,008</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337,115</w:t>
            </w:r>
          </w:p>
        </w:tc>
        <w:tc>
          <w:tcPr>
            <w:tcW w:w="100" w:type="dxa"/>
            <w:vAlign w:val="bottom"/>
          </w:tcPr>
          <w:p>
            <w:pPr>
              <w:spacing w:after="0"/>
              <w:rPr>
                <w:sz w:val="14"/>
                <w:szCs w:val="14"/>
                <w:color w:val="auto"/>
              </w:rPr>
            </w:pP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2,908,849</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2,904,081</w:t>
            </w: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Core deposit and other intangible assets</w:t>
            </w: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250,233</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108,260</w:t>
            </w: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Accrued interest and other assets</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2,153,513</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2,013,320</w:t>
            </w:r>
          </w:p>
        </w:tc>
      </w:tr>
      <w:tr>
        <w:trPr>
          <w:trHeight w:val="176"/>
        </w:trPr>
        <w:tc>
          <w:tcPr>
            <w:tcW w:w="7700" w:type="dxa"/>
            <w:vAlign w:val="bottom"/>
          </w:tcPr>
          <w:p>
            <w:pPr>
              <w:ind w:left="280"/>
              <w:spacing w:after="0"/>
              <w:rPr>
                <w:sz w:val="20"/>
                <w:szCs w:val="20"/>
                <w:color w:val="auto"/>
              </w:rPr>
            </w:pPr>
            <w:r>
              <w:rPr>
                <w:rFonts w:ascii="Arial" w:cs="Arial" w:eastAsia="Arial" w:hAnsi="Arial"/>
                <w:sz w:val="14"/>
                <w:szCs w:val="14"/>
                <w:color w:val="auto"/>
              </w:rPr>
              <w:t>Total assets</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57,064,905</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55,146,406</w:t>
            </w:r>
          </w:p>
        </w:tc>
        <w:tc>
          <w:tcPr>
            <w:tcW w:w="100" w:type="dxa"/>
            <w:vAlign w:val="bottom"/>
          </w:tcPr>
          <w:p>
            <w:pPr>
              <w:spacing w:after="0"/>
              <w:rPr>
                <w:sz w:val="15"/>
                <w:szCs w:val="15"/>
                <w:color w:val="auto"/>
              </w:rPr>
            </w:pPr>
          </w:p>
        </w:tc>
      </w:tr>
      <w:tr>
        <w:trPr>
          <w:trHeight w:val="128"/>
        </w:trPr>
        <w:tc>
          <w:tcPr>
            <w:tcW w:w="7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Noninterest-bearing deposits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7,879,977</w:t>
            </w:r>
          </w:p>
        </w:tc>
        <w:tc>
          <w:tcPr>
            <w:tcW w:w="380" w:type="dxa"/>
            <w:vAlign w:val="bottom"/>
          </w:tcPr>
          <w:p>
            <w:pPr>
              <w:spacing w:after="0"/>
              <w:rPr>
                <w:sz w:val="14"/>
                <w:szCs w:val="14"/>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8,141,928</w:t>
            </w: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NOW accounts</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940,439</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901,938</w:t>
            </w: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Savings deposits</w:t>
            </w: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14,169,790</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13,839,150</w:t>
            </w: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Time deposits</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11,490,629</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11,407,626</w:t>
            </w: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Deposits at foreign office</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5,429,668</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2,809,532</w:t>
            </w:r>
          </w:p>
        </w:tc>
      </w:tr>
      <w:tr>
        <w:trPr>
          <w:trHeight w:val="20"/>
        </w:trPr>
        <w:tc>
          <w:tcPr>
            <w:tcW w:w="7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7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deposits</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39,910,503</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37,100,174</w:t>
            </w: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Federal funds purchased and agreements to repurchase securities</w:t>
            </w: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2,531,684</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4,211,978</w:t>
            </w:r>
          </w:p>
        </w:tc>
        <w:tc>
          <w:tcPr>
            <w:tcW w:w="100" w:type="dxa"/>
            <w:vAlign w:val="bottom"/>
          </w:tcPr>
          <w:p>
            <w:pPr>
              <w:spacing w:after="0"/>
              <w:rPr>
                <w:sz w:val="14"/>
                <w:szCs w:val="14"/>
                <w:color w:val="auto"/>
              </w:rPr>
            </w:pP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Other short-term borrowings</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562,530</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940,894</w:t>
            </w: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Accrued interest and other liabilities</w:t>
            </w: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888,352</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819,980</w:t>
            </w: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Long-term borrowings</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6,890,741</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6,196,994</w:t>
            </w:r>
          </w:p>
        </w:tc>
      </w:tr>
      <w:tr>
        <w:trPr>
          <w:trHeight w:val="167"/>
        </w:trPr>
        <w:tc>
          <w:tcPr>
            <w:tcW w:w="7700" w:type="dxa"/>
            <w:vAlign w:val="bottom"/>
          </w:tcPr>
          <w:p>
            <w:pPr>
              <w:ind w:left="280"/>
              <w:spacing w:after="0"/>
              <w:rPr>
                <w:sz w:val="20"/>
                <w:szCs w:val="20"/>
                <w:color w:val="auto"/>
              </w:rPr>
            </w:pPr>
            <w:r>
              <w:rPr>
                <w:rFonts w:ascii="Arial" w:cs="Arial" w:eastAsia="Arial" w:hAnsi="Arial"/>
                <w:sz w:val="14"/>
                <w:szCs w:val="14"/>
                <w:color w:val="auto"/>
              </w:rPr>
              <w:t>Total liabilities</w:t>
            </w: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50,783,810</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49,270,020</w:t>
            </w:r>
          </w:p>
        </w:tc>
        <w:tc>
          <w:tcPr>
            <w:tcW w:w="100" w:type="dxa"/>
            <w:vAlign w:val="bottom"/>
          </w:tcPr>
          <w:p>
            <w:pPr>
              <w:spacing w:after="0"/>
              <w:rPr>
                <w:sz w:val="14"/>
                <w:szCs w:val="14"/>
                <w:color w:val="auto"/>
              </w:rPr>
            </w:pP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Stockholders’ equity</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Preferred stock, $1 par, 1,000,000 shares authorized, none outstanding</w:t>
            </w:r>
          </w:p>
        </w:tc>
        <w:tc>
          <w:tcPr>
            <w:tcW w:w="160" w:type="dxa"/>
            <w:vAlign w:val="bottom"/>
          </w:tcPr>
          <w:p>
            <w:pPr>
              <w:spacing w:after="0"/>
              <w:rPr>
                <w:sz w:val="14"/>
                <w:szCs w:val="14"/>
                <w:color w:val="auto"/>
              </w:rPr>
            </w:pPr>
          </w:p>
        </w:tc>
        <w:tc>
          <w:tcPr>
            <w:tcW w:w="114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Common stock, $.50 par, 250,000,000 shares authorized, 120,396,611 shares issued in 2006 and 2005</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60,198</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60,198</w:t>
            </w: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Common stock issuable, 90,949 shares in 2006; 100,298 shares in 2005</w:t>
            </w: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5,060</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5,363</w:t>
            </w: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2,889,449</w:t>
            </w: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2,886,153</w:t>
            </w: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Retained earnings</w:t>
            </w: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4,443,441</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3,854,275</w:t>
            </w: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Accumulated other comprehensive income (loss), net</w:t>
            </w:r>
          </w:p>
        </w:tc>
        <w:tc>
          <w:tcPr>
            <w:tcW w:w="16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(53,574)</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(97,930)</w:t>
            </w: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Treasury stock — common, at cost — 10,179,802 shares in 2006; 8,336,907 shares in 2005</w:t>
            </w:r>
          </w:p>
        </w:tc>
        <w:tc>
          <w:tcPr>
            <w:tcW w:w="160" w:type="dxa"/>
            <w:vAlign w:val="bottom"/>
          </w:tcPr>
          <w:p>
            <w:pPr>
              <w:spacing w:after="0"/>
              <w:rPr>
                <w:sz w:val="14"/>
                <w:szCs w:val="14"/>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4"/>
                <w:szCs w:val="14"/>
                <w:color w:val="auto"/>
              </w:rPr>
              <w:t>(1,063,479)</w:t>
            </w:r>
          </w:p>
        </w:tc>
        <w:tc>
          <w:tcPr>
            <w:tcW w:w="16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(831,673)</w:t>
            </w:r>
          </w:p>
        </w:tc>
      </w:tr>
      <w:tr>
        <w:trPr>
          <w:trHeight w:val="20"/>
        </w:trPr>
        <w:tc>
          <w:tcPr>
            <w:tcW w:w="7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7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stockholders’ equity</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6,281,095</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5,876,386</w:t>
            </w:r>
          </w:p>
        </w:tc>
      </w:tr>
      <w:tr>
        <w:trPr>
          <w:trHeight w:val="176"/>
        </w:trPr>
        <w:tc>
          <w:tcPr>
            <w:tcW w:w="7700" w:type="dxa"/>
            <w:vAlign w:val="bottom"/>
          </w:tcPr>
          <w:p>
            <w:pPr>
              <w:ind w:left="28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57,064,905</w:t>
            </w:r>
          </w:p>
        </w:tc>
        <w:tc>
          <w:tcPr>
            <w:tcW w:w="2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55,146,406</w:t>
            </w:r>
          </w:p>
        </w:tc>
        <w:tc>
          <w:tcPr>
            <w:tcW w:w="100" w:type="dxa"/>
            <w:vAlign w:val="bottom"/>
          </w:tcPr>
          <w:p>
            <w:pPr>
              <w:spacing w:after="0"/>
              <w:rPr>
                <w:sz w:val="15"/>
                <w:szCs w:val="15"/>
                <w:color w:val="auto"/>
              </w:rPr>
            </w:pPr>
          </w:p>
        </w:tc>
      </w:tr>
    </w:tbl>
    <w:p>
      <w:pPr>
        <w:spacing w:after="0" w:line="50" w:lineRule="exact"/>
        <w:rPr>
          <w:sz w:val="20"/>
          <w:szCs w:val="20"/>
          <w:color w:val="auto"/>
        </w:rPr>
      </w:pPr>
    </w:p>
    <w:p>
      <w:pPr>
        <w:ind w:left="4400"/>
        <w:spacing w:after="0"/>
        <w:rPr>
          <w:sz w:val="20"/>
          <w:szCs w:val="20"/>
          <w:color w:val="auto"/>
        </w:rPr>
      </w:pPr>
      <w:r>
        <w:rPr>
          <w:rFonts w:ascii="Arial" w:cs="Arial" w:eastAsia="Arial" w:hAnsi="Arial"/>
          <w:sz w:val="13"/>
          <w:szCs w:val="13"/>
          <w:i w:val="1"/>
          <w:iCs w:val="1"/>
          <w:color w:val="auto"/>
        </w:rPr>
        <w:t>See accompanying notes to financial statements.</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Consolidated Statement of Income</w:t>
      </w:r>
    </w:p>
    <w:p>
      <w:pPr>
        <w:spacing w:after="0" w:line="10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700" w:type="dxa"/>
            <w:vAlign w:val="bottom"/>
          </w:tcPr>
          <w:p>
            <w:pPr>
              <w:spacing w:after="0"/>
              <w:rPr>
                <w:sz w:val="20"/>
                <w:szCs w:val="20"/>
                <w:color w:val="auto"/>
              </w:rPr>
            </w:pPr>
            <w:r>
              <w:rPr>
                <w:rFonts w:ascii="Arial" w:cs="Arial" w:eastAsia="Arial" w:hAnsi="Arial"/>
                <w:sz w:val="10"/>
                <w:szCs w:val="10"/>
                <w:b w:val="1"/>
                <w:bCs w:val="1"/>
                <w:color w:val="auto"/>
              </w:rPr>
              <w:t>(In thousands, except per share)</w:t>
            </w: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0"/>
                <w:szCs w:val="10"/>
                <w:b w:val="1"/>
                <w:bCs w:val="1"/>
                <w:color w:val="auto"/>
              </w:rPr>
              <w:t>Year Ended December 31</w:t>
            </w: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6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28"/>
              <w:spacing w:after="0" w:line="98" w:lineRule="exact"/>
              <w:rPr>
                <w:sz w:val="20"/>
                <w:szCs w:val="20"/>
                <w:color w:val="auto"/>
              </w:rPr>
            </w:pPr>
            <w:r>
              <w:rPr>
                <w:rFonts w:ascii="Arial" w:cs="Arial" w:eastAsia="Arial" w:hAnsi="Arial"/>
                <w:sz w:val="10"/>
                <w:szCs w:val="10"/>
                <w:b w:val="1"/>
                <w:bCs w:val="1"/>
                <w:color w:val="auto"/>
              </w:rPr>
              <w:t>2006</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228"/>
              <w:spacing w:after="0" w:line="98" w:lineRule="exact"/>
              <w:rPr>
                <w:sz w:val="20"/>
                <w:szCs w:val="20"/>
                <w:color w:val="auto"/>
              </w:rPr>
            </w:pPr>
            <w:r>
              <w:rPr>
                <w:rFonts w:ascii="Arial" w:cs="Arial" w:eastAsia="Arial" w:hAnsi="Arial"/>
                <w:sz w:val="10"/>
                <w:szCs w:val="10"/>
                <w:b w:val="1"/>
                <w:bCs w:val="1"/>
                <w:color w:val="auto"/>
              </w:rPr>
              <w:t>2005</w:t>
            </w: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08"/>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r>
      <w:tr>
        <w:trPr>
          <w:trHeight w:val="29"/>
        </w:trPr>
        <w:tc>
          <w:tcPr>
            <w:tcW w:w="6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7"/>
        </w:trPr>
        <w:tc>
          <w:tcPr>
            <w:tcW w:w="6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Interest income</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6700" w:type="dxa"/>
            <w:vAlign w:val="bottom"/>
          </w:tcPr>
          <w:p>
            <w:pPr>
              <w:ind w:left="140"/>
              <w:spacing w:after="0"/>
              <w:rPr>
                <w:sz w:val="20"/>
                <w:szCs w:val="20"/>
                <w:color w:val="auto"/>
              </w:rPr>
            </w:pPr>
            <w:r>
              <w:rPr>
                <w:rFonts w:ascii="Arial" w:cs="Arial" w:eastAsia="Arial" w:hAnsi="Arial"/>
                <w:sz w:val="14"/>
                <w:szCs w:val="14"/>
                <w:color w:val="auto"/>
              </w:rPr>
              <w:t>Loans and leases, including fees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w w:val="99"/>
              </w:rPr>
              <w:t>2,927,411</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2,420,660</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w w:val="99"/>
              </w:rPr>
              <w:t>1,974,469</w:t>
            </w:r>
          </w:p>
        </w:tc>
      </w:tr>
      <w:tr>
        <w:trPr>
          <w:trHeight w:val="167"/>
        </w:trPr>
        <w:tc>
          <w:tcPr>
            <w:tcW w:w="6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Deposits at banks</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372</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169</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w:t>
            </w:r>
          </w:p>
        </w:tc>
      </w:tr>
      <w:tr>
        <w:trPr>
          <w:trHeight w:val="167"/>
        </w:trPr>
        <w:tc>
          <w:tcPr>
            <w:tcW w:w="6700" w:type="dxa"/>
            <w:vAlign w:val="bottom"/>
          </w:tcPr>
          <w:p>
            <w:pPr>
              <w:ind w:left="140"/>
              <w:spacing w:after="0"/>
              <w:rPr>
                <w:sz w:val="20"/>
                <w:szCs w:val="20"/>
                <w:color w:val="auto"/>
              </w:rPr>
            </w:pPr>
            <w:r>
              <w:rPr>
                <w:rFonts w:ascii="Arial" w:cs="Arial" w:eastAsia="Arial" w:hAnsi="Arial"/>
                <w:sz w:val="14"/>
                <w:szCs w:val="14"/>
                <w:color w:val="auto"/>
              </w:rPr>
              <w:t>Federal funds sold</w:t>
            </w: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1,670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807</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123</w:t>
            </w:r>
          </w:p>
        </w:tc>
      </w:tr>
      <w:tr>
        <w:trPr>
          <w:trHeight w:val="167"/>
        </w:trPr>
        <w:tc>
          <w:tcPr>
            <w:tcW w:w="6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Agreements to resell securities</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3,927</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w:t>
            </w:r>
          </w:p>
        </w:tc>
      </w:tr>
      <w:tr>
        <w:trPr>
          <w:trHeight w:val="167"/>
        </w:trPr>
        <w:tc>
          <w:tcPr>
            <w:tcW w:w="6700" w:type="dxa"/>
            <w:vAlign w:val="bottom"/>
          </w:tcPr>
          <w:p>
            <w:pPr>
              <w:ind w:left="140"/>
              <w:spacing w:after="0"/>
              <w:rPr>
                <w:sz w:val="20"/>
                <w:szCs w:val="20"/>
                <w:color w:val="auto"/>
              </w:rPr>
            </w:pPr>
            <w:r>
              <w:rPr>
                <w:rFonts w:ascii="Arial" w:cs="Arial" w:eastAsia="Arial" w:hAnsi="Arial"/>
                <w:sz w:val="14"/>
                <w:szCs w:val="14"/>
                <w:color w:val="auto"/>
              </w:rPr>
              <w:t>Trading account</w:t>
            </w: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2,446</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1,544</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375</w:t>
            </w:r>
          </w:p>
        </w:tc>
      </w:tr>
      <w:tr>
        <w:trPr>
          <w:trHeight w:val="167"/>
        </w:trPr>
        <w:tc>
          <w:tcPr>
            <w:tcW w:w="6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Investment securities</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6700" w:type="dxa"/>
            <w:vAlign w:val="bottom"/>
          </w:tcPr>
          <w:p>
            <w:pPr>
              <w:ind w:left="280"/>
              <w:spacing w:after="0"/>
              <w:rPr>
                <w:sz w:val="20"/>
                <w:szCs w:val="20"/>
                <w:color w:val="auto"/>
              </w:rPr>
            </w:pPr>
            <w:r>
              <w:rPr>
                <w:rFonts w:ascii="Arial" w:cs="Arial" w:eastAsia="Arial" w:hAnsi="Arial"/>
                <w:sz w:val="14"/>
                <w:szCs w:val="14"/>
                <w:color w:val="auto"/>
              </w:rPr>
              <w:t>Fully taxable</w:t>
            </w: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363,401</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351,423</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309,141</w:t>
            </w:r>
          </w:p>
        </w:tc>
      </w:tr>
      <w:tr>
        <w:trPr>
          <w:trHeight w:val="167"/>
        </w:trPr>
        <w:tc>
          <w:tcPr>
            <w:tcW w:w="6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Exempt from federal taxes</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14,866</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14,090</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14,548</w:t>
            </w:r>
          </w:p>
        </w:tc>
      </w:tr>
      <w:tr>
        <w:trPr>
          <w:trHeight w:val="167"/>
        </w:trPr>
        <w:tc>
          <w:tcPr>
            <w:tcW w:w="6700" w:type="dxa"/>
            <w:vAlign w:val="bottom"/>
          </w:tcPr>
          <w:p>
            <w:pPr>
              <w:ind w:left="400"/>
              <w:spacing w:after="0"/>
              <w:rPr>
                <w:sz w:val="20"/>
                <w:szCs w:val="20"/>
                <w:color w:val="auto"/>
              </w:rPr>
            </w:pPr>
            <w:r>
              <w:rPr>
                <w:rFonts w:ascii="Arial" w:cs="Arial" w:eastAsia="Arial" w:hAnsi="Arial"/>
                <w:sz w:val="14"/>
                <w:szCs w:val="14"/>
                <w:color w:val="auto"/>
              </w:rPr>
              <w:t>Total interest income</w:t>
            </w: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3,314,093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2,788,694</w:t>
            </w:r>
          </w:p>
        </w:tc>
        <w:tc>
          <w:tcPr>
            <w:tcW w:w="3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2,298,732</w:t>
            </w:r>
          </w:p>
        </w:tc>
        <w:tc>
          <w:tcPr>
            <w:tcW w:w="100" w:type="dxa"/>
            <w:vAlign w:val="bottom"/>
          </w:tcPr>
          <w:p>
            <w:pPr>
              <w:spacing w:after="0"/>
              <w:rPr>
                <w:sz w:val="14"/>
                <w:szCs w:val="14"/>
                <w:color w:val="auto"/>
              </w:rPr>
            </w:pPr>
          </w:p>
        </w:tc>
      </w:tr>
      <w:tr>
        <w:trPr>
          <w:trHeight w:val="167"/>
        </w:trPr>
        <w:tc>
          <w:tcPr>
            <w:tcW w:w="6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Interest expense</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6700" w:type="dxa"/>
            <w:vAlign w:val="bottom"/>
          </w:tcPr>
          <w:p>
            <w:pPr>
              <w:ind w:left="140"/>
              <w:spacing w:after="0"/>
              <w:rPr>
                <w:sz w:val="20"/>
                <w:szCs w:val="20"/>
                <w:color w:val="auto"/>
              </w:rPr>
            </w:pPr>
            <w:r>
              <w:rPr>
                <w:rFonts w:ascii="Arial" w:cs="Arial" w:eastAsia="Arial" w:hAnsi="Arial"/>
                <w:sz w:val="14"/>
                <w:szCs w:val="14"/>
                <w:color w:val="auto"/>
              </w:rPr>
              <w:t>NOW accounts</w:t>
            </w: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3,461</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2,182</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1,802</w:t>
            </w:r>
          </w:p>
        </w:tc>
      </w:tr>
      <w:tr>
        <w:trPr>
          <w:trHeight w:val="167"/>
        </w:trPr>
        <w:tc>
          <w:tcPr>
            <w:tcW w:w="6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Savings deposits</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201,543</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139,445</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92,064</w:t>
            </w:r>
          </w:p>
        </w:tc>
      </w:tr>
      <w:tr>
        <w:trPr>
          <w:trHeight w:val="167"/>
        </w:trPr>
        <w:tc>
          <w:tcPr>
            <w:tcW w:w="6700" w:type="dxa"/>
            <w:vAlign w:val="bottom"/>
          </w:tcPr>
          <w:p>
            <w:pPr>
              <w:ind w:left="140"/>
              <w:spacing w:after="0"/>
              <w:rPr>
                <w:sz w:val="20"/>
                <w:szCs w:val="20"/>
                <w:color w:val="auto"/>
              </w:rPr>
            </w:pPr>
            <w:r>
              <w:rPr>
                <w:rFonts w:ascii="Arial" w:cs="Arial" w:eastAsia="Arial" w:hAnsi="Arial"/>
                <w:sz w:val="14"/>
                <w:szCs w:val="14"/>
                <w:color w:val="auto"/>
              </w:rPr>
              <w:t>Time deposits</w:t>
            </w: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551,514</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294,782</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154,722</w:t>
            </w:r>
          </w:p>
        </w:tc>
      </w:tr>
      <w:tr>
        <w:trPr>
          <w:trHeight w:val="167"/>
        </w:trPr>
        <w:tc>
          <w:tcPr>
            <w:tcW w:w="6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Deposits at foreign office</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178,348</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120,122</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43,034</w:t>
            </w:r>
          </w:p>
        </w:tc>
      </w:tr>
      <w:tr>
        <w:trPr>
          <w:trHeight w:val="167"/>
        </w:trPr>
        <w:tc>
          <w:tcPr>
            <w:tcW w:w="6700" w:type="dxa"/>
            <w:vAlign w:val="bottom"/>
          </w:tcPr>
          <w:p>
            <w:pPr>
              <w:ind w:left="140"/>
              <w:spacing w:after="0"/>
              <w:rPr>
                <w:sz w:val="20"/>
                <w:szCs w:val="20"/>
                <w:color w:val="auto"/>
              </w:rPr>
            </w:pPr>
            <w:r>
              <w:rPr>
                <w:rFonts w:ascii="Arial" w:cs="Arial" w:eastAsia="Arial" w:hAnsi="Arial"/>
                <w:sz w:val="14"/>
                <w:szCs w:val="14"/>
                <w:color w:val="auto"/>
              </w:rPr>
              <w:t>Short-term borrowings</w:t>
            </w: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227,850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157,853</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71,172</w:t>
            </w:r>
          </w:p>
        </w:tc>
      </w:tr>
      <w:tr>
        <w:trPr>
          <w:trHeight w:val="167"/>
        </w:trPr>
        <w:tc>
          <w:tcPr>
            <w:tcW w:w="6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Long-term borrowings</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333,836</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279,967</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201,366</w:t>
            </w:r>
          </w:p>
        </w:tc>
      </w:tr>
      <w:tr>
        <w:trPr>
          <w:trHeight w:val="167"/>
        </w:trPr>
        <w:tc>
          <w:tcPr>
            <w:tcW w:w="6700" w:type="dxa"/>
            <w:vAlign w:val="bottom"/>
          </w:tcPr>
          <w:p>
            <w:pPr>
              <w:ind w:left="400"/>
              <w:spacing w:after="0"/>
              <w:rPr>
                <w:sz w:val="20"/>
                <w:szCs w:val="20"/>
                <w:color w:val="auto"/>
              </w:rPr>
            </w:pPr>
            <w:r>
              <w:rPr>
                <w:rFonts w:ascii="Arial" w:cs="Arial" w:eastAsia="Arial" w:hAnsi="Arial"/>
                <w:sz w:val="14"/>
                <w:szCs w:val="14"/>
                <w:color w:val="auto"/>
              </w:rPr>
              <w:t>Total interest expense</w:t>
            </w: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1,496,552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994,351</w:t>
            </w:r>
          </w:p>
        </w:tc>
        <w:tc>
          <w:tcPr>
            <w:tcW w:w="3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564,160</w:t>
            </w:r>
          </w:p>
        </w:tc>
        <w:tc>
          <w:tcPr>
            <w:tcW w:w="100" w:type="dxa"/>
            <w:vAlign w:val="bottom"/>
          </w:tcPr>
          <w:p>
            <w:pPr>
              <w:spacing w:after="0"/>
              <w:rPr>
                <w:sz w:val="14"/>
                <w:szCs w:val="14"/>
                <w:color w:val="auto"/>
              </w:rPr>
            </w:pPr>
          </w:p>
        </w:tc>
      </w:tr>
      <w:tr>
        <w:trPr>
          <w:trHeight w:val="167"/>
        </w:trPr>
        <w:tc>
          <w:tcPr>
            <w:tcW w:w="670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Net interest income</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1,817,541</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1,794,343</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1,734,572</w:t>
            </w:r>
          </w:p>
        </w:tc>
      </w:tr>
      <w:tr>
        <w:trPr>
          <w:trHeight w:val="167"/>
        </w:trPr>
        <w:tc>
          <w:tcPr>
            <w:tcW w:w="6700" w:type="dxa"/>
            <w:vAlign w:val="bottom"/>
          </w:tcPr>
          <w:p>
            <w:pPr>
              <w:spacing w:after="0"/>
              <w:rPr>
                <w:sz w:val="20"/>
                <w:szCs w:val="20"/>
                <w:color w:val="auto"/>
              </w:rPr>
            </w:pPr>
            <w:r>
              <w:rPr>
                <w:rFonts w:ascii="Arial" w:cs="Arial" w:eastAsia="Arial" w:hAnsi="Arial"/>
                <w:sz w:val="14"/>
                <w:szCs w:val="14"/>
                <w:color w:val="auto"/>
              </w:rPr>
              <w:t>Provision for credit losses</w:t>
            </w: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80,000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88,000</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95,000</w:t>
            </w:r>
          </w:p>
        </w:tc>
      </w:tr>
      <w:tr>
        <w:trPr>
          <w:trHeight w:val="20"/>
        </w:trPr>
        <w:tc>
          <w:tcPr>
            <w:tcW w:w="6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6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interest income after provision for credit losses</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1,737,541</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1,706,343</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1,639,572</w:t>
            </w:r>
          </w:p>
        </w:tc>
      </w:tr>
      <w:tr>
        <w:trPr>
          <w:trHeight w:val="167"/>
        </w:trPr>
        <w:tc>
          <w:tcPr>
            <w:tcW w:w="6700" w:type="dxa"/>
            <w:vAlign w:val="bottom"/>
          </w:tcPr>
          <w:p>
            <w:pPr>
              <w:spacing w:after="0"/>
              <w:rPr>
                <w:sz w:val="20"/>
                <w:szCs w:val="20"/>
                <w:color w:val="auto"/>
              </w:rPr>
            </w:pPr>
            <w:r>
              <w:rPr>
                <w:rFonts w:ascii="Arial" w:cs="Arial" w:eastAsia="Arial" w:hAnsi="Arial"/>
                <w:sz w:val="14"/>
                <w:szCs w:val="14"/>
                <w:b w:val="1"/>
                <w:bCs w:val="1"/>
                <w:color w:val="auto"/>
              </w:rPr>
              <w:t>Other income</w:t>
            </w: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6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Mortgage banking revenues</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143,181</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136,114</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124,353</w:t>
            </w:r>
          </w:p>
        </w:tc>
      </w:tr>
      <w:tr>
        <w:trPr>
          <w:trHeight w:val="167"/>
        </w:trPr>
        <w:tc>
          <w:tcPr>
            <w:tcW w:w="6700" w:type="dxa"/>
            <w:vAlign w:val="bottom"/>
          </w:tcPr>
          <w:p>
            <w:pPr>
              <w:ind w:left="140"/>
              <w:spacing w:after="0"/>
              <w:rPr>
                <w:sz w:val="20"/>
                <w:szCs w:val="20"/>
                <w:color w:val="auto"/>
              </w:rPr>
            </w:pPr>
            <w:r>
              <w:rPr>
                <w:rFonts w:ascii="Arial" w:cs="Arial" w:eastAsia="Arial" w:hAnsi="Arial"/>
                <w:sz w:val="14"/>
                <w:szCs w:val="14"/>
                <w:color w:val="auto"/>
              </w:rPr>
              <w:t>Service charges on deposit accounts</w:t>
            </w: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380,950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369,918</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366,301</w:t>
            </w:r>
          </w:p>
        </w:tc>
      </w:tr>
      <w:tr>
        <w:trPr>
          <w:trHeight w:val="167"/>
        </w:trPr>
        <w:tc>
          <w:tcPr>
            <w:tcW w:w="6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Trust income</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140,781</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134,679</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136,296</w:t>
            </w:r>
          </w:p>
        </w:tc>
      </w:tr>
      <w:tr>
        <w:trPr>
          <w:trHeight w:val="167"/>
        </w:trPr>
        <w:tc>
          <w:tcPr>
            <w:tcW w:w="6700" w:type="dxa"/>
            <w:vAlign w:val="bottom"/>
          </w:tcPr>
          <w:p>
            <w:pPr>
              <w:ind w:left="140"/>
              <w:spacing w:after="0"/>
              <w:rPr>
                <w:sz w:val="20"/>
                <w:szCs w:val="20"/>
                <w:color w:val="auto"/>
              </w:rPr>
            </w:pPr>
            <w:r>
              <w:rPr>
                <w:rFonts w:ascii="Arial" w:cs="Arial" w:eastAsia="Arial" w:hAnsi="Arial"/>
                <w:sz w:val="14"/>
                <w:szCs w:val="14"/>
                <w:color w:val="auto"/>
              </w:rPr>
              <w:t>Brokerage services income</w:t>
            </w: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60,295</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55,572</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53,740</w:t>
            </w:r>
          </w:p>
        </w:tc>
      </w:tr>
      <w:tr>
        <w:trPr>
          <w:trHeight w:val="167"/>
        </w:trPr>
        <w:tc>
          <w:tcPr>
            <w:tcW w:w="6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Trading account and foreign exchange gains</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24,761</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22,857</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19,435</w:t>
            </w:r>
          </w:p>
        </w:tc>
      </w:tr>
      <w:tr>
        <w:trPr>
          <w:trHeight w:val="167"/>
        </w:trPr>
        <w:tc>
          <w:tcPr>
            <w:tcW w:w="6700" w:type="dxa"/>
            <w:vAlign w:val="bottom"/>
          </w:tcPr>
          <w:p>
            <w:pPr>
              <w:ind w:left="140"/>
              <w:spacing w:after="0"/>
              <w:rPr>
                <w:sz w:val="20"/>
                <w:szCs w:val="20"/>
                <w:color w:val="auto"/>
              </w:rPr>
            </w:pPr>
            <w:r>
              <w:rPr>
                <w:rFonts w:ascii="Arial" w:cs="Arial" w:eastAsia="Arial" w:hAnsi="Arial"/>
                <w:sz w:val="14"/>
                <w:szCs w:val="14"/>
                <w:color w:val="auto"/>
              </w:rPr>
              <w:t>Gain (loss) on bank investment securities</w:t>
            </w: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2,566</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(28,133)</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2,874</w:t>
            </w:r>
          </w:p>
        </w:tc>
      </w:tr>
      <w:tr>
        <w:trPr>
          <w:trHeight w:val="167"/>
        </w:trPr>
        <w:tc>
          <w:tcPr>
            <w:tcW w:w="6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revenues from operations</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293,318</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258,711</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239,970</w:t>
            </w:r>
          </w:p>
        </w:tc>
      </w:tr>
      <w:tr>
        <w:trPr>
          <w:trHeight w:val="167"/>
        </w:trPr>
        <w:tc>
          <w:tcPr>
            <w:tcW w:w="6700" w:type="dxa"/>
            <w:vAlign w:val="bottom"/>
          </w:tcPr>
          <w:p>
            <w:pPr>
              <w:ind w:left="400"/>
              <w:spacing w:after="0"/>
              <w:rPr>
                <w:sz w:val="20"/>
                <w:szCs w:val="20"/>
                <w:color w:val="auto"/>
              </w:rPr>
            </w:pPr>
            <w:r>
              <w:rPr>
                <w:rFonts w:ascii="Arial" w:cs="Arial" w:eastAsia="Arial" w:hAnsi="Arial"/>
                <w:sz w:val="14"/>
                <w:szCs w:val="14"/>
                <w:color w:val="auto"/>
              </w:rPr>
              <w:t>Total other income</w:t>
            </w: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1,045,852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949,718</w:t>
            </w:r>
          </w:p>
        </w:tc>
        <w:tc>
          <w:tcPr>
            <w:tcW w:w="3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942,969</w:t>
            </w:r>
          </w:p>
        </w:tc>
        <w:tc>
          <w:tcPr>
            <w:tcW w:w="100" w:type="dxa"/>
            <w:vAlign w:val="bottom"/>
          </w:tcPr>
          <w:p>
            <w:pPr>
              <w:spacing w:after="0"/>
              <w:rPr>
                <w:sz w:val="14"/>
                <w:szCs w:val="14"/>
                <w:color w:val="auto"/>
              </w:rPr>
            </w:pPr>
          </w:p>
        </w:tc>
      </w:tr>
      <w:tr>
        <w:trPr>
          <w:trHeight w:val="167"/>
        </w:trPr>
        <w:tc>
          <w:tcPr>
            <w:tcW w:w="6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expense</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6700" w:type="dxa"/>
            <w:vAlign w:val="bottom"/>
          </w:tcPr>
          <w:p>
            <w:pPr>
              <w:ind w:left="140"/>
              <w:spacing w:after="0"/>
              <w:rPr>
                <w:sz w:val="20"/>
                <w:szCs w:val="20"/>
                <w:color w:val="auto"/>
              </w:rPr>
            </w:pPr>
            <w:r>
              <w:rPr>
                <w:rFonts w:ascii="Arial" w:cs="Arial" w:eastAsia="Arial" w:hAnsi="Arial"/>
                <w:sz w:val="14"/>
                <w:szCs w:val="14"/>
                <w:color w:val="auto"/>
              </w:rPr>
              <w:t>Salaries and employee benefits</w:t>
            </w: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873,353</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822,239</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806,552</w:t>
            </w:r>
          </w:p>
        </w:tc>
      </w:tr>
      <w:tr>
        <w:trPr>
          <w:trHeight w:val="167"/>
        </w:trPr>
        <w:tc>
          <w:tcPr>
            <w:tcW w:w="6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Equipment and net occupancy</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168,776</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173,689</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179,595</w:t>
            </w:r>
          </w:p>
        </w:tc>
      </w:tr>
      <w:tr>
        <w:trPr>
          <w:trHeight w:val="167"/>
        </w:trPr>
        <w:tc>
          <w:tcPr>
            <w:tcW w:w="6700" w:type="dxa"/>
            <w:vAlign w:val="bottom"/>
          </w:tcPr>
          <w:p>
            <w:pPr>
              <w:ind w:left="140"/>
              <w:spacing w:after="0"/>
              <w:rPr>
                <w:sz w:val="20"/>
                <w:szCs w:val="20"/>
                <w:color w:val="auto"/>
              </w:rPr>
            </w:pPr>
            <w:r>
              <w:rPr>
                <w:rFonts w:ascii="Arial" w:cs="Arial" w:eastAsia="Arial" w:hAnsi="Arial"/>
                <w:sz w:val="14"/>
                <w:szCs w:val="14"/>
                <w:color w:val="auto"/>
              </w:rPr>
              <w:t>Printing, postage and supplies</w:t>
            </w: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33,956</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33,743</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34,476</w:t>
            </w:r>
          </w:p>
        </w:tc>
      </w:tr>
      <w:tr>
        <w:trPr>
          <w:trHeight w:val="167"/>
        </w:trPr>
        <w:tc>
          <w:tcPr>
            <w:tcW w:w="6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core deposit and other intangible assets</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63,008</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56,805</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75,410</w:t>
            </w:r>
          </w:p>
        </w:tc>
      </w:tr>
      <w:tr>
        <w:trPr>
          <w:trHeight w:val="167"/>
        </w:trPr>
        <w:tc>
          <w:tcPr>
            <w:tcW w:w="6700" w:type="dxa"/>
            <w:vAlign w:val="bottom"/>
          </w:tcPr>
          <w:p>
            <w:pPr>
              <w:ind w:left="140"/>
              <w:spacing w:after="0"/>
              <w:rPr>
                <w:sz w:val="20"/>
                <w:szCs w:val="20"/>
                <w:color w:val="auto"/>
              </w:rPr>
            </w:pPr>
            <w:r>
              <w:rPr>
                <w:rFonts w:ascii="Arial" w:cs="Arial" w:eastAsia="Arial" w:hAnsi="Arial"/>
                <w:sz w:val="14"/>
                <w:szCs w:val="14"/>
                <w:color w:val="auto"/>
              </w:rPr>
              <w:t>Other costs of operations</w:t>
            </w:r>
          </w:p>
        </w:tc>
        <w:tc>
          <w:tcPr>
            <w:tcW w:w="16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412,658</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398,666</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419,985</w:t>
            </w:r>
          </w:p>
        </w:tc>
      </w:tr>
      <w:tr>
        <w:trPr>
          <w:trHeight w:val="20"/>
        </w:trPr>
        <w:tc>
          <w:tcPr>
            <w:tcW w:w="6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67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Total other expense</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9"/>
              </w:rPr>
              <w:t>1,551,751</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1,485,142</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1,516,018</w:t>
            </w:r>
          </w:p>
        </w:tc>
      </w:tr>
      <w:tr>
        <w:trPr>
          <w:trHeight w:val="167"/>
        </w:trPr>
        <w:tc>
          <w:tcPr>
            <w:tcW w:w="6700" w:type="dxa"/>
            <w:vAlign w:val="bottom"/>
          </w:tcPr>
          <w:p>
            <w:pPr>
              <w:ind w:left="140"/>
              <w:spacing w:after="0"/>
              <w:rPr>
                <w:sz w:val="20"/>
                <w:szCs w:val="20"/>
                <w:color w:val="auto"/>
              </w:rPr>
            </w:pPr>
            <w:r>
              <w:rPr>
                <w:rFonts w:ascii="Arial" w:cs="Arial" w:eastAsia="Arial" w:hAnsi="Arial"/>
                <w:sz w:val="14"/>
                <w:szCs w:val="14"/>
                <w:color w:val="auto"/>
              </w:rPr>
              <w:t>Income before taxes</w:t>
            </w: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1,231,642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1,170,919</w:t>
            </w:r>
          </w:p>
        </w:tc>
        <w:tc>
          <w:tcPr>
            <w:tcW w:w="3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9"/>
              </w:rPr>
              <w:t>1,066,523</w:t>
            </w:r>
          </w:p>
        </w:tc>
        <w:tc>
          <w:tcPr>
            <w:tcW w:w="100" w:type="dxa"/>
            <w:vAlign w:val="bottom"/>
          </w:tcPr>
          <w:p>
            <w:pPr>
              <w:spacing w:after="0"/>
              <w:rPr>
                <w:sz w:val="14"/>
                <w:szCs w:val="14"/>
                <w:color w:val="auto"/>
              </w:rPr>
            </w:pPr>
          </w:p>
        </w:tc>
      </w:tr>
      <w:tr>
        <w:trPr>
          <w:trHeight w:val="167"/>
        </w:trPr>
        <w:tc>
          <w:tcPr>
            <w:tcW w:w="6700" w:type="dxa"/>
            <w:vAlign w:val="bottom"/>
            <w:shd w:val="clear" w:color="auto" w:fill="CCEEFF"/>
          </w:tcPr>
          <w:p>
            <w:pPr>
              <w:spacing w:after="0"/>
              <w:rPr>
                <w:sz w:val="20"/>
                <w:szCs w:val="20"/>
                <w:color w:val="auto"/>
              </w:rPr>
            </w:pPr>
            <w:r>
              <w:rPr>
                <w:rFonts w:ascii="Arial" w:cs="Arial" w:eastAsia="Arial" w:hAnsi="Arial"/>
                <w:sz w:val="14"/>
                <w:szCs w:val="14"/>
                <w:color w:val="auto"/>
              </w:rPr>
              <w:t>Income taxes</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392,453</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388,736</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344,002</w:t>
            </w:r>
          </w:p>
        </w:tc>
      </w:tr>
      <w:tr>
        <w:trPr>
          <w:trHeight w:val="181"/>
        </w:trPr>
        <w:tc>
          <w:tcPr>
            <w:tcW w:w="6700" w:type="dxa"/>
            <w:vAlign w:val="bottom"/>
          </w:tcPr>
          <w:p>
            <w:pPr>
              <w:ind w:left="140"/>
              <w:spacing w:after="0"/>
              <w:rPr>
                <w:sz w:val="20"/>
                <w:szCs w:val="20"/>
                <w:color w:val="auto"/>
              </w:rPr>
            </w:pPr>
            <w:r>
              <w:rPr>
                <w:rFonts w:ascii="Arial" w:cs="Arial" w:eastAsia="Arial" w:hAnsi="Arial"/>
                <w:sz w:val="14"/>
                <w:szCs w:val="14"/>
                <w:i w:val="1"/>
                <w:iCs w:val="1"/>
                <w:color w:val="auto"/>
              </w:rPr>
              <w:t>Net income</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839,189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782,183</w:t>
            </w:r>
          </w:p>
        </w:tc>
        <w:tc>
          <w:tcPr>
            <w:tcW w:w="3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722,521</w:t>
            </w:r>
          </w:p>
        </w:tc>
        <w:tc>
          <w:tcPr>
            <w:tcW w:w="100" w:type="dxa"/>
            <w:vAlign w:val="bottom"/>
          </w:tcPr>
          <w:p>
            <w:pPr>
              <w:spacing w:after="0"/>
              <w:rPr>
                <w:sz w:val="15"/>
                <w:szCs w:val="15"/>
                <w:color w:val="auto"/>
              </w:rPr>
            </w:pPr>
          </w:p>
        </w:tc>
      </w:tr>
      <w:tr>
        <w:trPr>
          <w:trHeight w:val="172"/>
        </w:trPr>
        <w:tc>
          <w:tcPr>
            <w:tcW w:w="67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income per common share</w:t>
            </w: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6700" w:type="dxa"/>
            <w:vAlign w:val="bottom"/>
          </w:tcPr>
          <w:p>
            <w:pPr>
              <w:ind w:left="140"/>
              <w:spacing w:after="0"/>
              <w:rPr>
                <w:sz w:val="20"/>
                <w:szCs w:val="20"/>
                <w:color w:val="auto"/>
              </w:rPr>
            </w:pPr>
            <w:r>
              <w:rPr>
                <w:rFonts w:ascii="Arial" w:cs="Arial" w:eastAsia="Arial" w:hAnsi="Arial"/>
                <w:sz w:val="14"/>
                <w:szCs w:val="14"/>
                <w:color w:val="auto"/>
              </w:rPr>
              <w:t>Basic</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7.55</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6.88</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6.14</w:t>
            </w:r>
          </w:p>
        </w:tc>
      </w:tr>
      <w:tr>
        <w:trPr>
          <w:trHeight w:val="167"/>
        </w:trPr>
        <w:tc>
          <w:tcPr>
            <w:tcW w:w="6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7.37</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6.73</w:t>
            </w: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6.00</w:t>
            </w:r>
          </w:p>
        </w:tc>
      </w:tr>
    </w:tbl>
    <w:p>
      <w:pPr>
        <w:spacing w:after="0" w:line="40" w:lineRule="exact"/>
        <w:rPr>
          <w:sz w:val="20"/>
          <w:szCs w:val="20"/>
          <w:color w:val="auto"/>
        </w:rPr>
      </w:pPr>
    </w:p>
    <w:p>
      <w:pPr>
        <w:ind w:left="4400"/>
        <w:spacing w:after="0"/>
        <w:rPr>
          <w:sz w:val="20"/>
          <w:szCs w:val="20"/>
          <w:color w:val="auto"/>
        </w:rPr>
      </w:pPr>
      <w:r>
        <w:rPr>
          <w:rFonts w:ascii="Arial" w:cs="Arial" w:eastAsia="Arial" w:hAnsi="Arial"/>
          <w:sz w:val="13"/>
          <w:szCs w:val="13"/>
          <w:i w:val="1"/>
          <w:iCs w:val="1"/>
          <w:color w:val="auto"/>
        </w:rPr>
        <w:t>See accompanying notes to financial statements.</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Consolidated Statement of Cash Flows</w:t>
      </w:r>
    </w:p>
    <w:p>
      <w:pPr>
        <w:spacing w:after="0" w:line="104"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500" w:type="dxa"/>
            <w:vAlign w:val="bottom"/>
          </w:tcPr>
          <w:p>
            <w:pPr>
              <w:spacing w:after="0"/>
              <w:rPr>
                <w:sz w:val="20"/>
                <w:szCs w:val="20"/>
                <w:color w:val="auto"/>
              </w:rPr>
            </w:pPr>
            <w:r>
              <w:rPr>
                <w:rFonts w:ascii="Arial" w:cs="Arial" w:eastAsia="Arial" w:hAnsi="Arial"/>
                <w:sz w:val="10"/>
                <w:szCs w:val="10"/>
                <w:b w:val="1"/>
                <w:bCs w:val="1"/>
                <w:color w:val="auto"/>
              </w:rPr>
              <w:t>(In thousands)</w:t>
            </w: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0"/>
                <w:szCs w:val="10"/>
                <w:b w:val="1"/>
                <w:bCs w:val="1"/>
                <w:color w:val="auto"/>
                <w:w w:val="93"/>
              </w:rPr>
              <w:t>Year Ended December 31</w:t>
            </w: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48"/>
              <w:spacing w:after="0" w:line="98" w:lineRule="exact"/>
              <w:rPr>
                <w:sz w:val="20"/>
                <w:szCs w:val="20"/>
                <w:color w:val="auto"/>
              </w:rPr>
            </w:pPr>
            <w:r>
              <w:rPr>
                <w:rFonts w:ascii="Arial" w:cs="Arial" w:eastAsia="Arial" w:hAnsi="Arial"/>
                <w:sz w:val="10"/>
                <w:szCs w:val="10"/>
                <w:b w:val="1"/>
                <w:bCs w:val="1"/>
                <w:color w:val="auto"/>
              </w:rPr>
              <w:t>2006</w:t>
            </w: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28"/>
              <w:spacing w:after="0" w:line="98" w:lineRule="exact"/>
              <w:rPr>
                <w:sz w:val="20"/>
                <w:szCs w:val="20"/>
                <w:color w:val="auto"/>
              </w:rPr>
            </w:pPr>
            <w:r>
              <w:rPr>
                <w:rFonts w:ascii="Arial" w:cs="Arial" w:eastAsia="Arial" w:hAnsi="Arial"/>
                <w:sz w:val="10"/>
                <w:szCs w:val="10"/>
                <w:b w:val="1"/>
                <w:bCs w:val="1"/>
                <w:color w:val="auto"/>
              </w:rPr>
              <w:t>2005</w:t>
            </w: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28"/>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r>
      <w:tr>
        <w:trPr>
          <w:trHeight w:val="29"/>
        </w:trPr>
        <w:tc>
          <w:tcPr>
            <w:tcW w:w="7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08"/>
        </w:trPr>
        <w:tc>
          <w:tcPr>
            <w:tcW w:w="750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Cash flows from operating activities</w:t>
            </w: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7500" w:type="dxa"/>
            <w:vAlign w:val="bottom"/>
          </w:tcPr>
          <w:p>
            <w:pPr>
              <w:ind w:left="100"/>
              <w:spacing w:after="0" w:line="108" w:lineRule="exact"/>
              <w:rPr>
                <w:sz w:val="20"/>
                <w:szCs w:val="20"/>
                <w:color w:val="auto"/>
              </w:rPr>
            </w:pPr>
            <w:r>
              <w:rPr>
                <w:rFonts w:ascii="Arial" w:cs="Arial" w:eastAsia="Arial" w:hAnsi="Arial"/>
                <w:sz w:val="10"/>
                <w:szCs w:val="10"/>
                <w:color w:val="auto"/>
              </w:rPr>
              <w:t>Net income</w:t>
            </w:r>
          </w:p>
        </w:tc>
        <w:tc>
          <w:tcPr>
            <w:tcW w:w="120" w:type="dxa"/>
            <w:vAlign w:val="bottom"/>
          </w:tcPr>
          <w:p>
            <w:pPr>
              <w:jc w:val="right"/>
              <w:ind w:right="8"/>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48"/>
              <w:spacing w:after="0" w:line="108" w:lineRule="exact"/>
              <w:rPr>
                <w:sz w:val="20"/>
                <w:szCs w:val="20"/>
                <w:color w:val="auto"/>
              </w:rPr>
            </w:pPr>
            <w:r>
              <w:rPr>
                <w:rFonts w:ascii="Arial" w:cs="Arial" w:eastAsia="Arial" w:hAnsi="Arial"/>
                <w:sz w:val="10"/>
                <w:szCs w:val="10"/>
                <w:color w:val="auto"/>
              </w:rPr>
              <w:t>839,189</w:t>
            </w:r>
          </w:p>
        </w:tc>
        <w:tc>
          <w:tcPr>
            <w:tcW w:w="80" w:type="dxa"/>
            <w:vAlign w:val="bottom"/>
          </w:tcPr>
          <w:p>
            <w:pPr>
              <w:jc w:val="right"/>
              <w:ind w:right="14"/>
              <w:spacing w:after="0"/>
              <w:rPr>
                <w:sz w:val="20"/>
                <w:szCs w:val="20"/>
                <w:color w:val="auto"/>
              </w:rPr>
            </w:pPr>
            <w:r>
              <w:rPr>
                <w:rFonts w:ascii="Arial" w:cs="Arial" w:eastAsia="Arial" w:hAnsi="Arial"/>
                <w:sz w:val="5"/>
                <w:szCs w:val="5"/>
                <w:color w:val="auto"/>
                <w:w w:val="70"/>
              </w:rPr>
              <w:t>$</w:t>
            </w: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782,183</w:t>
            </w:r>
          </w:p>
        </w:tc>
        <w:tc>
          <w:tcPr>
            <w:tcW w:w="100" w:type="dxa"/>
            <w:vAlign w:val="bottom"/>
          </w:tcPr>
          <w:p>
            <w:pPr>
              <w:jc w:val="right"/>
              <w:ind w:right="34"/>
              <w:spacing w:after="0"/>
              <w:rPr>
                <w:sz w:val="20"/>
                <w:szCs w:val="20"/>
                <w:color w:val="auto"/>
              </w:rPr>
            </w:pPr>
            <w:r>
              <w:rPr>
                <w:rFonts w:ascii="Arial" w:cs="Arial" w:eastAsia="Arial" w:hAnsi="Arial"/>
                <w:sz w:val="5"/>
                <w:szCs w:val="5"/>
                <w:color w:val="auto"/>
                <w:w w:val="70"/>
              </w:rPr>
              <w:t>$</w:t>
            </w: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722,521</w:t>
            </w:r>
          </w:p>
        </w:tc>
      </w:tr>
      <w:tr>
        <w:trPr>
          <w:trHeight w:val="108"/>
        </w:trPr>
        <w:tc>
          <w:tcPr>
            <w:tcW w:w="750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Adjustments to reconcile net income to net cash provided by operating activities</w:t>
            </w: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7500" w:type="dxa"/>
            <w:vAlign w:val="bottom"/>
          </w:tcPr>
          <w:p>
            <w:pPr>
              <w:ind w:left="200"/>
              <w:spacing w:after="0" w:line="108" w:lineRule="exact"/>
              <w:rPr>
                <w:sz w:val="20"/>
                <w:szCs w:val="20"/>
                <w:color w:val="auto"/>
              </w:rPr>
            </w:pPr>
            <w:r>
              <w:rPr>
                <w:rFonts w:ascii="Arial" w:cs="Arial" w:eastAsia="Arial" w:hAnsi="Arial"/>
                <w:sz w:val="10"/>
                <w:szCs w:val="10"/>
                <w:color w:val="auto"/>
              </w:rPr>
              <w:t>Provision for credit losses</w:t>
            </w:r>
          </w:p>
        </w:tc>
        <w:tc>
          <w:tcPr>
            <w:tcW w:w="120" w:type="dxa"/>
            <w:vAlign w:val="bottom"/>
          </w:tcPr>
          <w:p>
            <w:pPr>
              <w:spacing w:after="0"/>
              <w:rPr>
                <w:sz w:val="9"/>
                <w:szCs w:val="9"/>
                <w:color w:val="auto"/>
              </w:rPr>
            </w:pPr>
          </w:p>
        </w:tc>
        <w:tc>
          <w:tcPr>
            <w:tcW w:w="800" w:type="dxa"/>
            <w:vAlign w:val="bottom"/>
            <w:gridSpan w:val="2"/>
          </w:tcPr>
          <w:p>
            <w:pPr>
              <w:jc w:val="right"/>
              <w:ind w:right="248"/>
              <w:spacing w:after="0" w:line="108" w:lineRule="exact"/>
              <w:rPr>
                <w:sz w:val="20"/>
                <w:szCs w:val="20"/>
                <w:color w:val="auto"/>
              </w:rPr>
            </w:pPr>
            <w:r>
              <w:rPr>
                <w:rFonts w:ascii="Arial" w:cs="Arial" w:eastAsia="Arial" w:hAnsi="Arial"/>
                <w:sz w:val="10"/>
                <w:szCs w:val="10"/>
                <w:color w:val="auto"/>
              </w:rPr>
              <w:t>80,000</w:t>
            </w:r>
          </w:p>
        </w:tc>
        <w:tc>
          <w:tcPr>
            <w:tcW w:w="80" w:type="dxa"/>
            <w:vAlign w:val="bottom"/>
          </w:tcPr>
          <w:p>
            <w:pPr>
              <w:spacing w:after="0"/>
              <w:rPr>
                <w:sz w:val="9"/>
                <w:szCs w:val="9"/>
                <w:color w:val="auto"/>
              </w:rPr>
            </w:pP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88,000</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95,000</w:t>
            </w:r>
          </w:p>
        </w:tc>
      </w:tr>
      <w:tr>
        <w:trPr>
          <w:trHeight w:val="108"/>
        </w:trPr>
        <w:tc>
          <w:tcPr>
            <w:tcW w:w="7500" w:type="dxa"/>
            <w:vAlign w:val="bottom"/>
            <w:shd w:val="clear" w:color="auto" w:fill="CCEEFF"/>
          </w:tcPr>
          <w:p>
            <w:pPr>
              <w:ind w:left="200"/>
              <w:spacing w:after="0" w:line="108" w:lineRule="exact"/>
              <w:rPr>
                <w:sz w:val="20"/>
                <w:szCs w:val="20"/>
                <w:color w:val="auto"/>
              </w:rPr>
            </w:pPr>
            <w:r>
              <w:rPr>
                <w:rFonts w:ascii="Arial" w:cs="Arial" w:eastAsia="Arial" w:hAnsi="Arial"/>
                <w:sz w:val="10"/>
                <w:szCs w:val="10"/>
                <w:color w:val="auto"/>
              </w:rPr>
              <w:t>Depreciation and amortization of premises and equipment</w:t>
            </w:r>
          </w:p>
        </w:tc>
        <w:tc>
          <w:tcPr>
            <w:tcW w:w="1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51,916</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58,477</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62,779</w:t>
            </w:r>
          </w:p>
        </w:tc>
      </w:tr>
      <w:tr>
        <w:trPr>
          <w:trHeight w:val="108"/>
        </w:trPr>
        <w:tc>
          <w:tcPr>
            <w:tcW w:w="7500" w:type="dxa"/>
            <w:vAlign w:val="bottom"/>
          </w:tcPr>
          <w:p>
            <w:pPr>
              <w:ind w:left="200"/>
              <w:spacing w:after="0" w:line="108" w:lineRule="exact"/>
              <w:rPr>
                <w:sz w:val="20"/>
                <w:szCs w:val="20"/>
                <w:color w:val="auto"/>
              </w:rPr>
            </w:pPr>
            <w:r>
              <w:rPr>
                <w:rFonts w:ascii="Arial" w:cs="Arial" w:eastAsia="Arial" w:hAnsi="Arial"/>
                <w:sz w:val="10"/>
                <w:szCs w:val="10"/>
                <w:color w:val="auto"/>
              </w:rPr>
              <w:t>Amortization of capitalized servicing rights</w:t>
            </w:r>
          </w:p>
        </w:tc>
        <w:tc>
          <w:tcPr>
            <w:tcW w:w="120" w:type="dxa"/>
            <w:vAlign w:val="bottom"/>
          </w:tcPr>
          <w:p>
            <w:pPr>
              <w:spacing w:after="0"/>
              <w:rPr>
                <w:sz w:val="9"/>
                <w:szCs w:val="9"/>
                <w:color w:val="auto"/>
              </w:rPr>
            </w:pPr>
          </w:p>
        </w:tc>
        <w:tc>
          <w:tcPr>
            <w:tcW w:w="800" w:type="dxa"/>
            <w:vAlign w:val="bottom"/>
            <w:gridSpan w:val="2"/>
          </w:tcPr>
          <w:p>
            <w:pPr>
              <w:jc w:val="right"/>
              <w:ind w:right="248"/>
              <w:spacing w:after="0" w:line="108" w:lineRule="exact"/>
              <w:rPr>
                <w:sz w:val="20"/>
                <w:szCs w:val="20"/>
                <w:color w:val="auto"/>
              </w:rPr>
            </w:pPr>
            <w:r>
              <w:rPr>
                <w:rFonts w:ascii="Arial" w:cs="Arial" w:eastAsia="Arial" w:hAnsi="Arial"/>
                <w:sz w:val="10"/>
                <w:szCs w:val="10"/>
                <w:color w:val="auto"/>
              </w:rPr>
              <w:t>61,007</w:t>
            </w:r>
          </w:p>
        </w:tc>
        <w:tc>
          <w:tcPr>
            <w:tcW w:w="80" w:type="dxa"/>
            <w:vAlign w:val="bottom"/>
          </w:tcPr>
          <w:p>
            <w:pPr>
              <w:spacing w:after="0"/>
              <w:rPr>
                <w:sz w:val="9"/>
                <w:szCs w:val="9"/>
                <w:color w:val="auto"/>
              </w:rPr>
            </w:pP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58,466</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57,885</w:t>
            </w:r>
          </w:p>
        </w:tc>
      </w:tr>
      <w:tr>
        <w:trPr>
          <w:trHeight w:val="108"/>
        </w:trPr>
        <w:tc>
          <w:tcPr>
            <w:tcW w:w="7500" w:type="dxa"/>
            <w:vAlign w:val="bottom"/>
            <w:shd w:val="clear" w:color="auto" w:fill="CCEEFF"/>
          </w:tcPr>
          <w:p>
            <w:pPr>
              <w:ind w:left="200"/>
              <w:spacing w:after="0" w:line="108" w:lineRule="exact"/>
              <w:rPr>
                <w:sz w:val="20"/>
                <w:szCs w:val="20"/>
                <w:color w:val="auto"/>
              </w:rPr>
            </w:pPr>
            <w:r>
              <w:rPr>
                <w:rFonts w:ascii="Arial" w:cs="Arial" w:eastAsia="Arial" w:hAnsi="Arial"/>
                <w:sz w:val="10"/>
                <w:szCs w:val="10"/>
                <w:color w:val="auto"/>
              </w:rPr>
              <w:t>Amortization of core deposit and other intangible assets</w:t>
            </w:r>
          </w:p>
        </w:tc>
        <w:tc>
          <w:tcPr>
            <w:tcW w:w="1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63,008</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56,805</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75,410</w:t>
            </w:r>
          </w:p>
        </w:tc>
      </w:tr>
      <w:tr>
        <w:trPr>
          <w:trHeight w:val="108"/>
        </w:trPr>
        <w:tc>
          <w:tcPr>
            <w:tcW w:w="7500" w:type="dxa"/>
            <w:vAlign w:val="bottom"/>
          </w:tcPr>
          <w:p>
            <w:pPr>
              <w:ind w:left="200"/>
              <w:spacing w:after="0" w:line="108" w:lineRule="exact"/>
              <w:rPr>
                <w:sz w:val="20"/>
                <w:szCs w:val="20"/>
                <w:color w:val="auto"/>
              </w:rPr>
            </w:pPr>
            <w:r>
              <w:rPr>
                <w:rFonts w:ascii="Arial" w:cs="Arial" w:eastAsia="Arial" w:hAnsi="Arial"/>
                <w:sz w:val="10"/>
                <w:szCs w:val="10"/>
                <w:color w:val="auto"/>
              </w:rPr>
              <w:t>Provision for deferred income taxes</w:t>
            </w:r>
          </w:p>
        </w:tc>
        <w:tc>
          <w:tcPr>
            <w:tcW w:w="120" w:type="dxa"/>
            <w:vAlign w:val="bottom"/>
          </w:tcPr>
          <w:p>
            <w:pPr>
              <w:spacing w:after="0"/>
              <w:rPr>
                <w:sz w:val="9"/>
                <w:szCs w:val="9"/>
                <w:color w:val="auto"/>
              </w:rPr>
            </w:pPr>
          </w:p>
        </w:tc>
        <w:tc>
          <w:tcPr>
            <w:tcW w:w="800" w:type="dxa"/>
            <w:vAlign w:val="bottom"/>
            <w:gridSpan w:val="2"/>
          </w:tcPr>
          <w:p>
            <w:pPr>
              <w:jc w:val="right"/>
              <w:ind w:right="208"/>
              <w:spacing w:after="0" w:line="108" w:lineRule="exact"/>
              <w:rPr>
                <w:sz w:val="20"/>
                <w:szCs w:val="20"/>
                <w:color w:val="auto"/>
              </w:rPr>
            </w:pPr>
            <w:r>
              <w:rPr>
                <w:rFonts w:ascii="Arial" w:cs="Arial" w:eastAsia="Arial" w:hAnsi="Arial"/>
                <w:sz w:val="10"/>
                <w:szCs w:val="10"/>
                <w:color w:val="auto"/>
              </w:rPr>
              <w:t>(68,249)</w:t>
            </w:r>
          </w:p>
        </w:tc>
        <w:tc>
          <w:tcPr>
            <w:tcW w:w="80" w:type="dxa"/>
            <w:vAlign w:val="bottom"/>
          </w:tcPr>
          <w:p>
            <w:pPr>
              <w:spacing w:after="0"/>
              <w:rPr>
                <w:sz w:val="9"/>
                <w:szCs w:val="9"/>
                <w:color w:val="auto"/>
              </w:rPr>
            </w:pPr>
          </w:p>
        </w:tc>
        <w:tc>
          <w:tcPr>
            <w:tcW w:w="80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(88,071)</w:t>
            </w:r>
          </w:p>
        </w:tc>
        <w:tc>
          <w:tcPr>
            <w:tcW w:w="100" w:type="dxa"/>
            <w:vAlign w:val="bottom"/>
          </w:tcPr>
          <w:p>
            <w:pPr>
              <w:spacing w:after="0"/>
              <w:rPr>
                <w:sz w:val="9"/>
                <w:szCs w:val="9"/>
                <w:color w:val="auto"/>
              </w:rPr>
            </w:pPr>
          </w:p>
        </w:tc>
        <w:tc>
          <w:tcPr>
            <w:tcW w:w="5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(137,596)</w:t>
            </w:r>
          </w:p>
        </w:tc>
      </w:tr>
      <w:tr>
        <w:trPr>
          <w:trHeight w:val="108"/>
        </w:trPr>
        <w:tc>
          <w:tcPr>
            <w:tcW w:w="7500" w:type="dxa"/>
            <w:vAlign w:val="bottom"/>
            <w:shd w:val="clear" w:color="auto" w:fill="CCEEFF"/>
          </w:tcPr>
          <w:p>
            <w:pPr>
              <w:ind w:left="200"/>
              <w:spacing w:after="0" w:line="108" w:lineRule="exact"/>
              <w:rPr>
                <w:sz w:val="20"/>
                <w:szCs w:val="20"/>
                <w:color w:val="auto"/>
              </w:rPr>
            </w:pPr>
            <w:r>
              <w:rPr>
                <w:rFonts w:ascii="Arial" w:cs="Arial" w:eastAsia="Arial" w:hAnsi="Arial"/>
                <w:sz w:val="10"/>
                <w:szCs w:val="10"/>
                <w:color w:val="auto"/>
              </w:rPr>
              <w:t>Asset write-downs</w:t>
            </w:r>
          </w:p>
        </w:tc>
        <w:tc>
          <w:tcPr>
            <w:tcW w:w="1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7,713</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32,765</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737</w:t>
            </w:r>
          </w:p>
        </w:tc>
      </w:tr>
      <w:tr>
        <w:trPr>
          <w:trHeight w:val="108"/>
        </w:trPr>
        <w:tc>
          <w:tcPr>
            <w:tcW w:w="7500" w:type="dxa"/>
            <w:vAlign w:val="bottom"/>
          </w:tcPr>
          <w:p>
            <w:pPr>
              <w:ind w:left="200"/>
              <w:spacing w:after="0" w:line="108" w:lineRule="exact"/>
              <w:rPr>
                <w:sz w:val="20"/>
                <w:szCs w:val="20"/>
                <w:color w:val="auto"/>
              </w:rPr>
            </w:pPr>
            <w:r>
              <w:rPr>
                <w:rFonts w:ascii="Arial" w:cs="Arial" w:eastAsia="Arial" w:hAnsi="Arial"/>
                <w:sz w:val="10"/>
                <w:szCs w:val="10"/>
                <w:color w:val="auto"/>
              </w:rPr>
              <w:t>Net gain on sales of assets</w:t>
            </w:r>
          </w:p>
        </w:tc>
        <w:tc>
          <w:tcPr>
            <w:tcW w:w="120" w:type="dxa"/>
            <w:vAlign w:val="bottom"/>
          </w:tcPr>
          <w:p>
            <w:pPr>
              <w:spacing w:after="0"/>
              <w:rPr>
                <w:sz w:val="9"/>
                <w:szCs w:val="9"/>
                <w:color w:val="auto"/>
              </w:rPr>
            </w:pPr>
          </w:p>
        </w:tc>
        <w:tc>
          <w:tcPr>
            <w:tcW w:w="800" w:type="dxa"/>
            <w:vAlign w:val="bottom"/>
            <w:gridSpan w:val="2"/>
          </w:tcPr>
          <w:p>
            <w:pPr>
              <w:jc w:val="right"/>
              <w:ind w:right="208"/>
              <w:spacing w:after="0" w:line="108" w:lineRule="exact"/>
              <w:rPr>
                <w:sz w:val="20"/>
                <w:szCs w:val="20"/>
                <w:color w:val="auto"/>
              </w:rPr>
            </w:pPr>
            <w:r>
              <w:rPr>
                <w:rFonts w:ascii="Arial" w:cs="Arial" w:eastAsia="Arial" w:hAnsi="Arial"/>
                <w:sz w:val="10"/>
                <w:szCs w:val="10"/>
                <w:color w:val="auto"/>
              </w:rPr>
              <w:t>(12,915)</w:t>
            </w:r>
          </w:p>
        </w:tc>
        <w:tc>
          <w:tcPr>
            <w:tcW w:w="80" w:type="dxa"/>
            <w:vAlign w:val="bottom"/>
          </w:tcPr>
          <w:p>
            <w:pPr>
              <w:spacing w:after="0"/>
              <w:rPr>
                <w:sz w:val="9"/>
                <w:szCs w:val="9"/>
                <w:color w:val="auto"/>
              </w:rPr>
            </w:pPr>
          </w:p>
        </w:tc>
        <w:tc>
          <w:tcPr>
            <w:tcW w:w="80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(9,694)</w:t>
            </w:r>
          </w:p>
        </w:tc>
        <w:tc>
          <w:tcPr>
            <w:tcW w:w="100" w:type="dxa"/>
            <w:vAlign w:val="bottom"/>
          </w:tcPr>
          <w:p>
            <w:pPr>
              <w:spacing w:after="0"/>
              <w:rPr>
                <w:sz w:val="9"/>
                <w:szCs w:val="9"/>
                <w:color w:val="auto"/>
              </w:rPr>
            </w:pPr>
          </w:p>
        </w:tc>
        <w:tc>
          <w:tcPr>
            <w:tcW w:w="5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(7,127)</w:t>
            </w:r>
          </w:p>
        </w:tc>
      </w:tr>
      <w:tr>
        <w:trPr>
          <w:trHeight w:val="108"/>
        </w:trPr>
        <w:tc>
          <w:tcPr>
            <w:tcW w:w="7500" w:type="dxa"/>
            <w:vAlign w:val="bottom"/>
            <w:shd w:val="clear" w:color="auto" w:fill="CCEEFF"/>
          </w:tcPr>
          <w:p>
            <w:pPr>
              <w:ind w:left="200"/>
              <w:spacing w:after="0" w:line="108" w:lineRule="exact"/>
              <w:rPr>
                <w:sz w:val="20"/>
                <w:szCs w:val="20"/>
                <w:color w:val="auto"/>
              </w:rPr>
            </w:pPr>
            <w:r>
              <w:rPr>
                <w:rFonts w:ascii="Arial" w:cs="Arial" w:eastAsia="Arial" w:hAnsi="Arial"/>
                <w:sz w:val="10"/>
                <w:szCs w:val="10"/>
                <w:color w:val="auto"/>
              </w:rPr>
              <w:t>Net change in accrued interest receivable, payable</w:t>
            </w:r>
          </w:p>
        </w:tc>
        <w:tc>
          <w:tcPr>
            <w:tcW w:w="1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21,493</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3,099</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(26,438)</w:t>
            </w:r>
          </w:p>
        </w:tc>
      </w:tr>
      <w:tr>
        <w:trPr>
          <w:trHeight w:val="108"/>
        </w:trPr>
        <w:tc>
          <w:tcPr>
            <w:tcW w:w="7500" w:type="dxa"/>
            <w:vAlign w:val="bottom"/>
          </w:tcPr>
          <w:p>
            <w:pPr>
              <w:ind w:left="200"/>
              <w:spacing w:after="0" w:line="108" w:lineRule="exact"/>
              <w:rPr>
                <w:sz w:val="20"/>
                <w:szCs w:val="20"/>
                <w:color w:val="auto"/>
              </w:rPr>
            </w:pPr>
            <w:r>
              <w:rPr>
                <w:rFonts w:ascii="Arial" w:cs="Arial" w:eastAsia="Arial" w:hAnsi="Arial"/>
                <w:sz w:val="10"/>
                <w:szCs w:val="10"/>
                <w:color w:val="auto"/>
              </w:rPr>
              <w:t>Net change in other accrued income and expense</w:t>
            </w:r>
          </w:p>
        </w:tc>
        <w:tc>
          <w:tcPr>
            <w:tcW w:w="120" w:type="dxa"/>
            <w:vAlign w:val="bottom"/>
          </w:tcPr>
          <w:p>
            <w:pPr>
              <w:spacing w:after="0"/>
              <w:rPr>
                <w:sz w:val="9"/>
                <w:szCs w:val="9"/>
                <w:color w:val="auto"/>
              </w:rPr>
            </w:pPr>
          </w:p>
        </w:tc>
        <w:tc>
          <w:tcPr>
            <w:tcW w:w="800" w:type="dxa"/>
            <w:vAlign w:val="bottom"/>
            <w:gridSpan w:val="2"/>
          </w:tcPr>
          <w:p>
            <w:pPr>
              <w:jc w:val="right"/>
              <w:ind w:right="248"/>
              <w:spacing w:after="0" w:line="108" w:lineRule="exact"/>
              <w:rPr>
                <w:sz w:val="20"/>
                <w:szCs w:val="20"/>
                <w:color w:val="auto"/>
              </w:rPr>
            </w:pPr>
            <w:r>
              <w:rPr>
                <w:rFonts w:ascii="Arial" w:cs="Arial" w:eastAsia="Arial" w:hAnsi="Arial"/>
                <w:sz w:val="10"/>
                <w:szCs w:val="10"/>
                <w:color w:val="auto"/>
              </w:rPr>
              <w:t>58,707</w:t>
            </w:r>
          </w:p>
        </w:tc>
        <w:tc>
          <w:tcPr>
            <w:tcW w:w="80" w:type="dxa"/>
            <w:vAlign w:val="bottom"/>
          </w:tcPr>
          <w:p>
            <w:pPr>
              <w:spacing w:after="0"/>
              <w:rPr>
                <w:sz w:val="9"/>
                <w:szCs w:val="9"/>
                <w:color w:val="auto"/>
              </w:rPr>
            </w:pPr>
          </w:p>
        </w:tc>
        <w:tc>
          <w:tcPr>
            <w:tcW w:w="80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(25,017)</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4,528</w:t>
            </w:r>
          </w:p>
        </w:tc>
      </w:tr>
      <w:tr>
        <w:trPr>
          <w:trHeight w:val="108"/>
        </w:trPr>
        <w:tc>
          <w:tcPr>
            <w:tcW w:w="7500" w:type="dxa"/>
            <w:vAlign w:val="bottom"/>
            <w:shd w:val="clear" w:color="auto" w:fill="CCEEFF"/>
          </w:tcPr>
          <w:p>
            <w:pPr>
              <w:ind w:left="200"/>
              <w:spacing w:after="0" w:line="108" w:lineRule="exact"/>
              <w:rPr>
                <w:sz w:val="20"/>
                <w:szCs w:val="20"/>
                <w:color w:val="auto"/>
              </w:rPr>
            </w:pPr>
            <w:r>
              <w:rPr>
                <w:rFonts w:ascii="Arial" w:cs="Arial" w:eastAsia="Arial" w:hAnsi="Arial"/>
                <w:sz w:val="10"/>
                <w:szCs w:val="10"/>
                <w:color w:val="auto"/>
              </w:rPr>
              <w:t>Net change in loans held for sale</w:t>
            </w:r>
          </w:p>
        </w:tc>
        <w:tc>
          <w:tcPr>
            <w:tcW w:w="1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08"/>
              <w:spacing w:after="0" w:line="108" w:lineRule="exact"/>
              <w:rPr>
                <w:sz w:val="20"/>
                <w:szCs w:val="20"/>
                <w:color w:val="auto"/>
              </w:rPr>
            </w:pPr>
            <w:r>
              <w:rPr>
                <w:rFonts w:ascii="Arial" w:cs="Arial" w:eastAsia="Arial" w:hAnsi="Arial"/>
                <w:sz w:val="10"/>
                <w:szCs w:val="10"/>
                <w:color w:val="auto"/>
              </w:rPr>
              <w:t>(605,240)</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60"/>
              <w:spacing w:after="0" w:line="108" w:lineRule="exact"/>
              <w:rPr>
                <w:sz w:val="20"/>
                <w:szCs w:val="20"/>
                <w:color w:val="auto"/>
              </w:rPr>
            </w:pPr>
            <w:r>
              <w:rPr>
                <w:rFonts w:ascii="Arial" w:cs="Arial" w:eastAsia="Arial" w:hAnsi="Arial"/>
                <w:sz w:val="10"/>
                <w:szCs w:val="10"/>
                <w:color w:val="auto"/>
              </w:rPr>
              <w:t>(609,433)</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(133,925)</w:t>
            </w:r>
          </w:p>
        </w:tc>
      </w:tr>
      <w:tr>
        <w:trPr>
          <w:trHeight w:val="108"/>
        </w:trPr>
        <w:tc>
          <w:tcPr>
            <w:tcW w:w="7500" w:type="dxa"/>
            <w:vAlign w:val="bottom"/>
          </w:tcPr>
          <w:p>
            <w:pPr>
              <w:ind w:left="200"/>
              <w:spacing w:after="0" w:line="108" w:lineRule="exact"/>
              <w:rPr>
                <w:sz w:val="20"/>
                <w:szCs w:val="20"/>
                <w:color w:val="auto"/>
              </w:rPr>
            </w:pPr>
            <w:r>
              <w:rPr>
                <w:rFonts w:ascii="Arial" w:cs="Arial" w:eastAsia="Arial" w:hAnsi="Arial"/>
                <w:sz w:val="10"/>
                <w:szCs w:val="10"/>
                <w:color w:val="auto"/>
              </w:rPr>
              <w:t>Net change in trading account assets and liabilities</w:t>
            </w:r>
          </w:p>
        </w:tc>
        <w:tc>
          <w:tcPr>
            <w:tcW w:w="12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Arial" w:cs="Arial" w:eastAsia="Arial" w:hAnsi="Arial"/>
                <w:sz w:val="10"/>
                <w:szCs w:val="10"/>
                <w:color w:val="auto"/>
              </w:rPr>
              <w:t>43,234</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(49,208)</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10,596</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7500" w:type="dxa"/>
            <w:vAlign w:val="bottom"/>
            <w:shd w:val="clear" w:color="auto" w:fill="CCEEFF"/>
          </w:tcPr>
          <w:p>
            <w:pPr>
              <w:ind w:left="200"/>
              <w:spacing w:after="0" w:line="108" w:lineRule="exact"/>
              <w:rPr>
                <w:sz w:val="20"/>
                <w:szCs w:val="20"/>
                <w:color w:val="auto"/>
              </w:rPr>
            </w:pPr>
            <w:r>
              <w:rPr>
                <w:rFonts w:ascii="Arial" w:cs="Arial" w:eastAsia="Arial" w:hAnsi="Arial"/>
                <w:sz w:val="10"/>
                <w:szCs w:val="10"/>
                <w:color w:val="auto"/>
              </w:rPr>
              <w:t>Net cash provided by operating activities</w:t>
            </w: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539,863</w:t>
            </w: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298,372</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724,370</w:t>
            </w:r>
          </w:p>
        </w:tc>
      </w:tr>
      <w:tr>
        <w:trPr>
          <w:trHeight w:val="108"/>
        </w:trPr>
        <w:tc>
          <w:tcPr>
            <w:tcW w:w="7500" w:type="dxa"/>
            <w:vAlign w:val="bottom"/>
          </w:tcPr>
          <w:p>
            <w:pPr>
              <w:spacing w:after="0" w:line="108" w:lineRule="exact"/>
              <w:rPr>
                <w:sz w:val="20"/>
                <w:szCs w:val="20"/>
                <w:color w:val="auto"/>
              </w:rPr>
            </w:pPr>
            <w:r>
              <w:rPr>
                <w:rFonts w:ascii="Arial" w:cs="Arial" w:eastAsia="Arial" w:hAnsi="Arial"/>
                <w:sz w:val="10"/>
                <w:szCs w:val="10"/>
                <w:b w:val="1"/>
                <w:bCs w:val="1"/>
                <w:color w:val="auto"/>
              </w:rPr>
              <w:t>Cash flows from investing activities</w:t>
            </w: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750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Proceeds from sales of investment securities</w:t>
            </w: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7500" w:type="dxa"/>
            <w:vAlign w:val="bottom"/>
          </w:tcPr>
          <w:p>
            <w:pPr>
              <w:ind w:left="200"/>
              <w:spacing w:after="0" w:line="108" w:lineRule="exact"/>
              <w:rPr>
                <w:sz w:val="20"/>
                <w:szCs w:val="20"/>
                <w:color w:val="auto"/>
              </w:rPr>
            </w:pPr>
            <w:r>
              <w:rPr>
                <w:rFonts w:ascii="Arial" w:cs="Arial" w:eastAsia="Arial" w:hAnsi="Arial"/>
                <w:sz w:val="10"/>
                <w:szCs w:val="10"/>
                <w:color w:val="auto"/>
              </w:rPr>
              <w:t>Available for sale</w:t>
            </w:r>
          </w:p>
        </w:tc>
        <w:tc>
          <w:tcPr>
            <w:tcW w:w="120" w:type="dxa"/>
            <w:vAlign w:val="bottom"/>
          </w:tcPr>
          <w:p>
            <w:pPr>
              <w:spacing w:after="0"/>
              <w:rPr>
                <w:sz w:val="9"/>
                <w:szCs w:val="9"/>
                <w:color w:val="auto"/>
              </w:rPr>
            </w:pPr>
          </w:p>
        </w:tc>
        <w:tc>
          <w:tcPr>
            <w:tcW w:w="800" w:type="dxa"/>
            <w:vAlign w:val="bottom"/>
            <w:gridSpan w:val="2"/>
          </w:tcPr>
          <w:p>
            <w:pPr>
              <w:jc w:val="right"/>
              <w:ind w:right="248"/>
              <w:spacing w:after="0" w:line="108" w:lineRule="exact"/>
              <w:rPr>
                <w:sz w:val="20"/>
                <w:szCs w:val="20"/>
                <w:color w:val="auto"/>
              </w:rPr>
            </w:pPr>
            <w:r>
              <w:rPr>
                <w:rFonts w:ascii="Arial" w:cs="Arial" w:eastAsia="Arial" w:hAnsi="Arial"/>
                <w:sz w:val="10"/>
                <w:szCs w:val="10"/>
                <w:color w:val="auto"/>
              </w:rPr>
              <w:t>110,501</w:t>
            </w:r>
          </w:p>
        </w:tc>
        <w:tc>
          <w:tcPr>
            <w:tcW w:w="80" w:type="dxa"/>
            <w:vAlign w:val="bottom"/>
          </w:tcPr>
          <w:p>
            <w:pPr>
              <w:spacing w:after="0"/>
              <w:rPr>
                <w:sz w:val="9"/>
                <w:szCs w:val="9"/>
                <w:color w:val="auto"/>
              </w:rPr>
            </w:pP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20,673</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727,229</w:t>
            </w:r>
          </w:p>
        </w:tc>
      </w:tr>
      <w:tr>
        <w:trPr>
          <w:trHeight w:val="108"/>
        </w:trPr>
        <w:tc>
          <w:tcPr>
            <w:tcW w:w="7500" w:type="dxa"/>
            <w:vAlign w:val="bottom"/>
            <w:shd w:val="clear" w:color="auto" w:fill="CCEEFF"/>
          </w:tcPr>
          <w:p>
            <w:pPr>
              <w:ind w:left="200"/>
              <w:spacing w:after="0" w:line="108" w:lineRule="exact"/>
              <w:rPr>
                <w:sz w:val="20"/>
                <w:szCs w:val="20"/>
                <w:color w:val="auto"/>
              </w:rPr>
            </w:pPr>
            <w:r>
              <w:rPr>
                <w:rFonts w:ascii="Arial" w:cs="Arial" w:eastAsia="Arial" w:hAnsi="Arial"/>
                <w:sz w:val="10"/>
                <w:szCs w:val="10"/>
                <w:color w:val="auto"/>
              </w:rPr>
              <w:t>Other</w:t>
            </w:r>
          </w:p>
        </w:tc>
        <w:tc>
          <w:tcPr>
            <w:tcW w:w="1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42,300</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62,047</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20,510</w:t>
            </w:r>
          </w:p>
        </w:tc>
      </w:tr>
      <w:tr>
        <w:trPr>
          <w:trHeight w:val="108"/>
        </w:trPr>
        <w:tc>
          <w:tcPr>
            <w:tcW w:w="7500" w:type="dxa"/>
            <w:vAlign w:val="bottom"/>
          </w:tcPr>
          <w:p>
            <w:pPr>
              <w:ind w:left="100"/>
              <w:spacing w:after="0" w:line="108" w:lineRule="exact"/>
              <w:rPr>
                <w:sz w:val="20"/>
                <w:szCs w:val="20"/>
                <w:color w:val="auto"/>
              </w:rPr>
            </w:pPr>
            <w:r>
              <w:rPr>
                <w:rFonts w:ascii="Arial" w:cs="Arial" w:eastAsia="Arial" w:hAnsi="Arial"/>
                <w:sz w:val="10"/>
                <w:szCs w:val="10"/>
                <w:color w:val="auto"/>
              </w:rPr>
              <w:t>Proceeds from maturities of investment securities</w:t>
            </w: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7500" w:type="dxa"/>
            <w:vAlign w:val="bottom"/>
            <w:shd w:val="clear" w:color="auto" w:fill="CCEEFF"/>
          </w:tcPr>
          <w:p>
            <w:pPr>
              <w:ind w:left="200"/>
              <w:spacing w:after="0" w:line="108" w:lineRule="exact"/>
              <w:rPr>
                <w:sz w:val="20"/>
                <w:szCs w:val="20"/>
                <w:color w:val="auto"/>
              </w:rPr>
            </w:pPr>
            <w:r>
              <w:rPr>
                <w:rFonts w:ascii="Arial" w:cs="Arial" w:eastAsia="Arial" w:hAnsi="Arial"/>
                <w:sz w:val="10"/>
                <w:szCs w:val="10"/>
                <w:color w:val="auto"/>
              </w:rPr>
              <w:t>Available for sale</w:t>
            </w:r>
          </w:p>
        </w:tc>
        <w:tc>
          <w:tcPr>
            <w:tcW w:w="1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1,701,402</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2,158,675</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2,902,255</w:t>
            </w:r>
          </w:p>
        </w:tc>
      </w:tr>
      <w:tr>
        <w:trPr>
          <w:trHeight w:val="108"/>
        </w:trPr>
        <w:tc>
          <w:tcPr>
            <w:tcW w:w="7500" w:type="dxa"/>
            <w:vAlign w:val="bottom"/>
          </w:tcPr>
          <w:p>
            <w:pPr>
              <w:ind w:left="200"/>
              <w:spacing w:after="0" w:line="108" w:lineRule="exact"/>
              <w:rPr>
                <w:sz w:val="20"/>
                <w:szCs w:val="20"/>
                <w:color w:val="auto"/>
              </w:rPr>
            </w:pPr>
            <w:r>
              <w:rPr>
                <w:rFonts w:ascii="Arial" w:cs="Arial" w:eastAsia="Arial" w:hAnsi="Arial"/>
                <w:sz w:val="10"/>
                <w:szCs w:val="10"/>
                <w:color w:val="auto"/>
              </w:rPr>
              <w:t>Held to maturity</w:t>
            </w:r>
          </w:p>
        </w:tc>
        <w:tc>
          <w:tcPr>
            <w:tcW w:w="120" w:type="dxa"/>
            <w:vAlign w:val="bottom"/>
          </w:tcPr>
          <w:p>
            <w:pPr>
              <w:spacing w:after="0"/>
              <w:rPr>
                <w:sz w:val="9"/>
                <w:szCs w:val="9"/>
                <w:color w:val="auto"/>
              </w:rPr>
            </w:pPr>
          </w:p>
        </w:tc>
        <w:tc>
          <w:tcPr>
            <w:tcW w:w="800" w:type="dxa"/>
            <w:vAlign w:val="bottom"/>
            <w:gridSpan w:val="2"/>
          </w:tcPr>
          <w:p>
            <w:pPr>
              <w:jc w:val="right"/>
              <w:ind w:right="248"/>
              <w:spacing w:after="0" w:line="108" w:lineRule="exact"/>
              <w:rPr>
                <w:sz w:val="20"/>
                <w:szCs w:val="20"/>
                <w:color w:val="auto"/>
              </w:rPr>
            </w:pPr>
            <w:r>
              <w:rPr>
                <w:rFonts w:ascii="Arial" w:cs="Arial" w:eastAsia="Arial" w:hAnsi="Arial"/>
                <w:sz w:val="10"/>
                <w:szCs w:val="10"/>
                <w:color w:val="auto"/>
              </w:rPr>
              <w:t>95,951</w:t>
            </w:r>
          </w:p>
        </w:tc>
        <w:tc>
          <w:tcPr>
            <w:tcW w:w="80" w:type="dxa"/>
            <w:vAlign w:val="bottom"/>
          </w:tcPr>
          <w:p>
            <w:pPr>
              <w:spacing w:after="0"/>
              <w:rPr>
                <w:sz w:val="9"/>
                <w:szCs w:val="9"/>
                <w:color w:val="auto"/>
              </w:rPr>
            </w:pP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104,500</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142,799</w:t>
            </w:r>
          </w:p>
        </w:tc>
      </w:tr>
      <w:tr>
        <w:trPr>
          <w:trHeight w:val="108"/>
        </w:trPr>
        <w:tc>
          <w:tcPr>
            <w:tcW w:w="750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Purchases of investment securities</w:t>
            </w: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7500" w:type="dxa"/>
            <w:vAlign w:val="bottom"/>
          </w:tcPr>
          <w:p>
            <w:pPr>
              <w:ind w:left="200"/>
              <w:spacing w:after="0" w:line="108" w:lineRule="exact"/>
              <w:rPr>
                <w:sz w:val="20"/>
                <w:szCs w:val="20"/>
                <w:color w:val="auto"/>
              </w:rPr>
            </w:pPr>
            <w:r>
              <w:rPr>
                <w:rFonts w:ascii="Arial" w:cs="Arial" w:eastAsia="Arial" w:hAnsi="Arial"/>
                <w:sz w:val="10"/>
                <w:szCs w:val="10"/>
                <w:color w:val="auto"/>
              </w:rPr>
              <w:t>Available for sale</w:t>
            </w:r>
          </w:p>
        </w:tc>
        <w:tc>
          <w:tcPr>
            <w:tcW w:w="120" w:type="dxa"/>
            <w:vAlign w:val="bottom"/>
          </w:tcPr>
          <w:p>
            <w:pPr>
              <w:spacing w:after="0"/>
              <w:rPr>
                <w:sz w:val="9"/>
                <w:szCs w:val="9"/>
                <w:color w:val="auto"/>
              </w:rPr>
            </w:pPr>
          </w:p>
        </w:tc>
        <w:tc>
          <w:tcPr>
            <w:tcW w:w="800" w:type="dxa"/>
            <w:vAlign w:val="bottom"/>
            <w:gridSpan w:val="2"/>
          </w:tcPr>
          <w:p>
            <w:pPr>
              <w:jc w:val="right"/>
              <w:ind w:right="208"/>
              <w:spacing w:after="0" w:line="108" w:lineRule="exact"/>
              <w:rPr>
                <w:sz w:val="20"/>
                <w:szCs w:val="20"/>
                <w:color w:val="auto"/>
              </w:rPr>
            </w:pPr>
            <w:r>
              <w:rPr>
                <w:rFonts w:ascii="Arial" w:cs="Arial" w:eastAsia="Arial" w:hAnsi="Arial"/>
                <w:sz w:val="10"/>
                <w:szCs w:val="10"/>
                <w:color w:val="auto"/>
              </w:rPr>
              <w:t>(675,737)</w:t>
            </w:r>
          </w:p>
        </w:tc>
        <w:tc>
          <w:tcPr>
            <w:tcW w:w="80" w:type="dxa"/>
            <w:vAlign w:val="bottom"/>
          </w:tcPr>
          <w:p>
            <w:pPr>
              <w:spacing w:after="0"/>
              <w:rPr>
                <w:sz w:val="9"/>
                <w:szCs w:val="9"/>
                <w:color w:val="auto"/>
              </w:rPr>
            </w:pPr>
          </w:p>
        </w:tc>
        <w:tc>
          <w:tcPr>
            <w:tcW w:w="80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(2,047,939)</w:t>
            </w:r>
          </w:p>
        </w:tc>
        <w:tc>
          <w:tcPr>
            <w:tcW w:w="100" w:type="dxa"/>
            <w:vAlign w:val="bottom"/>
          </w:tcPr>
          <w:p>
            <w:pPr>
              <w:spacing w:after="0"/>
              <w:rPr>
                <w:sz w:val="9"/>
                <w:szCs w:val="9"/>
                <w:color w:val="auto"/>
              </w:rPr>
            </w:pPr>
          </w:p>
        </w:tc>
        <w:tc>
          <w:tcPr>
            <w:tcW w:w="5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w w:val="97"/>
              </w:rPr>
              <w:t>(4,874,927)</w:t>
            </w:r>
          </w:p>
        </w:tc>
      </w:tr>
      <w:tr>
        <w:trPr>
          <w:trHeight w:val="108"/>
        </w:trPr>
        <w:tc>
          <w:tcPr>
            <w:tcW w:w="7500" w:type="dxa"/>
            <w:vAlign w:val="bottom"/>
            <w:shd w:val="clear" w:color="auto" w:fill="CCEEFF"/>
          </w:tcPr>
          <w:p>
            <w:pPr>
              <w:ind w:left="200"/>
              <w:spacing w:after="0" w:line="108" w:lineRule="exact"/>
              <w:rPr>
                <w:sz w:val="20"/>
                <w:szCs w:val="20"/>
                <w:color w:val="auto"/>
              </w:rPr>
            </w:pPr>
            <w:r>
              <w:rPr>
                <w:rFonts w:ascii="Arial" w:cs="Arial" w:eastAsia="Arial" w:hAnsi="Arial"/>
                <w:sz w:val="10"/>
                <w:szCs w:val="10"/>
                <w:color w:val="auto"/>
              </w:rPr>
              <w:t>Held to maturity</w:t>
            </w:r>
          </w:p>
        </w:tc>
        <w:tc>
          <w:tcPr>
            <w:tcW w:w="1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08"/>
              <w:spacing w:after="0" w:line="108" w:lineRule="exact"/>
              <w:rPr>
                <w:sz w:val="20"/>
                <w:szCs w:val="20"/>
                <w:color w:val="auto"/>
              </w:rPr>
            </w:pPr>
            <w:r>
              <w:rPr>
                <w:rFonts w:ascii="Arial" w:cs="Arial" w:eastAsia="Arial" w:hAnsi="Arial"/>
                <w:sz w:val="10"/>
                <w:szCs w:val="10"/>
                <w:color w:val="auto"/>
              </w:rPr>
              <w:t>(59,814)</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60"/>
              <w:spacing w:after="0" w:line="108" w:lineRule="exact"/>
              <w:rPr>
                <w:sz w:val="20"/>
                <w:szCs w:val="20"/>
                <w:color w:val="auto"/>
              </w:rPr>
            </w:pPr>
            <w:r>
              <w:rPr>
                <w:rFonts w:ascii="Arial" w:cs="Arial" w:eastAsia="Arial" w:hAnsi="Arial"/>
                <w:sz w:val="10"/>
                <w:szCs w:val="10"/>
                <w:color w:val="auto"/>
              </w:rPr>
              <w:t>(107,540)</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(136,018)</w:t>
            </w:r>
          </w:p>
        </w:tc>
      </w:tr>
      <w:tr>
        <w:trPr>
          <w:trHeight w:val="108"/>
        </w:trPr>
        <w:tc>
          <w:tcPr>
            <w:tcW w:w="7500" w:type="dxa"/>
            <w:vAlign w:val="bottom"/>
          </w:tcPr>
          <w:p>
            <w:pPr>
              <w:ind w:left="200"/>
              <w:spacing w:after="0" w:line="108" w:lineRule="exact"/>
              <w:rPr>
                <w:sz w:val="20"/>
                <w:szCs w:val="20"/>
                <w:color w:val="auto"/>
              </w:rPr>
            </w:pPr>
            <w:r>
              <w:rPr>
                <w:rFonts w:ascii="Arial" w:cs="Arial" w:eastAsia="Arial" w:hAnsi="Arial"/>
                <w:sz w:val="10"/>
                <w:szCs w:val="10"/>
                <w:color w:val="auto"/>
              </w:rPr>
              <w:t>Other</w:t>
            </w:r>
          </w:p>
        </w:tc>
        <w:tc>
          <w:tcPr>
            <w:tcW w:w="120" w:type="dxa"/>
            <w:vAlign w:val="bottom"/>
          </w:tcPr>
          <w:p>
            <w:pPr>
              <w:spacing w:after="0"/>
              <w:rPr>
                <w:sz w:val="9"/>
                <w:szCs w:val="9"/>
                <w:color w:val="auto"/>
              </w:rPr>
            </w:pPr>
          </w:p>
        </w:tc>
        <w:tc>
          <w:tcPr>
            <w:tcW w:w="800" w:type="dxa"/>
            <w:vAlign w:val="bottom"/>
            <w:gridSpan w:val="2"/>
          </w:tcPr>
          <w:p>
            <w:pPr>
              <w:jc w:val="right"/>
              <w:ind w:right="208"/>
              <w:spacing w:after="0" w:line="108" w:lineRule="exact"/>
              <w:rPr>
                <w:sz w:val="20"/>
                <w:szCs w:val="20"/>
                <w:color w:val="auto"/>
              </w:rPr>
            </w:pPr>
            <w:r>
              <w:rPr>
                <w:rFonts w:ascii="Arial" w:cs="Arial" w:eastAsia="Arial" w:hAnsi="Arial"/>
                <w:sz w:val="10"/>
                <w:szCs w:val="10"/>
                <w:color w:val="auto"/>
              </w:rPr>
              <w:t>(31,749)</w:t>
            </w:r>
          </w:p>
        </w:tc>
        <w:tc>
          <w:tcPr>
            <w:tcW w:w="80" w:type="dxa"/>
            <w:vAlign w:val="bottom"/>
          </w:tcPr>
          <w:p>
            <w:pPr>
              <w:spacing w:after="0"/>
              <w:rPr>
                <w:sz w:val="9"/>
                <w:szCs w:val="9"/>
                <w:color w:val="auto"/>
              </w:rPr>
            </w:pPr>
          </w:p>
        </w:tc>
        <w:tc>
          <w:tcPr>
            <w:tcW w:w="80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(107,597)</w:t>
            </w:r>
          </w:p>
        </w:tc>
        <w:tc>
          <w:tcPr>
            <w:tcW w:w="100" w:type="dxa"/>
            <w:vAlign w:val="bottom"/>
          </w:tcPr>
          <w:p>
            <w:pPr>
              <w:spacing w:after="0"/>
              <w:rPr>
                <w:sz w:val="9"/>
                <w:szCs w:val="9"/>
                <w:color w:val="auto"/>
              </w:rPr>
            </w:pPr>
          </w:p>
        </w:tc>
        <w:tc>
          <w:tcPr>
            <w:tcW w:w="5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(51,021)</w:t>
            </w:r>
          </w:p>
        </w:tc>
      </w:tr>
      <w:tr>
        <w:trPr>
          <w:trHeight w:val="108"/>
        </w:trPr>
        <w:tc>
          <w:tcPr>
            <w:tcW w:w="750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Other investments</w:t>
            </w:r>
          </w:p>
        </w:tc>
        <w:tc>
          <w:tcPr>
            <w:tcW w:w="1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08"/>
              <w:spacing w:after="0" w:line="108" w:lineRule="exact"/>
              <w:rPr>
                <w:sz w:val="20"/>
                <w:szCs w:val="20"/>
                <w:color w:val="auto"/>
              </w:rPr>
            </w:pPr>
            <w:r>
              <w:rPr>
                <w:rFonts w:ascii="Arial" w:cs="Arial" w:eastAsia="Arial" w:hAnsi="Arial"/>
                <w:sz w:val="10"/>
                <w:szCs w:val="10"/>
                <w:color w:val="auto"/>
              </w:rPr>
              <w:t>(100,000)</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1,026</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41</w:t>
            </w:r>
          </w:p>
        </w:tc>
      </w:tr>
      <w:tr>
        <w:trPr>
          <w:trHeight w:val="108"/>
        </w:trPr>
        <w:tc>
          <w:tcPr>
            <w:tcW w:w="7500" w:type="dxa"/>
            <w:vAlign w:val="bottom"/>
          </w:tcPr>
          <w:p>
            <w:pPr>
              <w:ind w:left="100"/>
              <w:spacing w:after="0" w:line="108" w:lineRule="exact"/>
              <w:rPr>
                <w:sz w:val="20"/>
                <w:szCs w:val="20"/>
                <w:color w:val="auto"/>
              </w:rPr>
            </w:pPr>
            <w:r>
              <w:rPr>
                <w:rFonts w:ascii="Arial" w:cs="Arial" w:eastAsia="Arial" w:hAnsi="Arial"/>
                <w:sz w:val="10"/>
                <w:szCs w:val="10"/>
                <w:color w:val="auto"/>
              </w:rPr>
              <w:t>Additions to capitalized servicing rights</w:t>
            </w:r>
          </w:p>
        </w:tc>
        <w:tc>
          <w:tcPr>
            <w:tcW w:w="120" w:type="dxa"/>
            <w:vAlign w:val="bottom"/>
          </w:tcPr>
          <w:p>
            <w:pPr>
              <w:spacing w:after="0"/>
              <w:rPr>
                <w:sz w:val="9"/>
                <w:szCs w:val="9"/>
                <w:color w:val="auto"/>
              </w:rPr>
            </w:pPr>
          </w:p>
        </w:tc>
        <w:tc>
          <w:tcPr>
            <w:tcW w:w="800" w:type="dxa"/>
            <w:vAlign w:val="bottom"/>
            <w:gridSpan w:val="2"/>
          </w:tcPr>
          <w:p>
            <w:pPr>
              <w:jc w:val="right"/>
              <w:ind w:right="208"/>
              <w:spacing w:after="0" w:line="108" w:lineRule="exact"/>
              <w:rPr>
                <w:sz w:val="20"/>
                <w:szCs w:val="20"/>
                <w:color w:val="auto"/>
              </w:rPr>
            </w:pPr>
            <w:r>
              <w:rPr>
                <w:rFonts w:ascii="Arial" w:cs="Arial" w:eastAsia="Arial" w:hAnsi="Arial"/>
                <w:sz w:val="10"/>
                <w:szCs w:val="10"/>
                <w:color w:val="auto"/>
              </w:rPr>
              <w:t>(49,984)</w:t>
            </w:r>
          </w:p>
        </w:tc>
        <w:tc>
          <w:tcPr>
            <w:tcW w:w="80" w:type="dxa"/>
            <w:vAlign w:val="bottom"/>
          </w:tcPr>
          <w:p>
            <w:pPr>
              <w:spacing w:after="0"/>
              <w:rPr>
                <w:sz w:val="9"/>
                <w:szCs w:val="9"/>
                <w:color w:val="auto"/>
              </w:rPr>
            </w:pPr>
          </w:p>
        </w:tc>
        <w:tc>
          <w:tcPr>
            <w:tcW w:w="80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(50,367)</w:t>
            </w:r>
          </w:p>
        </w:tc>
        <w:tc>
          <w:tcPr>
            <w:tcW w:w="100" w:type="dxa"/>
            <w:vAlign w:val="bottom"/>
          </w:tcPr>
          <w:p>
            <w:pPr>
              <w:spacing w:after="0"/>
              <w:rPr>
                <w:sz w:val="9"/>
                <w:szCs w:val="9"/>
                <w:color w:val="auto"/>
              </w:rPr>
            </w:pPr>
          </w:p>
        </w:tc>
        <w:tc>
          <w:tcPr>
            <w:tcW w:w="5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(57,778)</w:t>
            </w:r>
          </w:p>
        </w:tc>
      </w:tr>
      <w:tr>
        <w:trPr>
          <w:trHeight w:val="108"/>
        </w:trPr>
        <w:tc>
          <w:tcPr>
            <w:tcW w:w="750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Net increase in loans and leases</w:t>
            </w:r>
          </w:p>
        </w:tc>
        <w:tc>
          <w:tcPr>
            <w:tcW w:w="1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08"/>
              <w:spacing w:after="0" w:line="108" w:lineRule="exact"/>
              <w:rPr>
                <w:sz w:val="20"/>
                <w:szCs w:val="20"/>
                <w:color w:val="auto"/>
              </w:rPr>
            </w:pPr>
            <w:r>
              <w:rPr>
                <w:rFonts w:ascii="Arial" w:cs="Arial" w:eastAsia="Arial" w:hAnsi="Arial"/>
                <w:sz w:val="10"/>
                <w:szCs w:val="10"/>
                <w:color w:val="auto"/>
              </w:rPr>
              <w:t>(1,827,918)</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60"/>
              <w:spacing w:after="0" w:line="108" w:lineRule="exact"/>
              <w:rPr>
                <w:sz w:val="20"/>
                <w:szCs w:val="20"/>
                <w:color w:val="auto"/>
              </w:rPr>
            </w:pPr>
            <w:r>
              <w:rPr>
                <w:rFonts w:ascii="Arial" w:cs="Arial" w:eastAsia="Arial" w:hAnsi="Arial"/>
                <w:sz w:val="10"/>
                <w:szCs w:val="10"/>
                <w:color w:val="auto"/>
              </w:rPr>
              <w:t>(1,509,896)</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w w:val="97"/>
              </w:rPr>
              <w:t>(2,583,862)</w:t>
            </w:r>
          </w:p>
        </w:tc>
      </w:tr>
      <w:tr>
        <w:trPr>
          <w:trHeight w:val="108"/>
        </w:trPr>
        <w:tc>
          <w:tcPr>
            <w:tcW w:w="7500" w:type="dxa"/>
            <w:vAlign w:val="bottom"/>
          </w:tcPr>
          <w:p>
            <w:pPr>
              <w:ind w:left="100"/>
              <w:spacing w:after="0" w:line="108" w:lineRule="exact"/>
              <w:rPr>
                <w:sz w:val="20"/>
                <w:szCs w:val="20"/>
                <w:color w:val="auto"/>
              </w:rPr>
            </w:pPr>
            <w:r>
              <w:rPr>
                <w:rFonts w:ascii="Arial" w:cs="Arial" w:eastAsia="Arial" w:hAnsi="Arial"/>
                <w:sz w:val="10"/>
                <w:szCs w:val="10"/>
                <w:color w:val="auto"/>
              </w:rPr>
              <w:t>Capital expenditures, net</w:t>
            </w:r>
          </w:p>
        </w:tc>
        <w:tc>
          <w:tcPr>
            <w:tcW w:w="120" w:type="dxa"/>
            <w:vAlign w:val="bottom"/>
          </w:tcPr>
          <w:p>
            <w:pPr>
              <w:spacing w:after="0"/>
              <w:rPr>
                <w:sz w:val="9"/>
                <w:szCs w:val="9"/>
                <w:color w:val="auto"/>
              </w:rPr>
            </w:pPr>
          </w:p>
        </w:tc>
        <w:tc>
          <w:tcPr>
            <w:tcW w:w="800" w:type="dxa"/>
            <w:vAlign w:val="bottom"/>
            <w:gridSpan w:val="2"/>
          </w:tcPr>
          <w:p>
            <w:pPr>
              <w:jc w:val="right"/>
              <w:ind w:right="208"/>
              <w:spacing w:after="0" w:line="108" w:lineRule="exact"/>
              <w:rPr>
                <w:sz w:val="20"/>
                <w:szCs w:val="20"/>
                <w:color w:val="auto"/>
              </w:rPr>
            </w:pPr>
            <w:r>
              <w:rPr>
                <w:rFonts w:ascii="Arial" w:cs="Arial" w:eastAsia="Arial" w:hAnsi="Arial"/>
                <w:sz w:val="10"/>
                <w:szCs w:val="10"/>
                <w:color w:val="auto"/>
              </w:rPr>
              <w:t>(41,988)</w:t>
            </w:r>
          </w:p>
        </w:tc>
        <w:tc>
          <w:tcPr>
            <w:tcW w:w="80" w:type="dxa"/>
            <w:vAlign w:val="bottom"/>
          </w:tcPr>
          <w:p>
            <w:pPr>
              <w:spacing w:after="0"/>
              <w:rPr>
                <w:sz w:val="9"/>
                <w:szCs w:val="9"/>
                <w:color w:val="auto"/>
              </w:rPr>
            </w:pPr>
          </w:p>
        </w:tc>
        <w:tc>
          <w:tcPr>
            <w:tcW w:w="80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(26,546)</w:t>
            </w:r>
          </w:p>
        </w:tc>
        <w:tc>
          <w:tcPr>
            <w:tcW w:w="100" w:type="dxa"/>
            <w:vAlign w:val="bottom"/>
          </w:tcPr>
          <w:p>
            <w:pPr>
              <w:spacing w:after="0"/>
              <w:rPr>
                <w:sz w:val="9"/>
                <w:szCs w:val="9"/>
                <w:color w:val="auto"/>
              </w:rPr>
            </w:pPr>
          </w:p>
        </w:tc>
        <w:tc>
          <w:tcPr>
            <w:tcW w:w="5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(31,785)</w:t>
            </w:r>
          </w:p>
        </w:tc>
      </w:tr>
      <w:tr>
        <w:trPr>
          <w:trHeight w:val="108"/>
        </w:trPr>
        <w:tc>
          <w:tcPr>
            <w:tcW w:w="750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Acquisitions, net of cash acquired</w:t>
            </w: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7500" w:type="dxa"/>
            <w:vAlign w:val="bottom"/>
          </w:tcPr>
          <w:p>
            <w:pPr>
              <w:ind w:left="200"/>
              <w:spacing w:after="0" w:line="108" w:lineRule="exact"/>
              <w:rPr>
                <w:sz w:val="20"/>
                <w:szCs w:val="20"/>
                <w:color w:val="auto"/>
              </w:rPr>
            </w:pPr>
            <w:r>
              <w:rPr>
                <w:rFonts w:ascii="Arial" w:cs="Arial" w:eastAsia="Arial" w:hAnsi="Arial"/>
                <w:sz w:val="10"/>
                <w:szCs w:val="10"/>
                <w:color w:val="auto"/>
              </w:rPr>
              <w:t>Deposits and banking offices</w:t>
            </w:r>
          </w:p>
        </w:tc>
        <w:tc>
          <w:tcPr>
            <w:tcW w:w="120" w:type="dxa"/>
            <w:vAlign w:val="bottom"/>
          </w:tcPr>
          <w:p>
            <w:pPr>
              <w:spacing w:after="0"/>
              <w:rPr>
                <w:sz w:val="9"/>
                <w:szCs w:val="9"/>
                <w:color w:val="auto"/>
              </w:rPr>
            </w:pPr>
          </w:p>
        </w:tc>
        <w:tc>
          <w:tcPr>
            <w:tcW w:w="800" w:type="dxa"/>
            <w:vAlign w:val="bottom"/>
            <w:gridSpan w:val="2"/>
          </w:tcPr>
          <w:p>
            <w:pPr>
              <w:jc w:val="right"/>
              <w:ind w:right="248"/>
              <w:spacing w:after="0" w:line="108" w:lineRule="exact"/>
              <w:rPr>
                <w:sz w:val="20"/>
                <w:szCs w:val="20"/>
                <w:color w:val="auto"/>
              </w:rPr>
            </w:pPr>
            <w:r>
              <w:rPr>
                <w:rFonts w:ascii="Arial" w:cs="Arial" w:eastAsia="Arial" w:hAnsi="Arial"/>
                <w:sz w:val="10"/>
                <w:szCs w:val="10"/>
                <w:color w:val="auto"/>
              </w:rPr>
              <w:t>494,990</w:t>
            </w:r>
          </w:p>
        </w:tc>
        <w:tc>
          <w:tcPr>
            <w:tcW w:w="80" w:type="dxa"/>
            <w:vAlign w:val="bottom"/>
          </w:tcPr>
          <w:p>
            <w:pPr>
              <w:spacing w:after="0"/>
              <w:rPr>
                <w:sz w:val="9"/>
                <w:szCs w:val="9"/>
                <w:color w:val="auto"/>
              </w:rPr>
            </w:pP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500" w:type="dxa"/>
            <w:vAlign w:val="bottom"/>
            <w:shd w:val="clear" w:color="auto" w:fill="CCEEFF"/>
          </w:tcPr>
          <w:p>
            <w:pPr>
              <w:ind w:left="200"/>
              <w:spacing w:after="0" w:line="108" w:lineRule="exact"/>
              <w:rPr>
                <w:sz w:val="20"/>
                <w:szCs w:val="20"/>
                <w:color w:val="auto"/>
              </w:rPr>
            </w:pPr>
            <w:r>
              <w:rPr>
                <w:rFonts w:ascii="Arial" w:cs="Arial" w:eastAsia="Arial" w:hAnsi="Arial"/>
                <w:sz w:val="10"/>
                <w:szCs w:val="10"/>
                <w:color w:val="auto"/>
              </w:rPr>
              <w:t>Other</w:t>
            </w:r>
          </w:p>
        </w:tc>
        <w:tc>
          <w:tcPr>
            <w:tcW w:w="1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08"/>
              <w:spacing w:after="0" w:line="108" w:lineRule="exact"/>
              <w:rPr>
                <w:sz w:val="20"/>
                <w:szCs w:val="20"/>
                <w:color w:val="auto"/>
              </w:rPr>
            </w:pPr>
            <w:r>
              <w:rPr>
                <w:rFonts w:ascii="Arial" w:cs="Arial" w:eastAsia="Arial" w:hAnsi="Arial"/>
                <w:sz w:val="10"/>
                <w:szCs w:val="10"/>
                <w:color w:val="auto"/>
              </w:rPr>
              <w:t>(11,272)</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500" w:type="dxa"/>
            <w:vAlign w:val="bottom"/>
          </w:tcPr>
          <w:p>
            <w:pPr>
              <w:ind w:left="100"/>
              <w:spacing w:after="0" w:line="108" w:lineRule="exact"/>
              <w:rPr>
                <w:sz w:val="20"/>
                <w:szCs w:val="20"/>
                <w:color w:val="auto"/>
              </w:rPr>
            </w:pPr>
            <w:r>
              <w:rPr>
                <w:rFonts w:ascii="Arial" w:cs="Arial" w:eastAsia="Arial" w:hAnsi="Arial"/>
                <w:sz w:val="10"/>
                <w:szCs w:val="10"/>
                <w:color w:val="auto"/>
              </w:rPr>
              <w:t>Other, net</w:t>
            </w:r>
          </w:p>
        </w:tc>
        <w:tc>
          <w:tcPr>
            <w:tcW w:w="120" w:type="dxa"/>
            <w:vAlign w:val="bottom"/>
          </w:tcPr>
          <w:p>
            <w:pPr>
              <w:spacing w:after="0"/>
              <w:rPr>
                <w:sz w:val="9"/>
                <w:szCs w:val="9"/>
                <w:color w:val="auto"/>
              </w:rPr>
            </w:pPr>
          </w:p>
        </w:tc>
        <w:tc>
          <w:tcPr>
            <w:tcW w:w="800" w:type="dxa"/>
            <w:vAlign w:val="bottom"/>
            <w:gridSpan w:val="2"/>
          </w:tcPr>
          <w:p>
            <w:pPr>
              <w:jc w:val="right"/>
              <w:ind w:right="208"/>
              <w:spacing w:after="0" w:line="108" w:lineRule="exact"/>
              <w:rPr>
                <w:sz w:val="20"/>
                <w:szCs w:val="20"/>
                <w:color w:val="auto"/>
              </w:rPr>
            </w:pPr>
            <w:r>
              <w:rPr>
                <w:rFonts w:ascii="Arial" w:cs="Arial" w:eastAsia="Arial" w:hAnsi="Arial"/>
                <w:sz w:val="10"/>
                <w:szCs w:val="10"/>
                <w:color w:val="auto"/>
              </w:rPr>
              <w:t>(13,387)</w:t>
            </w:r>
          </w:p>
        </w:tc>
        <w:tc>
          <w:tcPr>
            <w:tcW w:w="80" w:type="dxa"/>
            <w:vAlign w:val="bottom"/>
          </w:tcPr>
          <w:p>
            <w:pPr>
              <w:spacing w:after="0"/>
              <w:rPr>
                <w:sz w:val="9"/>
                <w:szCs w:val="9"/>
                <w:color w:val="auto"/>
              </w:rPr>
            </w:pPr>
          </w:p>
        </w:tc>
        <w:tc>
          <w:tcPr>
            <w:tcW w:w="80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(73,262)</w:t>
            </w:r>
          </w:p>
        </w:tc>
        <w:tc>
          <w:tcPr>
            <w:tcW w:w="100" w:type="dxa"/>
            <w:vAlign w:val="bottom"/>
          </w:tcPr>
          <w:p>
            <w:pPr>
              <w:spacing w:after="0"/>
              <w:rPr>
                <w:sz w:val="9"/>
                <w:szCs w:val="9"/>
                <w:color w:val="auto"/>
              </w:rPr>
            </w:pPr>
          </w:p>
        </w:tc>
        <w:tc>
          <w:tcPr>
            <w:tcW w:w="5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(15,445)</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7500" w:type="dxa"/>
            <w:vAlign w:val="bottom"/>
            <w:shd w:val="clear" w:color="auto" w:fill="CCEEFF"/>
          </w:tcPr>
          <w:p>
            <w:pPr>
              <w:ind w:left="200"/>
              <w:spacing w:after="0" w:line="108" w:lineRule="exact"/>
              <w:rPr>
                <w:sz w:val="20"/>
                <w:szCs w:val="20"/>
                <w:color w:val="auto"/>
              </w:rPr>
            </w:pPr>
            <w:r>
              <w:rPr>
                <w:rFonts w:ascii="Arial" w:cs="Arial" w:eastAsia="Arial" w:hAnsi="Arial"/>
                <w:sz w:val="10"/>
                <w:szCs w:val="10"/>
                <w:color w:val="auto"/>
              </w:rPr>
              <w:t>Net cash used by investing activities</w:t>
            </w:r>
          </w:p>
        </w:tc>
        <w:tc>
          <w:tcPr>
            <w:tcW w:w="1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08"/>
              <w:spacing w:after="0" w:line="108" w:lineRule="exact"/>
              <w:rPr>
                <w:sz w:val="20"/>
                <w:szCs w:val="20"/>
                <w:color w:val="auto"/>
              </w:rPr>
            </w:pPr>
            <w:r>
              <w:rPr>
                <w:rFonts w:ascii="Arial" w:cs="Arial" w:eastAsia="Arial" w:hAnsi="Arial"/>
                <w:sz w:val="10"/>
                <w:szCs w:val="10"/>
                <w:color w:val="auto"/>
              </w:rPr>
              <w:t>(366,705)</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60"/>
              <w:spacing w:after="0" w:line="108" w:lineRule="exact"/>
              <w:rPr>
                <w:sz w:val="20"/>
                <w:szCs w:val="20"/>
                <w:color w:val="auto"/>
              </w:rPr>
            </w:pPr>
            <w:r>
              <w:rPr>
                <w:rFonts w:ascii="Arial" w:cs="Arial" w:eastAsia="Arial" w:hAnsi="Arial"/>
                <w:sz w:val="10"/>
                <w:szCs w:val="10"/>
                <w:color w:val="auto"/>
              </w:rPr>
              <w:t>(1,576,226)</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w w:val="97"/>
              </w:rPr>
              <w:t>(3,958,002)</w:t>
            </w:r>
          </w:p>
        </w:tc>
      </w:tr>
      <w:tr>
        <w:trPr>
          <w:trHeight w:val="108"/>
        </w:trPr>
        <w:tc>
          <w:tcPr>
            <w:tcW w:w="7500" w:type="dxa"/>
            <w:vAlign w:val="bottom"/>
          </w:tcPr>
          <w:p>
            <w:pPr>
              <w:spacing w:after="0" w:line="108" w:lineRule="exact"/>
              <w:rPr>
                <w:sz w:val="20"/>
                <w:szCs w:val="20"/>
                <w:color w:val="auto"/>
              </w:rPr>
            </w:pPr>
            <w:r>
              <w:rPr>
                <w:rFonts w:ascii="Arial" w:cs="Arial" w:eastAsia="Arial" w:hAnsi="Arial"/>
                <w:sz w:val="10"/>
                <w:szCs w:val="10"/>
                <w:b w:val="1"/>
                <w:bCs w:val="1"/>
                <w:color w:val="auto"/>
              </w:rPr>
              <w:t>Cash flows from financing activities</w:t>
            </w: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750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Net increase in deposits</w:t>
            </w:r>
          </w:p>
        </w:tc>
        <w:tc>
          <w:tcPr>
            <w:tcW w:w="1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1,847,505</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1,680,945</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2,329,792</w:t>
            </w:r>
          </w:p>
        </w:tc>
      </w:tr>
      <w:tr>
        <w:trPr>
          <w:trHeight w:val="108"/>
        </w:trPr>
        <w:tc>
          <w:tcPr>
            <w:tcW w:w="7500" w:type="dxa"/>
            <w:vAlign w:val="bottom"/>
          </w:tcPr>
          <w:p>
            <w:pPr>
              <w:ind w:left="100"/>
              <w:spacing w:after="0" w:line="108" w:lineRule="exact"/>
              <w:rPr>
                <w:sz w:val="20"/>
                <w:szCs w:val="20"/>
                <w:color w:val="auto"/>
              </w:rPr>
            </w:pPr>
            <w:r>
              <w:rPr>
                <w:rFonts w:ascii="Arial" w:cs="Arial" w:eastAsia="Arial" w:hAnsi="Arial"/>
                <w:sz w:val="10"/>
                <w:szCs w:val="10"/>
                <w:color w:val="auto"/>
              </w:rPr>
              <w:t>Net increase (decrease) in short-term borrowings</w:t>
            </w:r>
          </w:p>
        </w:tc>
        <w:tc>
          <w:tcPr>
            <w:tcW w:w="120" w:type="dxa"/>
            <w:vAlign w:val="bottom"/>
          </w:tcPr>
          <w:p>
            <w:pPr>
              <w:spacing w:after="0"/>
              <w:rPr>
                <w:sz w:val="9"/>
                <w:szCs w:val="9"/>
                <w:color w:val="auto"/>
              </w:rPr>
            </w:pPr>
          </w:p>
        </w:tc>
        <w:tc>
          <w:tcPr>
            <w:tcW w:w="800" w:type="dxa"/>
            <w:vAlign w:val="bottom"/>
            <w:gridSpan w:val="2"/>
          </w:tcPr>
          <w:p>
            <w:pPr>
              <w:jc w:val="right"/>
              <w:ind w:right="208"/>
              <w:spacing w:after="0" w:line="108" w:lineRule="exact"/>
              <w:rPr>
                <w:sz w:val="20"/>
                <w:szCs w:val="20"/>
                <w:color w:val="auto"/>
              </w:rPr>
            </w:pPr>
            <w:r>
              <w:rPr>
                <w:rFonts w:ascii="Arial" w:cs="Arial" w:eastAsia="Arial" w:hAnsi="Arial"/>
                <w:sz w:val="10"/>
                <w:szCs w:val="10"/>
                <w:color w:val="auto"/>
              </w:rPr>
              <w:t>(2,058,658)</w:t>
            </w:r>
          </w:p>
        </w:tc>
        <w:tc>
          <w:tcPr>
            <w:tcW w:w="80" w:type="dxa"/>
            <w:vAlign w:val="bottom"/>
          </w:tcPr>
          <w:p>
            <w:pPr>
              <w:spacing w:after="0"/>
              <w:rPr>
                <w:sz w:val="9"/>
                <w:szCs w:val="9"/>
                <w:color w:val="auto"/>
              </w:rPr>
            </w:pP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450,230</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261,454</w:t>
            </w:r>
          </w:p>
        </w:tc>
      </w:tr>
      <w:tr>
        <w:trPr>
          <w:trHeight w:val="108"/>
        </w:trPr>
        <w:tc>
          <w:tcPr>
            <w:tcW w:w="750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Proceeds from long-term borrowings</w:t>
            </w:r>
          </w:p>
        </w:tc>
        <w:tc>
          <w:tcPr>
            <w:tcW w:w="1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2,000,000</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1,801,657</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1,400,660</w:t>
            </w:r>
          </w:p>
        </w:tc>
      </w:tr>
      <w:tr>
        <w:trPr>
          <w:trHeight w:val="108"/>
        </w:trPr>
        <w:tc>
          <w:tcPr>
            <w:tcW w:w="7500" w:type="dxa"/>
            <w:vAlign w:val="bottom"/>
          </w:tcPr>
          <w:p>
            <w:pPr>
              <w:ind w:left="100"/>
              <w:spacing w:after="0" w:line="108" w:lineRule="exact"/>
              <w:rPr>
                <w:sz w:val="20"/>
                <w:szCs w:val="20"/>
                <w:color w:val="auto"/>
              </w:rPr>
            </w:pPr>
            <w:r>
              <w:rPr>
                <w:rFonts w:ascii="Arial" w:cs="Arial" w:eastAsia="Arial" w:hAnsi="Arial"/>
                <w:sz w:val="10"/>
                <w:szCs w:val="10"/>
                <w:color w:val="auto"/>
              </w:rPr>
              <w:t>Payments on long-term borrowings</w:t>
            </w:r>
          </w:p>
        </w:tc>
        <w:tc>
          <w:tcPr>
            <w:tcW w:w="120" w:type="dxa"/>
            <w:vAlign w:val="bottom"/>
          </w:tcPr>
          <w:p>
            <w:pPr>
              <w:spacing w:after="0"/>
              <w:rPr>
                <w:sz w:val="9"/>
                <w:szCs w:val="9"/>
                <w:color w:val="auto"/>
              </w:rPr>
            </w:pPr>
          </w:p>
        </w:tc>
        <w:tc>
          <w:tcPr>
            <w:tcW w:w="800" w:type="dxa"/>
            <w:vAlign w:val="bottom"/>
            <w:gridSpan w:val="2"/>
          </w:tcPr>
          <w:p>
            <w:pPr>
              <w:jc w:val="right"/>
              <w:ind w:right="208"/>
              <w:spacing w:after="0" w:line="108" w:lineRule="exact"/>
              <w:rPr>
                <w:sz w:val="20"/>
                <w:szCs w:val="20"/>
                <w:color w:val="auto"/>
              </w:rPr>
            </w:pPr>
            <w:r>
              <w:rPr>
                <w:rFonts w:ascii="Arial" w:cs="Arial" w:eastAsia="Arial" w:hAnsi="Arial"/>
                <w:sz w:val="10"/>
                <w:szCs w:val="10"/>
                <w:color w:val="auto"/>
              </w:rPr>
              <w:t>(1,294,857)</w:t>
            </w:r>
          </w:p>
        </w:tc>
        <w:tc>
          <w:tcPr>
            <w:tcW w:w="80" w:type="dxa"/>
            <w:vAlign w:val="bottom"/>
          </w:tcPr>
          <w:p>
            <w:pPr>
              <w:spacing w:after="0"/>
              <w:rPr>
                <w:sz w:val="9"/>
                <w:szCs w:val="9"/>
                <w:color w:val="auto"/>
              </w:rPr>
            </w:pPr>
          </w:p>
        </w:tc>
        <w:tc>
          <w:tcPr>
            <w:tcW w:w="80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(1,927,070)</w:t>
            </w:r>
          </w:p>
        </w:tc>
        <w:tc>
          <w:tcPr>
            <w:tcW w:w="100" w:type="dxa"/>
            <w:vAlign w:val="bottom"/>
          </w:tcPr>
          <w:p>
            <w:pPr>
              <w:spacing w:after="0"/>
              <w:rPr>
                <w:sz w:val="9"/>
                <w:szCs w:val="9"/>
                <w:color w:val="auto"/>
              </w:rPr>
            </w:pPr>
          </w:p>
        </w:tc>
        <w:tc>
          <w:tcPr>
            <w:tcW w:w="5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(575,779)</w:t>
            </w:r>
          </w:p>
        </w:tc>
      </w:tr>
      <w:tr>
        <w:trPr>
          <w:trHeight w:val="108"/>
        </w:trPr>
        <w:tc>
          <w:tcPr>
            <w:tcW w:w="750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Purchases of treasury stock</w:t>
            </w:r>
          </w:p>
        </w:tc>
        <w:tc>
          <w:tcPr>
            <w:tcW w:w="1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08"/>
              <w:spacing w:after="0" w:line="108" w:lineRule="exact"/>
              <w:rPr>
                <w:sz w:val="20"/>
                <w:szCs w:val="20"/>
                <w:color w:val="auto"/>
              </w:rPr>
            </w:pPr>
            <w:r>
              <w:rPr>
                <w:rFonts w:ascii="Arial" w:cs="Arial" w:eastAsia="Arial" w:hAnsi="Arial"/>
                <w:sz w:val="10"/>
                <w:szCs w:val="10"/>
                <w:color w:val="auto"/>
              </w:rPr>
              <w:t>(373,860)</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60"/>
              <w:spacing w:after="0" w:line="108" w:lineRule="exact"/>
              <w:rPr>
                <w:sz w:val="20"/>
                <w:szCs w:val="20"/>
                <w:color w:val="auto"/>
              </w:rPr>
            </w:pPr>
            <w:r>
              <w:rPr>
                <w:rFonts w:ascii="Arial" w:cs="Arial" w:eastAsia="Arial" w:hAnsi="Arial"/>
                <w:sz w:val="10"/>
                <w:szCs w:val="10"/>
                <w:color w:val="auto"/>
              </w:rPr>
              <w:t>(509,609)</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(610,261)</w:t>
            </w:r>
          </w:p>
        </w:tc>
      </w:tr>
      <w:tr>
        <w:trPr>
          <w:trHeight w:val="108"/>
        </w:trPr>
        <w:tc>
          <w:tcPr>
            <w:tcW w:w="7500" w:type="dxa"/>
            <w:vAlign w:val="bottom"/>
          </w:tcPr>
          <w:p>
            <w:pPr>
              <w:ind w:left="100"/>
              <w:spacing w:after="0" w:line="108" w:lineRule="exact"/>
              <w:rPr>
                <w:sz w:val="20"/>
                <w:szCs w:val="20"/>
                <w:color w:val="auto"/>
              </w:rPr>
            </w:pPr>
            <w:r>
              <w:rPr>
                <w:rFonts w:ascii="Arial" w:cs="Arial" w:eastAsia="Arial" w:hAnsi="Arial"/>
                <w:sz w:val="10"/>
                <w:szCs w:val="10"/>
                <w:color w:val="auto"/>
              </w:rPr>
              <w:t>Dividends paid — common</w:t>
            </w:r>
          </w:p>
        </w:tc>
        <w:tc>
          <w:tcPr>
            <w:tcW w:w="120" w:type="dxa"/>
            <w:vAlign w:val="bottom"/>
          </w:tcPr>
          <w:p>
            <w:pPr>
              <w:spacing w:after="0"/>
              <w:rPr>
                <w:sz w:val="9"/>
                <w:szCs w:val="9"/>
                <w:color w:val="auto"/>
              </w:rPr>
            </w:pPr>
          </w:p>
        </w:tc>
        <w:tc>
          <w:tcPr>
            <w:tcW w:w="800" w:type="dxa"/>
            <w:vAlign w:val="bottom"/>
            <w:gridSpan w:val="2"/>
          </w:tcPr>
          <w:p>
            <w:pPr>
              <w:jc w:val="right"/>
              <w:ind w:right="208"/>
              <w:spacing w:after="0" w:line="108" w:lineRule="exact"/>
              <w:rPr>
                <w:sz w:val="20"/>
                <w:szCs w:val="20"/>
                <w:color w:val="auto"/>
              </w:rPr>
            </w:pPr>
            <w:r>
              <w:rPr>
                <w:rFonts w:ascii="Arial" w:cs="Arial" w:eastAsia="Arial" w:hAnsi="Arial"/>
                <w:sz w:val="10"/>
                <w:szCs w:val="10"/>
                <w:color w:val="auto"/>
              </w:rPr>
              <w:t>(249,817)</w:t>
            </w:r>
          </w:p>
        </w:tc>
        <w:tc>
          <w:tcPr>
            <w:tcW w:w="80" w:type="dxa"/>
            <w:vAlign w:val="bottom"/>
          </w:tcPr>
          <w:p>
            <w:pPr>
              <w:spacing w:after="0"/>
              <w:rPr>
                <w:sz w:val="9"/>
                <w:szCs w:val="9"/>
                <w:color w:val="auto"/>
              </w:rPr>
            </w:pPr>
          </w:p>
        </w:tc>
        <w:tc>
          <w:tcPr>
            <w:tcW w:w="800" w:type="dxa"/>
            <w:vAlign w:val="bottom"/>
            <w:gridSpan w:val="2"/>
          </w:tcPr>
          <w:p>
            <w:pPr>
              <w:jc w:val="right"/>
              <w:ind w:right="260"/>
              <w:spacing w:after="0" w:line="108" w:lineRule="exact"/>
              <w:rPr>
                <w:sz w:val="20"/>
                <w:szCs w:val="20"/>
                <w:color w:val="auto"/>
              </w:rPr>
            </w:pPr>
            <w:r>
              <w:rPr>
                <w:rFonts w:ascii="Arial" w:cs="Arial" w:eastAsia="Arial" w:hAnsi="Arial"/>
                <w:sz w:val="10"/>
                <w:szCs w:val="10"/>
                <w:color w:val="auto"/>
              </w:rPr>
              <w:t>(198,619)</w:t>
            </w:r>
          </w:p>
        </w:tc>
        <w:tc>
          <w:tcPr>
            <w:tcW w:w="100" w:type="dxa"/>
            <w:vAlign w:val="bottom"/>
          </w:tcPr>
          <w:p>
            <w:pPr>
              <w:spacing w:after="0"/>
              <w:rPr>
                <w:sz w:val="9"/>
                <w:szCs w:val="9"/>
                <w:color w:val="auto"/>
              </w:rPr>
            </w:pPr>
          </w:p>
        </w:tc>
        <w:tc>
          <w:tcPr>
            <w:tcW w:w="58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(187,669)</w:t>
            </w:r>
          </w:p>
        </w:tc>
      </w:tr>
      <w:tr>
        <w:trPr>
          <w:trHeight w:val="108"/>
        </w:trPr>
        <w:tc>
          <w:tcPr>
            <w:tcW w:w="750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Other, net</w:t>
            </w:r>
          </w:p>
        </w:tc>
        <w:tc>
          <w:tcPr>
            <w:tcW w:w="1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91,034</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106,975</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79,457</w:t>
            </w:r>
          </w:p>
        </w:tc>
      </w:tr>
      <w:tr>
        <w:trPr>
          <w:trHeight w:val="108"/>
        </w:trPr>
        <w:tc>
          <w:tcPr>
            <w:tcW w:w="7500" w:type="dxa"/>
            <w:vAlign w:val="bottom"/>
          </w:tcPr>
          <w:p>
            <w:pPr>
              <w:ind w:left="200"/>
              <w:spacing w:after="0" w:line="108" w:lineRule="exact"/>
              <w:rPr>
                <w:sz w:val="20"/>
                <w:szCs w:val="20"/>
                <w:color w:val="auto"/>
              </w:rPr>
            </w:pPr>
            <w:r>
              <w:rPr>
                <w:rFonts w:ascii="Arial" w:cs="Arial" w:eastAsia="Arial" w:hAnsi="Arial"/>
                <w:sz w:val="10"/>
                <w:szCs w:val="10"/>
                <w:color w:val="auto"/>
              </w:rPr>
              <w:t>Net cash provided (used) by financing activities</w:t>
            </w:r>
          </w:p>
        </w:tc>
        <w:tc>
          <w:tcPr>
            <w:tcW w:w="120" w:type="dxa"/>
            <w:vAlign w:val="bottom"/>
            <w:tcBorders>
              <w:top w:val="single" w:sz="8" w:color="auto"/>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(38,653)</w:t>
            </w:r>
          </w:p>
        </w:tc>
        <w:tc>
          <w:tcPr>
            <w:tcW w:w="3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1,404,509</w:t>
            </w:r>
          </w:p>
        </w:tc>
        <w:tc>
          <w:tcPr>
            <w:tcW w:w="3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4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2,697,654</w:t>
            </w:r>
          </w:p>
        </w:tc>
        <w:tc>
          <w:tcPr>
            <w:tcW w:w="100" w:type="dxa"/>
            <w:vAlign w:val="bottom"/>
          </w:tcPr>
          <w:p>
            <w:pPr>
              <w:spacing w:after="0"/>
              <w:rPr>
                <w:sz w:val="9"/>
                <w:szCs w:val="9"/>
                <w:color w:val="auto"/>
              </w:rPr>
            </w:pPr>
          </w:p>
        </w:tc>
      </w:tr>
      <w:tr>
        <w:trPr>
          <w:trHeight w:val="108"/>
        </w:trPr>
        <w:tc>
          <w:tcPr>
            <w:tcW w:w="75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increase (decrease) in cash and cash equivalents</w:t>
            </w:r>
          </w:p>
        </w:tc>
        <w:tc>
          <w:tcPr>
            <w:tcW w:w="1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134,505</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126,655</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(535,978)</w:t>
            </w:r>
          </w:p>
        </w:tc>
      </w:tr>
      <w:tr>
        <w:trPr>
          <w:trHeight w:val="108"/>
        </w:trPr>
        <w:tc>
          <w:tcPr>
            <w:tcW w:w="7500" w:type="dxa"/>
            <w:vAlign w:val="bottom"/>
          </w:tcPr>
          <w:p>
            <w:pPr>
              <w:spacing w:after="0" w:line="108" w:lineRule="exact"/>
              <w:rPr>
                <w:sz w:val="20"/>
                <w:szCs w:val="20"/>
                <w:color w:val="auto"/>
              </w:rPr>
            </w:pPr>
            <w:r>
              <w:rPr>
                <w:rFonts w:ascii="Arial" w:cs="Arial" w:eastAsia="Arial" w:hAnsi="Arial"/>
                <w:sz w:val="10"/>
                <w:szCs w:val="10"/>
                <w:color w:val="auto"/>
              </w:rPr>
              <w:t>Cash and cash equivalents at beginning of year</w:t>
            </w:r>
          </w:p>
        </w:tc>
        <w:tc>
          <w:tcPr>
            <w:tcW w:w="120" w:type="dxa"/>
            <w:vAlign w:val="bottom"/>
          </w:tcPr>
          <w:p>
            <w:pPr>
              <w:spacing w:after="0"/>
              <w:rPr>
                <w:sz w:val="9"/>
                <w:szCs w:val="9"/>
                <w:color w:val="auto"/>
              </w:rPr>
            </w:pPr>
          </w:p>
        </w:tc>
        <w:tc>
          <w:tcPr>
            <w:tcW w:w="500" w:type="dxa"/>
            <w:vAlign w:val="bottom"/>
          </w:tcPr>
          <w:p>
            <w:pPr>
              <w:jc w:val="right"/>
              <w:spacing w:after="0" w:line="108" w:lineRule="exact"/>
              <w:rPr>
                <w:sz w:val="20"/>
                <w:szCs w:val="20"/>
                <w:color w:val="auto"/>
              </w:rPr>
            </w:pPr>
            <w:r>
              <w:rPr>
                <w:rFonts w:ascii="Arial" w:cs="Arial" w:eastAsia="Arial" w:hAnsi="Arial"/>
                <w:sz w:val="10"/>
                <w:szCs w:val="10"/>
                <w:color w:val="auto"/>
              </w:rPr>
              <w:t>1,490,459</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1,363,804</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1,899,782</w:t>
            </w:r>
          </w:p>
        </w:tc>
      </w:tr>
      <w:tr>
        <w:trPr>
          <w:trHeight w:val="20"/>
        </w:trPr>
        <w:tc>
          <w:tcPr>
            <w:tcW w:w="7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7"/>
        </w:trPr>
        <w:tc>
          <w:tcPr>
            <w:tcW w:w="75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and cash equivalents at end of year</w:t>
            </w:r>
          </w:p>
        </w:tc>
        <w:tc>
          <w:tcPr>
            <w:tcW w:w="120" w:type="dxa"/>
            <w:vAlign w:val="bottom"/>
            <w:shd w:val="clear" w:color="auto" w:fill="CCEEFF"/>
          </w:tcPr>
          <w:p>
            <w:pPr>
              <w:jc w:val="right"/>
              <w:ind w:right="8"/>
              <w:spacing w:after="0" w:line="108" w:lineRule="exact"/>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1,624,964</w:t>
            </w: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1,490,459</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1,363,804</w:t>
            </w:r>
          </w:p>
        </w:tc>
      </w:tr>
      <w:tr>
        <w:trPr>
          <w:trHeight w:val="118"/>
        </w:trPr>
        <w:tc>
          <w:tcPr>
            <w:tcW w:w="7500" w:type="dxa"/>
            <w:vAlign w:val="bottom"/>
          </w:tcPr>
          <w:p>
            <w:pPr>
              <w:spacing w:after="0"/>
              <w:rPr>
                <w:sz w:val="20"/>
                <w:szCs w:val="20"/>
                <w:color w:val="auto"/>
              </w:rPr>
            </w:pPr>
            <w:r>
              <w:rPr>
                <w:rFonts w:ascii="Arial" w:cs="Arial" w:eastAsia="Arial" w:hAnsi="Arial"/>
                <w:sz w:val="10"/>
                <w:szCs w:val="10"/>
                <w:b w:val="1"/>
                <w:bCs w:val="1"/>
                <w:color w:val="auto"/>
              </w:rPr>
              <w:t>Supplemental disclosure of cash flow information</w:t>
            </w: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750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Interest received during the year</w:t>
            </w:r>
          </w:p>
        </w:tc>
        <w:tc>
          <w:tcPr>
            <w:tcW w:w="120" w:type="dxa"/>
            <w:vAlign w:val="bottom"/>
            <w:shd w:val="clear" w:color="auto" w:fill="CCEEFF"/>
          </w:tcPr>
          <w:p>
            <w:pPr>
              <w:jc w:val="right"/>
              <w:ind w:right="8"/>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3,298,620</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2,721,155</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2,266,601</w:t>
            </w:r>
          </w:p>
        </w:tc>
      </w:tr>
      <w:tr>
        <w:trPr>
          <w:trHeight w:val="108"/>
        </w:trPr>
        <w:tc>
          <w:tcPr>
            <w:tcW w:w="7500" w:type="dxa"/>
            <w:vAlign w:val="bottom"/>
          </w:tcPr>
          <w:p>
            <w:pPr>
              <w:ind w:left="100"/>
              <w:spacing w:after="0" w:line="108" w:lineRule="exact"/>
              <w:rPr>
                <w:sz w:val="20"/>
                <w:szCs w:val="20"/>
                <w:color w:val="auto"/>
              </w:rPr>
            </w:pPr>
            <w:r>
              <w:rPr>
                <w:rFonts w:ascii="Arial" w:cs="Arial" w:eastAsia="Arial" w:hAnsi="Arial"/>
                <w:sz w:val="10"/>
                <w:szCs w:val="10"/>
                <w:color w:val="auto"/>
              </w:rPr>
              <w:t>Interest paid during the year</w:t>
            </w:r>
          </w:p>
        </w:tc>
        <w:tc>
          <w:tcPr>
            <w:tcW w:w="120" w:type="dxa"/>
            <w:vAlign w:val="bottom"/>
          </w:tcPr>
          <w:p>
            <w:pPr>
              <w:spacing w:after="0"/>
              <w:rPr>
                <w:sz w:val="9"/>
                <w:szCs w:val="9"/>
                <w:color w:val="auto"/>
              </w:rPr>
            </w:pPr>
          </w:p>
        </w:tc>
        <w:tc>
          <w:tcPr>
            <w:tcW w:w="800" w:type="dxa"/>
            <w:vAlign w:val="bottom"/>
            <w:gridSpan w:val="2"/>
          </w:tcPr>
          <w:p>
            <w:pPr>
              <w:jc w:val="right"/>
              <w:ind w:right="248"/>
              <w:spacing w:after="0" w:line="108" w:lineRule="exact"/>
              <w:rPr>
                <w:sz w:val="20"/>
                <w:szCs w:val="20"/>
                <w:color w:val="auto"/>
              </w:rPr>
            </w:pPr>
            <w:r>
              <w:rPr>
                <w:rFonts w:ascii="Arial" w:cs="Arial" w:eastAsia="Arial" w:hAnsi="Arial"/>
                <w:sz w:val="10"/>
                <w:szCs w:val="10"/>
                <w:color w:val="auto"/>
              </w:rPr>
              <w:t>1,443,335</w:t>
            </w:r>
          </w:p>
        </w:tc>
        <w:tc>
          <w:tcPr>
            <w:tcW w:w="80" w:type="dxa"/>
            <w:vAlign w:val="bottom"/>
          </w:tcPr>
          <w:p>
            <w:pPr>
              <w:spacing w:after="0"/>
              <w:rPr>
                <w:sz w:val="9"/>
                <w:szCs w:val="9"/>
                <w:color w:val="auto"/>
              </w:rPr>
            </w:pP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964,548</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589,799</w:t>
            </w:r>
          </w:p>
        </w:tc>
      </w:tr>
      <w:tr>
        <w:trPr>
          <w:trHeight w:val="108"/>
        </w:trPr>
        <w:tc>
          <w:tcPr>
            <w:tcW w:w="750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Income taxes paid during the year</w:t>
            </w:r>
          </w:p>
        </w:tc>
        <w:tc>
          <w:tcPr>
            <w:tcW w:w="1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345,763</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472,773</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453,006</w:t>
            </w:r>
          </w:p>
        </w:tc>
      </w:tr>
      <w:tr>
        <w:trPr>
          <w:trHeight w:val="108"/>
        </w:trPr>
        <w:tc>
          <w:tcPr>
            <w:tcW w:w="7500" w:type="dxa"/>
            <w:vAlign w:val="bottom"/>
          </w:tcPr>
          <w:p>
            <w:pPr>
              <w:spacing w:after="0" w:line="108" w:lineRule="exact"/>
              <w:rPr>
                <w:sz w:val="20"/>
                <w:szCs w:val="20"/>
                <w:color w:val="auto"/>
              </w:rPr>
            </w:pPr>
            <w:r>
              <w:rPr>
                <w:rFonts w:ascii="Arial" w:cs="Arial" w:eastAsia="Arial" w:hAnsi="Arial"/>
                <w:sz w:val="10"/>
                <w:szCs w:val="10"/>
                <w:b w:val="1"/>
                <w:bCs w:val="1"/>
                <w:color w:val="auto"/>
              </w:rPr>
              <w:t>Supplemental schedule of noncash investing and financing activities</w:t>
            </w: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750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Real estate acquired in settlement of loans</w:t>
            </w:r>
          </w:p>
        </w:tc>
        <w:tc>
          <w:tcPr>
            <w:tcW w:w="120" w:type="dxa"/>
            <w:vAlign w:val="bottom"/>
            <w:shd w:val="clear" w:color="auto" w:fill="CCEEFF"/>
          </w:tcPr>
          <w:p>
            <w:pPr>
              <w:jc w:val="right"/>
              <w:ind w:right="8"/>
              <w:spacing w:after="0" w:line="108" w:lineRule="exact"/>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15,973</w:t>
            </w:r>
          </w:p>
        </w:tc>
        <w:tc>
          <w:tcPr>
            <w:tcW w:w="80" w:type="dxa"/>
            <w:vAlign w:val="bottom"/>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10,417</w:t>
            </w:r>
          </w:p>
        </w:tc>
        <w:tc>
          <w:tcPr>
            <w:tcW w:w="100" w:type="dxa"/>
            <w:vAlign w:val="bottom"/>
            <w:shd w:val="clear" w:color="auto" w:fill="CCEEFF"/>
          </w:tcPr>
          <w:p>
            <w:pPr>
              <w:jc w:val="right"/>
              <w:ind w:right="34"/>
              <w:spacing w:after="0"/>
              <w:rPr>
                <w:sz w:val="20"/>
                <w:szCs w:val="20"/>
                <w:color w:val="auto"/>
              </w:rPr>
            </w:pPr>
            <w:r>
              <w:rPr>
                <w:rFonts w:ascii="Arial" w:cs="Arial" w:eastAsia="Arial" w:hAnsi="Arial"/>
                <w:sz w:val="5"/>
                <w:szCs w:val="5"/>
                <w:color w:val="auto"/>
                <w:w w:val="70"/>
              </w:rPr>
              <w:t>$</w:t>
            </w: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17,167</w:t>
            </w:r>
          </w:p>
        </w:tc>
      </w:tr>
      <w:tr>
        <w:trPr>
          <w:trHeight w:val="108"/>
        </w:trPr>
        <w:tc>
          <w:tcPr>
            <w:tcW w:w="7500" w:type="dxa"/>
            <w:vAlign w:val="bottom"/>
          </w:tcPr>
          <w:p>
            <w:pPr>
              <w:ind w:left="100"/>
              <w:spacing w:after="0" w:line="108" w:lineRule="exact"/>
              <w:rPr>
                <w:sz w:val="20"/>
                <w:szCs w:val="20"/>
                <w:color w:val="auto"/>
              </w:rPr>
            </w:pPr>
            <w:r>
              <w:rPr>
                <w:rFonts w:ascii="Arial" w:cs="Arial" w:eastAsia="Arial" w:hAnsi="Arial"/>
                <w:sz w:val="10"/>
                <w:szCs w:val="10"/>
                <w:color w:val="auto"/>
              </w:rPr>
              <w:t>Acquisitions</w:t>
            </w: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7500" w:type="dxa"/>
            <w:vAlign w:val="bottom"/>
            <w:shd w:val="clear" w:color="auto" w:fill="CCEEFF"/>
          </w:tcPr>
          <w:p>
            <w:pPr>
              <w:ind w:left="200"/>
              <w:spacing w:after="0" w:line="108" w:lineRule="exact"/>
              <w:rPr>
                <w:sz w:val="20"/>
                <w:szCs w:val="20"/>
                <w:color w:val="auto"/>
              </w:rPr>
            </w:pPr>
            <w:r>
              <w:rPr>
                <w:rFonts w:ascii="Arial" w:cs="Arial" w:eastAsia="Arial" w:hAnsi="Arial"/>
                <w:sz w:val="10"/>
                <w:szCs w:val="10"/>
                <w:color w:val="auto"/>
              </w:rPr>
              <w:t>Fair value of</w:t>
            </w: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7500" w:type="dxa"/>
            <w:vAlign w:val="bottom"/>
          </w:tcPr>
          <w:p>
            <w:pPr>
              <w:ind w:left="300"/>
              <w:spacing w:after="0" w:line="108" w:lineRule="exact"/>
              <w:rPr>
                <w:sz w:val="20"/>
                <w:szCs w:val="20"/>
                <w:color w:val="auto"/>
              </w:rPr>
            </w:pPr>
            <w:r>
              <w:rPr>
                <w:rFonts w:ascii="Arial" w:cs="Arial" w:eastAsia="Arial" w:hAnsi="Arial"/>
                <w:sz w:val="10"/>
                <w:szCs w:val="10"/>
                <w:color w:val="auto"/>
              </w:rPr>
              <w:t>Assets acquired (noncash)</w:t>
            </w:r>
          </w:p>
        </w:tc>
        <w:tc>
          <w:tcPr>
            <w:tcW w:w="120" w:type="dxa"/>
            <w:vAlign w:val="bottom"/>
          </w:tcPr>
          <w:p>
            <w:pPr>
              <w:spacing w:after="0"/>
              <w:rPr>
                <w:sz w:val="9"/>
                <w:szCs w:val="9"/>
                <w:color w:val="auto"/>
              </w:rPr>
            </w:pPr>
          </w:p>
        </w:tc>
        <w:tc>
          <w:tcPr>
            <w:tcW w:w="800" w:type="dxa"/>
            <w:vAlign w:val="bottom"/>
            <w:gridSpan w:val="2"/>
          </w:tcPr>
          <w:p>
            <w:pPr>
              <w:jc w:val="right"/>
              <w:ind w:right="248"/>
              <w:spacing w:after="0" w:line="108" w:lineRule="exact"/>
              <w:rPr>
                <w:sz w:val="20"/>
                <w:szCs w:val="20"/>
                <w:color w:val="auto"/>
              </w:rPr>
            </w:pPr>
            <w:r>
              <w:rPr>
                <w:rFonts w:ascii="Arial" w:cs="Arial" w:eastAsia="Arial" w:hAnsi="Arial"/>
                <w:sz w:val="10"/>
                <w:szCs w:val="10"/>
                <w:color w:val="auto"/>
              </w:rPr>
              <w:t>514,955</w:t>
            </w:r>
          </w:p>
        </w:tc>
        <w:tc>
          <w:tcPr>
            <w:tcW w:w="80" w:type="dxa"/>
            <w:vAlign w:val="bottom"/>
          </w:tcPr>
          <w:p>
            <w:pPr>
              <w:spacing w:after="0"/>
              <w:rPr>
                <w:sz w:val="9"/>
                <w:szCs w:val="9"/>
                <w:color w:val="auto"/>
              </w:rPr>
            </w:pPr>
          </w:p>
        </w:tc>
        <w:tc>
          <w:tcPr>
            <w:tcW w:w="80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5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500" w:type="dxa"/>
            <w:vAlign w:val="bottom"/>
            <w:shd w:val="clear" w:color="auto" w:fill="CCEEFF"/>
          </w:tcPr>
          <w:p>
            <w:pPr>
              <w:ind w:left="300"/>
              <w:spacing w:after="0" w:line="108" w:lineRule="exact"/>
              <w:rPr>
                <w:sz w:val="20"/>
                <w:szCs w:val="20"/>
                <w:color w:val="auto"/>
              </w:rPr>
            </w:pPr>
            <w:r>
              <w:rPr>
                <w:rFonts w:ascii="Arial" w:cs="Arial" w:eastAsia="Arial" w:hAnsi="Arial"/>
                <w:sz w:val="10"/>
                <w:szCs w:val="10"/>
                <w:color w:val="auto"/>
              </w:rPr>
              <w:t>Liabilities assumed</w:t>
            </w:r>
          </w:p>
        </w:tc>
        <w:tc>
          <w:tcPr>
            <w:tcW w:w="1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998,673</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7500" w:type="dxa"/>
            <w:vAlign w:val="bottom"/>
          </w:tcPr>
          <w:p>
            <w:pPr>
              <w:ind w:left="100"/>
              <w:spacing w:after="0" w:line="108" w:lineRule="exact"/>
              <w:rPr>
                <w:sz w:val="20"/>
                <w:szCs w:val="20"/>
                <w:color w:val="auto"/>
              </w:rPr>
            </w:pPr>
            <w:r>
              <w:rPr>
                <w:rFonts w:ascii="Arial" w:cs="Arial" w:eastAsia="Arial" w:hAnsi="Arial"/>
                <w:sz w:val="10"/>
                <w:szCs w:val="10"/>
                <w:color w:val="auto"/>
              </w:rPr>
              <w:t>Securitization of residential mortgage loans allocated to</w:t>
            </w: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7500" w:type="dxa"/>
            <w:vAlign w:val="bottom"/>
            <w:shd w:val="clear" w:color="auto" w:fill="CCEEFF"/>
          </w:tcPr>
          <w:p>
            <w:pPr>
              <w:ind w:left="200"/>
              <w:spacing w:after="0" w:line="108" w:lineRule="exact"/>
              <w:rPr>
                <w:sz w:val="20"/>
                <w:szCs w:val="20"/>
                <w:color w:val="auto"/>
              </w:rPr>
            </w:pPr>
            <w:r>
              <w:rPr>
                <w:rFonts w:ascii="Arial" w:cs="Arial" w:eastAsia="Arial" w:hAnsi="Arial"/>
                <w:sz w:val="10"/>
                <w:szCs w:val="10"/>
                <w:color w:val="auto"/>
              </w:rPr>
              <w:t>Available for sale investment securities</w:t>
            </w:r>
          </w:p>
        </w:tc>
        <w:tc>
          <w:tcPr>
            <w:tcW w:w="1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124,600</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31"/>
        </w:trPr>
        <w:tc>
          <w:tcPr>
            <w:tcW w:w="7500" w:type="dxa"/>
            <w:vAlign w:val="bottom"/>
          </w:tcPr>
          <w:p>
            <w:pPr>
              <w:ind w:left="200"/>
              <w:spacing w:after="0"/>
              <w:rPr>
                <w:sz w:val="20"/>
                <w:szCs w:val="20"/>
                <w:color w:val="auto"/>
              </w:rPr>
            </w:pPr>
            <w:r>
              <w:rPr>
                <w:rFonts w:ascii="Arial" w:cs="Arial" w:eastAsia="Arial" w:hAnsi="Arial"/>
                <w:sz w:val="10"/>
                <w:szCs w:val="10"/>
                <w:color w:val="auto"/>
              </w:rPr>
              <w:t>Capitalized servicing rights</w:t>
            </w:r>
          </w:p>
        </w:tc>
        <w:tc>
          <w:tcPr>
            <w:tcW w:w="120" w:type="dxa"/>
            <w:vAlign w:val="bottom"/>
          </w:tcPr>
          <w:p>
            <w:pPr>
              <w:spacing w:after="0"/>
              <w:rPr>
                <w:sz w:val="11"/>
                <w:szCs w:val="11"/>
                <w:color w:val="auto"/>
              </w:rPr>
            </w:pPr>
          </w:p>
        </w:tc>
        <w:tc>
          <w:tcPr>
            <w:tcW w:w="800" w:type="dxa"/>
            <w:vAlign w:val="bottom"/>
            <w:gridSpan w:val="2"/>
          </w:tcPr>
          <w:p>
            <w:pPr>
              <w:jc w:val="right"/>
              <w:ind w:right="248"/>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0"/>
                <w:szCs w:val="10"/>
                <w:color w:val="auto"/>
              </w:rPr>
              <w:t>1,410</w:t>
            </w:r>
          </w:p>
        </w:tc>
        <w:tc>
          <w:tcPr>
            <w:tcW w:w="100" w:type="dxa"/>
            <w:vAlign w:val="bottom"/>
          </w:tcPr>
          <w:p>
            <w:pPr>
              <w:spacing w:after="0"/>
              <w:rPr>
                <w:sz w:val="11"/>
                <w:szCs w:val="11"/>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r>
    </w:tbl>
    <w:p>
      <w:pPr>
        <w:spacing w:after="0" w:line="17" w:lineRule="exact"/>
        <w:rPr>
          <w:sz w:val="20"/>
          <w:szCs w:val="20"/>
          <w:color w:val="auto"/>
        </w:rPr>
      </w:pPr>
    </w:p>
    <w:p>
      <w:pPr>
        <w:ind w:left="4400"/>
        <w:spacing w:after="0"/>
        <w:rPr>
          <w:sz w:val="20"/>
          <w:szCs w:val="20"/>
          <w:color w:val="auto"/>
        </w:rPr>
      </w:pPr>
      <w:r>
        <w:rPr>
          <w:rFonts w:ascii="Arial" w:cs="Arial" w:eastAsia="Arial" w:hAnsi="Arial"/>
          <w:sz w:val="13"/>
          <w:szCs w:val="13"/>
          <w:i w:val="1"/>
          <w:iCs w:val="1"/>
          <w:color w:val="auto"/>
        </w:rPr>
        <w:t>See accompanying notes to financial statements.</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Consolidated Statement of Changes in Stockholders’ Equity</w:t>
      </w:r>
    </w:p>
    <w:p>
      <w:pPr>
        <w:spacing w:after="0" w:line="9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Accumulated</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340" w:type="dxa"/>
            <w:vAlign w:val="bottom"/>
            <w:vMerge w:val="restart"/>
          </w:tcPr>
          <w:p>
            <w:pPr>
              <w:spacing w:after="0"/>
              <w:rPr>
                <w:sz w:val="20"/>
                <w:szCs w:val="20"/>
                <w:color w:val="auto"/>
              </w:rPr>
            </w:pPr>
            <w:r>
              <w:rPr>
                <w:rFonts w:ascii="Arial" w:cs="Arial" w:eastAsia="Arial" w:hAnsi="Arial"/>
                <w:sz w:val="10"/>
                <w:szCs w:val="10"/>
                <w:b w:val="1"/>
                <w:bCs w:val="1"/>
                <w:color w:val="auto"/>
              </w:rPr>
              <w:t>(In thousands, except per share)</w:t>
            </w: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2"/>
              </w:rPr>
              <w:t>Common</w:t>
            </w: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w w:val="98"/>
              </w:rPr>
              <w:t>Additional</w:t>
            </w: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7"/>
              </w:rPr>
              <w:t>Other</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40" w:type="dxa"/>
            <w:vAlign w:val="bottom"/>
            <w:vMerge w:val="continue"/>
          </w:tcPr>
          <w:p>
            <w:pPr>
              <w:spacing w:after="0"/>
              <w:rPr>
                <w:sz w:val="9"/>
                <w:szCs w:val="9"/>
                <w:color w:val="auto"/>
              </w:rPr>
            </w:pPr>
          </w:p>
        </w:tc>
        <w:tc>
          <w:tcPr>
            <w:tcW w:w="620" w:type="dxa"/>
            <w:vAlign w:val="bottom"/>
            <w:gridSpan w:val="4"/>
            <w:vMerge w:val="restart"/>
          </w:tcPr>
          <w:p>
            <w:pPr>
              <w:spacing w:after="0"/>
              <w:rPr>
                <w:sz w:val="20"/>
                <w:szCs w:val="20"/>
                <w:color w:val="auto"/>
              </w:rPr>
            </w:pPr>
            <w:r>
              <w:rPr>
                <w:rFonts w:ascii="Arial" w:cs="Arial" w:eastAsia="Arial" w:hAnsi="Arial"/>
                <w:sz w:val="10"/>
                <w:szCs w:val="10"/>
                <w:b w:val="1"/>
                <w:bCs w:val="1"/>
                <w:color w:val="auto"/>
              </w:rPr>
              <w:t>Preferred</w:t>
            </w:r>
          </w:p>
        </w:tc>
        <w:tc>
          <w:tcPr>
            <w:tcW w:w="62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96"/>
              </w:rPr>
              <w:t>Common</w:t>
            </w:r>
          </w:p>
        </w:tc>
        <w:tc>
          <w:tcPr>
            <w:tcW w:w="60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rPr>
              <w:t>Retained</w:t>
            </w:r>
          </w:p>
        </w:tc>
        <w:tc>
          <w:tcPr>
            <w:tcW w:w="9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3"/>
              </w:rPr>
              <w:t>Comprehensive</w:t>
            </w: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0"/>
                <w:szCs w:val="10"/>
                <w:b w:val="1"/>
                <w:bCs w:val="1"/>
                <w:color w:val="auto"/>
              </w:rPr>
              <w:t>Treasury</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40" w:type="dxa"/>
            <w:vAlign w:val="bottom"/>
          </w:tcPr>
          <w:p>
            <w:pPr>
              <w:spacing w:after="0"/>
              <w:rPr>
                <w:sz w:val="9"/>
                <w:szCs w:val="9"/>
                <w:color w:val="auto"/>
              </w:rPr>
            </w:pPr>
          </w:p>
        </w:tc>
        <w:tc>
          <w:tcPr>
            <w:tcW w:w="620" w:type="dxa"/>
            <w:vAlign w:val="bottom"/>
            <w:gridSpan w:val="4"/>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60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87"/>
              </w:rPr>
              <w:t>Stock</w:t>
            </w:r>
          </w:p>
        </w:tc>
        <w:tc>
          <w:tcPr>
            <w:tcW w:w="720" w:type="dxa"/>
            <w:vAlign w:val="bottom"/>
            <w:gridSpan w:val="2"/>
          </w:tcPr>
          <w:p>
            <w:pPr>
              <w:jc w:val="right"/>
              <w:ind w:right="300"/>
              <w:spacing w:after="0" w:line="108" w:lineRule="exact"/>
              <w:rPr>
                <w:sz w:val="20"/>
                <w:szCs w:val="20"/>
                <w:color w:val="auto"/>
              </w:rPr>
            </w:pPr>
            <w:r>
              <w:rPr>
                <w:rFonts w:ascii="Arial" w:cs="Arial" w:eastAsia="Arial" w:hAnsi="Arial"/>
                <w:sz w:val="10"/>
                <w:szCs w:val="10"/>
                <w:b w:val="1"/>
                <w:bCs w:val="1"/>
                <w:color w:val="auto"/>
              </w:rPr>
              <w:t>Paid-in</w:t>
            </w:r>
          </w:p>
        </w:tc>
        <w:tc>
          <w:tcPr>
            <w:tcW w:w="720" w:type="dxa"/>
            <w:vAlign w:val="bottom"/>
            <w:gridSpan w:val="2"/>
            <w:vMerge w:val="continue"/>
          </w:tcPr>
          <w:p>
            <w:pPr>
              <w:spacing w:after="0"/>
              <w:rPr>
                <w:sz w:val="9"/>
                <w:szCs w:val="9"/>
                <w:color w:val="auto"/>
              </w:rPr>
            </w:pPr>
          </w:p>
        </w:tc>
        <w:tc>
          <w:tcPr>
            <w:tcW w:w="9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3"/>
              </w:rPr>
              <w:t>Income (Loss),</w:t>
            </w:r>
          </w:p>
        </w:tc>
        <w:tc>
          <w:tcPr>
            <w:tcW w:w="760" w:type="dxa"/>
            <w:vAlign w:val="bottom"/>
            <w:gridSpan w:val="2"/>
            <w:vMerge w:val="continue"/>
          </w:tcPr>
          <w:p>
            <w:pPr>
              <w:spacing w:after="0"/>
              <w:rPr>
                <w:sz w:val="9"/>
                <w:szCs w:val="9"/>
                <w:color w:val="auto"/>
              </w:rPr>
            </w:pPr>
          </w:p>
        </w:tc>
        <w:tc>
          <w:tcPr>
            <w:tcW w:w="620" w:type="dxa"/>
            <w:vAlign w:val="bottom"/>
            <w:gridSpan w:val="2"/>
            <w:vMerge w:val="restart"/>
          </w:tcPr>
          <w:p>
            <w:pPr>
              <w:jc w:val="right"/>
              <w:ind w:right="24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4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3"/>
          </w:tcPr>
          <w:p>
            <w:pPr>
              <w:ind w:left="20"/>
              <w:spacing w:after="0"/>
              <w:rPr>
                <w:sz w:val="20"/>
                <w:szCs w:val="20"/>
                <w:color w:val="auto"/>
              </w:rPr>
            </w:pPr>
            <w:r>
              <w:rPr>
                <w:rFonts w:ascii="Arial" w:cs="Arial" w:eastAsia="Arial" w:hAnsi="Arial"/>
                <w:sz w:val="10"/>
                <w:szCs w:val="10"/>
                <w:b w:val="1"/>
                <w:bCs w:val="1"/>
                <w:color w:val="auto"/>
              </w:rPr>
              <w:t>Stock</w:t>
            </w:r>
          </w:p>
        </w:tc>
        <w:tc>
          <w:tcPr>
            <w:tcW w:w="62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Stock</w:t>
            </w:r>
          </w:p>
        </w:tc>
        <w:tc>
          <w:tcPr>
            <w:tcW w:w="6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9"/>
              </w:rPr>
              <w:t>Issuable</w:t>
            </w:r>
          </w:p>
        </w:tc>
        <w:tc>
          <w:tcPr>
            <w:tcW w:w="72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Capital</w:t>
            </w:r>
          </w:p>
        </w:tc>
        <w:tc>
          <w:tcPr>
            <w:tcW w:w="72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Earnings</w:t>
            </w:r>
          </w:p>
        </w:tc>
        <w:tc>
          <w:tcPr>
            <w:tcW w:w="9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9"/>
              </w:rPr>
              <w:t>Net</w:t>
            </w:r>
          </w:p>
        </w:tc>
        <w:tc>
          <w:tcPr>
            <w:tcW w:w="760" w:type="dxa"/>
            <w:vAlign w:val="bottom"/>
            <w:gridSpan w:val="2"/>
          </w:tcPr>
          <w:p>
            <w:pPr>
              <w:jc w:val="right"/>
              <w:ind w:right="340"/>
              <w:spacing w:after="0"/>
              <w:rPr>
                <w:sz w:val="20"/>
                <w:szCs w:val="20"/>
                <w:color w:val="auto"/>
              </w:rPr>
            </w:pPr>
            <w:r>
              <w:rPr>
                <w:rFonts w:ascii="Arial" w:cs="Arial" w:eastAsia="Arial" w:hAnsi="Arial"/>
                <w:sz w:val="10"/>
                <w:szCs w:val="10"/>
                <w:b w:val="1"/>
                <w:bCs w:val="1"/>
                <w:color w:val="auto"/>
              </w:rPr>
              <w:t>Stock</w:t>
            </w:r>
          </w:p>
        </w:tc>
        <w:tc>
          <w:tcPr>
            <w:tcW w:w="6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34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434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2004</w:t>
            </w: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40" w:type="dxa"/>
            <w:vAlign w:val="bottom"/>
          </w:tcPr>
          <w:p>
            <w:pPr>
              <w:spacing w:after="0" w:line="108" w:lineRule="exact"/>
              <w:rPr>
                <w:sz w:val="20"/>
                <w:szCs w:val="20"/>
                <w:color w:val="auto"/>
              </w:rPr>
            </w:pPr>
            <w:r>
              <w:rPr>
                <w:rFonts w:ascii="Arial" w:cs="Arial" w:eastAsia="Arial" w:hAnsi="Arial"/>
                <w:sz w:val="10"/>
                <w:szCs w:val="10"/>
                <w:color w:val="auto"/>
              </w:rPr>
              <w:t>Balance — January 1, 2004</w:t>
            </w:r>
          </w:p>
        </w:tc>
        <w:tc>
          <w:tcPr>
            <w:tcW w:w="60" w:type="dxa"/>
            <w:vAlign w:val="bottom"/>
          </w:tcPr>
          <w:p>
            <w:pPr>
              <w:spacing w:after="0" w:line="108" w:lineRule="exact"/>
              <w:rPr>
                <w:sz w:val="20"/>
                <w:szCs w:val="20"/>
                <w:color w:val="auto"/>
              </w:rPr>
            </w:pPr>
            <w:r>
              <w:rPr>
                <w:rFonts w:ascii="Arial" w:cs="Arial" w:eastAsia="Arial" w:hAnsi="Arial"/>
                <w:sz w:val="10"/>
                <w:szCs w:val="10"/>
                <w:color w:val="auto"/>
                <w:w w:val="71"/>
              </w:rPr>
              <w:t>$</w:t>
            </w:r>
          </w:p>
        </w:tc>
        <w:tc>
          <w:tcPr>
            <w:tcW w:w="560" w:type="dxa"/>
            <w:vAlign w:val="bottom"/>
            <w:gridSpan w:val="3"/>
          </w:tcPr>
          <w:p>
            <w:pPr>
              <w:ind w:left="26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60,053</w:t>
            </w: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6,326</w:t>
            </w: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2,888,963</w:t>
            </w: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2,736,215</w:t>
            </w:r>
          </w:p>
        </w:tc>
        <w:tc>
          <w:tcPr>
            <w:tcW w:w="9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25,653</w:t>
            </w: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5,717,210</w:t>
            </w:r>
          </w:p>
        </w:tc>
        <w:tc>
          <w:tcPr>
            <w:tcW w:w="0" w:type="dxa"/>
            <w:vAlign w:val="bottom"/>
          </w:tcPr>
          <w:p>
            <w:pPr>
              <w:spacing w:after="0"/>
              <w:rPr>
                <w:sz w:val="1"/>
                <w:szCs w:val="1"/>
                <w:color w:val="auto"/>
              </w:rPr>
            </w:pPr>
          </w:p>
        </w:tc>
      </w:tr>
      <w:tr>
        <w:trPr>
          <w:trHeight w:val="108"/>
        </w:trPr>
        <w:tc>
          <w:tcPr>
            <w:tcW w:w="434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Comprehensive income:</w:t>
            </w: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40" w:type="dxa"/>
            <w:vAlign w:val="bottom"/>
          </w:tcPr>
          <w:p>
            <w:pPr>
              <w:ind w:left="100"/>
              <w:spacing w:after="0" w:line="108" w:lineRule="exact"/>
              <w:rPr>
                <w:sz w:val="20"/>
                <w:szCs w:val="20"/>
                <w:color w:val="auto"/>
              </w:rPr>
            </w:pPr>
            <w:r>
              <w:rPr>
                <w:rFonts w:ascii="Arial" w:cs="Arial" w:eastAsia="Arial" w:hAnsi="Arial"/>
                <w:sz w:val="10"/>
                <w:szCs w:val="10"/>
                <w:color w:val="auto"/>
              </w:rPr>
              <w:t>Net income</w:t>
            </w:r>
          </w:p>
        </w:tc>
        <w:tc>
          <w:tcPr>
            <w:tcW w:w="60" w:type="dxa"/>
            <w:vAlign w:val="bottom"/>
          </w:tcPr>
          <w:p>
            <w:pPr>
              <w:spacing w:after="0"/>
              <w:rPr>
                <w:sz w:val="9"/>
                <w:szCs w:val="9"/>
                <w:color w:val="auto"/>
              </w:rPr>
            </w:pPr>
          </w:p>
        </w:tc>
        <w:tc>
          <w:tcPr>
            <w:tcW w:w="560" w:type="dxa"/>
            <w:vAlign w:val="bottom"/>
            <w:gridSpan w:val="3"/>
          </w:tcPr>
          <w:p>
            <w:pPr>
              <w:ind w:left="26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722,521</w:t>
            </w:r>
          </w:p>
        </w:tc>
        <w:tc>
          <w:tcPr>
            <w:tcW w:w="9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722,521</w:t>
            </w:r>
          </w:p>
        </w:tc>
        <w:tc>
          <w:tcPr>
            <w:tcW w:w="0" w:type="dxa"/>
            <w:vAlign w:val="bottom"/>
          </w:tcPr>
          <w:p>
            <w:pPr>
              <w:spacing w:after="0"/>
              <w:rPr>
                <w:sz w:val="1"/>
                <w:szCs w:val="1"/>
                <w:color w:val="auto"/>
              </w:rPr>
            </w:pPr>
          </w:p>
        </w:tc>
      </w:tr>
      <w:tr>
        <w:trPr>
          <w:trHeight w:val="108"/>
        </w:trPr>
        <w:tc>
          <w:tcPr>
            <w:tcW w:w="434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Other comprehensive income, net of tax and reclassification adjustments:</w:t>
            </w: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40" w:type="dxa"/>
            <w:vAlign w:val="bottom"/>
          </w:tcPr>
          <w:p>
            <w:pPr>
              <w:ind w:left="380"/>
              <w:spacing w:after="0" w:line="108" w:lineRule="exact"/>
              <w:rPr>
                <w:sz w:val="20"/>
                <w:szCs w:val="20"/>
                <w:color w:val="auto"/>
              </w:rPr>
            </w:pPr>
            <w:r>
              <w:rPr>
                <w:rFonts w:ascii="Arial" w:cs="Arial" w:eastAsia="Arial" w:hAnsi="Arial"/>
                <w:sz w:val="10"/>
                <w:szCs w:val="10"/>
                <w:color w:val="auto"/>
              </w:rPr>
              <w:t>Unrealized losses on investment securities</w:t>
            </w:r>
          </w:p>
        </w:tc>
        <w:tc>
          <w:tcPr>
            <w:tcW w:w="60" w:type="dxa"/>
            <w:vAlign w:val="bottom"/>
          </w:tcPr>
          <w:p>
            <w:pPr>
              <w:spacing w:after="0"/>
              <w:rPr>
                <w:sz w:val="9"/>
                <w:szCs w:val="9"/>
                <w:color w:val="auto"/>
              </w:rPr>
            </w:pPr>
          </w:p>
        </w:tc>
        <w:tc>
          <w:tcPr>
            <w:tcW w:w="560" w:type="dxa"/>
            <w:vAlign w:val="bottom"/>
            <w:gridSpan w:val="3"/>
          </w:tcPr>
          <w:p>
            <w:pPr>
              <w:ind w:left="26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(42,823)</w:t>
            </w: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(42,823)</w:t>
            </w:r>
          </w:p>
        </w:tc>
        <w:tc>
          <w:tcPr>
            <w:tcW w:w="0" w:type="dxa"/>
            <w:vAlign w:val="bottom"/>
          </w:tcPr>
          <w:p>
            <w:pPr>
              <w:spacing w:after="0"/>
              <w:rPr>
                <w:sz w:val="1"/>
                <w:szCs w:val="1"/>
                <w:color w:val="auto"/>
              </w:rPr>
            </w:pPr>
          </w:p>
        </w:tc>
      </w:tr>
      <w:tr>
        <w:trPr>
          <w:trHeight w:val="108"/>
        </w:trPr>
        <w:tc>
          <w:tcPr>
            <w:tcW w:w="4340" w:type="dxa"/>
            <w:vAlign w:val="bottom"/>
            <w:shd w:val="clear" w:color="auto" w:fill="CCEEFF"/>
          </w:tcPr>
          <w:p>
            <w:pPr>
              <w:ind w:left="380"/>
              <w:spacing w:after="0" w:line="108" w:lineRule="exact"/>
              <w:rPr>
                <w:sz w:val="20"/>
                <w:szCs w:val="20"/>
                <w:color w:val="auto"/>
              </w:rPr>
            </w:pPr>
            <w:r>
              <w:rPr>
                <w:rFonts w:ascii="Arial" w:cs="Arial" w:eastAsia="Arial" w:hAnsi="Arial"/>
                <w:sz w:val="10"/>
                <w:szCs w:val="10"/>
                <w:color w:val="auto"/>
              </w:rPr>
              <w:t>Minimum pension liability adjustment</w:t>
            </w:r>
          </w:p>
        </w:tc>
        <w:tc>
          <w:tcPr>
            <w:tcW w:w="60" w:type="dxa"/>
            <w:vAlign w:val="bottom"/>
            <w:shd w:val="clear" w:color="auto" w:fill="CCEEFF"/>
          </w:tcPr>
          <w:p>
            <w:pPr>
              <w:spacing w:after="0"/>
              <w:rPr>
                <w:sz w:val="9"/>
                <w:szCs w:val="9"/>
                <w:color w:val="auto"/>
              </w:rPr>
            </w:pPr>
          </w:p>
        </w:tc>
        <w:tc>
          <w:tcPr>
            <w:tcW w:w="560" w:type="dxa"/>
            <w:vAlign w:val="bottom"/>
            <w:gridSpan w:val="3"/>
            <w:shd w:val="clear" w:color="auto" w:fill="CCEEFF"/>
          </w:tcPr>
          <w:p>
            <w:pPr>
              <w:ind w:left="26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(39)</w:t>
            </w:r>
          </w:p>
        </w:tc>
        <w:tc>
          <w:tcPr>
            <w:tcW w:w="7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(39)</w:t>
            </w:r>
          </w:p>
        </w:tc>
        <w:tc>
          <w:tcPr>
            <w:tcW w:w="0" w:type="dxa"/>
            <w:vAlign w:val="bottom"/>
          </w:tcPr>
          <w:p>
            <w:pPr>
              <w:spacing w:after="0"/>
              <w:rPr>
                <w:sz w:val="1"/>
                <w:szCs w:val="1"/>
                <w:color w:val="auto"/>
              </w:rPr>
            </w:pPr>
          </w:p>
        </w:tc>
      </w:tr>
      <w:tr>
        <w:trPr>
          <w:trHeight w:val="108"/>
        </w:trPr>
        <w:tc>
          <w:tcPr>
            <w:tcW w:w="4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679,659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4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Purchases of treasury stock</w:t>
            </w:r>
          </w:p>
        </w:tc>
        <w:tc>
          <w:tcPr>
            <w:tcW w:w="60" w:type="dxa"/>
            <w:vAlign w:val="bottom"/>
            <w:shd w:val="clear" w:color="auto" w:fill="CCEEFF"/>
          </w:tcPr>
          <w:p>
            <w:pPr>
              <w:spacing w:after="0"/>
              <w:rPr>
                <w:sz w:val="9"/>
                <w:szCs w:val="9"/>
                <w:color w:val="auto"/>
              </w:rPr>
            </w:pPr>
          </w:p>
        </w:tc>
        <w:tc>
          <w:tcPr>
            <w:tcW w:w="560" w:type="dxa"/>
            <w:vAlign w:val="bottom"/>
            <w:gridSpan w:val="3"/>
            <w:shd w:val="clear" w:color="auto" w:fill="CCEEFF"/>
          </w:tcPr>
          <w:p>
            <w:pPr>
              <w:ind w:left="26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(610,261)</w:t>
            </w:r>
          </w:p>
        </w:tc>
        <w:tc>
          <w:tcPr>
            <w:tcW w:w="6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(610,261)</w:t>
            </w:r>
          </w:p>
        </w:tc>
        <w:tc>
          <w:tcPr>
            <w:tcW w:w="0" w:type="dxa"/>
            <w:vAlign w:val="bottom"/>
          </w:tcPr>
          <w:p>
            <w:pPr>
              <w:spacing w:after="0"/>
              <w:rPr>
                <w:sz w:val="1"/>
                <w:szCs w:val="1"/>
                <w:color w:val="auto"/>
              </w:rPr>
            </w:pPr>
          </w:p>
        </w:tc>
      </w:tr>
      <w:tr>
        <w:trPr>
          <w:trHeight w:val="108"/>
        </w:trPr>
        <w:tc>
          <w:tcPr>
            <w:tcW w:w="4340" w:type="dxa"/>
            <w:vAlign w:val="bottom"/>
          </w:tcPr>
          <w:p>
            <w:pPr>
              <w:spacing w:after="0" w:line="108" w:lineRule="exact"/>
              <w:rPr>
                <w:sz w:val="20"/>
                <w:szCs w:val="20"/>
                <w:color w:val="auto"/>
              </w:rPr>
            </w:pPr>
            <w:r>
              <w:rPr>
                <w:rFonts w:ascii="Arial" w:cs="Arial" w:eastAsia="Arial" w:hAnsi="Arial"/>
                <w:sz w:val="10"/>
                <w:szCs w:val="10"/>
                <w:color w:val="auto"/>
              </w:rPr>
              <w:t>Stock-based compensation plans:</w:t>
            </w: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4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Stock option and purchase plans:</w:t>
            </w: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40" w:type="dxa"/>
            <w:vAlign w:val="bottom"/>
          </w:tcPr>
          <w:p>
            <w:pPr>
              <w:ind w:left="200"/>
              <w:spacing w:after="0" w:line="108" w:lineRule="exact"/>
              <w:rPr>
                <w:sz w:val="20"/>
                <w:szCs w:val="20"/>
                <w:color w:val="auto"/>
              </w:rPr>
            </w:pPr>
            <w:r>
              <w:rPr>
                <w:rFonts w:ascii="Arial" w:cs="Arial" w:eastAsia="Arial" w:hAnsi="Arial"/>
                <w:sz w:val="10"/>
                <w:szCs w:val="10"/>
                <w:color w:val="auto"/>
              </w:rPr>
              <w:t>Compensation expense</w:t>
            </w:r>
          </w:p>
        </w:tc>
        <w:tc>
          <w:tcPr>
            <w:tcW w:w="60" w:type="dxa"/>
            <w:vAlign w:val="bottom"/>
          </w:tcPr>
          <w:p>
            <w:pPr>
              <w:spacing w:after="0"/>
              <w:rPr>
                <w:sz w:val="9"/>
                <w:szCs w:val="9"/>
                <w:color w:val="auto"/>
              </w:rPr>
            </w:pPr>
          </w:p>
        </w:tc>
        <w:tc>
          <w:tcPr>
            <w:tcW w:w="560" w:type="dxa"/>
            <w:vAlign w:val="bottom"/>
            <w:gridSpan w:val="3"/>
          </w:tcPr>
          <w:p>
            <w:pPr>
              <w:ind w:left="26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48,103</w:t>
            </w: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48,103</w:t>
            </w:r>
          </w:p>
        </w:tc>
        <w:tc>
          <w:tcPr>
            <w:tcW w:w="0" w:type="dxa"/>
            <w:vAlign w:val="bottom"/>
          </w:tcPr>
          <w:p>
            <w:pPr>
              <w:spacing w:after="0"/>
              <w:rPr>
                <w:sz w:val="1"/>
                <w:szCs w:val="1"/>
                <w:color w:val="auto"/>
              </w:rPr>
            </w:pPr>
          </w:p>
        </w:tc>
      </w:tr>
      <w:tr>
        <w:trPr>
          <w:trHeight w:val="108"/>
        </w:trPr>
        <w:tc>
          <w:tcPr>
            <w:tcW w:w="4340" w:type="dxa"/>
            <w:vAlign w:val="bottom"/>
            <w:shd w:val="clear" w:color="auto" w:fill="CCEEFF"/>
          </w:tcPr>
          <w:p>
            <w:pPr>
              <w:ind w:left="200"/>
              <w:spacing w:after="0" w:line="108" w:lineRule="exact"/>
              <w:rPr>
                <w:sz w:val="20"/>
                <w:szCs w:val="20"/>
                <w:color w:val="auto"/>
              </w:rPr>
            </w:pPr>
            <w:r>
              <w:rPr>
                <w:rFonts w:ascii="Arial" w:cs="Arial" w:eastAsia="Arial" w:hAnsi="Arial"/>
                <w:sz w:val="10"/>
                <w:szCs w:val="10"/>
                <w:color w:val="auto"/>
              </w:rPr>
              <w:t>Exercises</w:t>
            </w:r>
          </w:p>
        </w:tc>
        <w:tc>
          <w:tcPr>
            <w:tcW w:w="60" w:type="dxa"/>
            <w:vAlign w:val="bottom"/>
            <w:shd w:val="clear" w:color="auto" w:fill="CCEEFF"/>
          </w:tcPr>
          <w:p>
            <w:pPr>
              <w:spacing w:after="0"/>
              <w:rPr>
                <w:sz w:val="9"/>
                <w:szCs w:val="9"/>
                <w:color w:val="auto"/>
              </w:rPr>
            </w:pPr>
          </w:p>
        </w:tc>
        <w:tc>
          <w:tcPr>
            <w:tcW w:w="560" w:type="dxa"/>
            <w:vAlign w:val="bottom"/>
            <w:gridSpan w:val="3"/>
            <w:shd w:val="clear" w:color="auto" w:fill="CCEEFF"/>
          </w:tcPr>
          <w:p>
            <w:pPr>
              <w:ind w:left="26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144</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(38,361)</w:t>
            </w: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119,444</w:t>
            </w:r>
          </w:p>
        </w:tc>
        <w:tc>
          <w:tcPr>
            <w:tcW w:w="6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81,227</w:t>
            </w:r>
          </w:p>
        </w:tc>
        <w:tc>
          <w:tcPr>
            <w:tcW w:w="0" w:type="dxa"/>
            <w:vAlign w:val="bottom"/>
          </w:tcPr>
          <w:p>
            <w:pPr>
              <w:spacing w:after="0"/>
              <w:rPr>
                <w:sz w:val="1"/>
                <w:szCs w:val="1"/>
                <w:color w:val="auto"/>
              </w:rPr>
            </w:pPr>
          </w:p>
        </w:tc>
      </w:tr>
      <w:tr>
        <w:trPr>
          <w:trHeight w:val="108"/>
        </w:trPr>
        <w:tc>
          <w:tcPr>
            <w:tcW w:w="4340" w:type="dxa"/>
            <w:vAlign w:val="bottom"/>
          </w:tcPr>
          <w:p>
            <w:pPr>
              <w:ind w:left="100"/>
              <w:spacing w:after="0" w:line="108" w:lineRule="exact"/>
              <w:rPr>
                <w:sz w:val="20"/>
                <w:szCs w:val="20"/>
                <w:color w:val="auto"/>
              </w:rPr>
            </w:pPr>
            <w:r>
              <w:rPr>
                <w:rFonts w:ascii="Arial" w:cs="Arial" w:eastAsia="Arial" w:hAnsi="Arial"/>
                <w:sz w:val="10"/>
                <w:szCs w:val="10"/>
                <w:color w:val="auto"/>
              </w:rPr>
              <w:t>Directors’ stock plan</w:t>
            </w:r>
          </w:p>
        </w:tc>
        <w:tc>
          <w:tcPr>
            <w:tcW w:w="60" w:type="dxa"/>
            <w:vAlign w:val="bottom"/>
          </w:tcPr>
          <w:p>
            <w:pPr>
              <w:spacing w:after="0"/>
              <w:rPr>
                <w:sz w:val="9"/>
                <w:szCs w:val="9"/>
                <w:color w:val="auto"/>
              </w:rPr>
            </w:pPr>
          </w:p>
        </w:tc>
        <w:tc>
          <w:tcPr>
            <w:tcW w:w="560" w:type="dxa"/>
            <w:vAlign w:val="bottom"/>
            <w:gridSpan w:val="3"/>
          </w:tcPr>
          <w:p>
            <w:pPr>
              <w:ind w:left="26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w:t>
            </w: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167</w:t>
            </w: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817</w:t>
            </w:r>
          </w:p>
        </w:tc>
        <w:tc>
          <w:tcPr>
            <w:tcW w:w="6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985</w:t>
            </w:r>
          </w:p>
        </w:tc>
        <w:tc>
          <w:tcPr>
            <w:tcW w:w="0" w:type="dxa"/>
            <w:vAlign w:val="bottom"/>
          </w:tcPr>
          <w:p>
            <w:pPr>
              <w:spacing w:after="0"/>
              <w:rPr>
                <w:sz w:val="1"/>
                <w:szCs w:val="1"/>
                <w:color w:val="auto"/>
              </w:rPr>
            </w:pPr>
          </w:p>
        </w:tc>
      </w:tr>
      <w:tr>
        <w:trPr>
          <w:trHeight w:val="108"/>
        </w:trPr>
        <w:tc>
          <w:tcPr>
            <w:tcW w:w="434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Deferred compensation plans, net, including dividend equivalents</w:t>
            </w:r>
          </w:p>
        </w:tc>
        <w:tc>
          <w:tcPr>
            <w:tcW w:w="60" w:type="dxa"/>
            <w:vAlign w:val="bottom"/>
            <w:shd w:val="clear" w:color="auto" w:fill="CCEEFF"/>
          </w:tcPr>
          <w:p>
            <w:pPr>
              <w:spacing w:after="0"/>
              <w:rPr>
                <w:sz w:val="9"/>
                <w:szCs w:val="9"/>
                <w:color w:val="auto"/>
              </w:rPr>
            </w:pPr>
          </w:p>
        </w:tc>
        <w:tc>
          <w:tcPr>
            <w:tcW w:w="560" w:type="dxa"/>
            <w:vAlign w:val="bottom"/>
            <w:gridSpan w:val="3"/>
            <w:shd w:val="clear" w:color="auto" w:fill="CCEEFF"/>
          </w:tcPr>
          <w:p>
            <w:pPr>
              <w:ind w:left="26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(547)</w:t>
            </w:r>
          </w:p>
        </w:tc>
        <w:tc>
          <w:tcPr>
            <w:tcW w:w="7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(960)</w:t>
            </w:r>
          </w:p>
        </w:tc>
        <w:tc>
          <w:tcPr>
            <w:tcW w:w="7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(180)</w:t>
            </w:r>
          </w:p>
        </w:tc>
        <w:tc>
          <w:tcPr>
            <w:tcW w:w="9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2,047</w:t>
            </w:r>
          </w:p>
        </w:tc>
        <w:tc>
          <w:tcPr>
            <w:tcW w:w="6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360</w:t>
            </w:r>
          </w:p>
        </w:tc>
        <w:tc>
          <w:tcPr>
            <w:tcW w:w="0" w:type="dxa"/>
            <w:vAlign w:val="bottom"/>
          </w:tcPr>
          <w:p>
            <w:pPr>
              <w:spacing w:after="0"/>
              <w:rPr>
                <w:sz w:val="1"/>
                <w:szCs w:val="1"/>
                <w:color w:val="auto"/>
              </w:rPr>
            </w:pPr>
          </w:p>
        </w:tc>
      </w:tr>
      <w:tr>
        <w:trPr>
          <w:trHeight w:val="108"/>
        </w:trPr>
        <w:tc>
          <w:tcPr>
            <w:tcW w:w="4340" w:type="dxa"/>
            <w:vAlign w:val="bottom"/>
          </w:tcPr>
          <w:p>
            <w:pPr>
              <w:spacing w:after="0" w:line="108" w:lineRule="exact"/>
              <w:rPr>
                <w:sz w:val="20"/>
                <w:szCs w:val="20"/>
                <w:color w:val="auto"/>
              </w:rPr>
            </w:pPr>
            <w:r>
              <w:rPr>
                <w:rFonts w:ascii="Arial" w:cs="Arial" w:eastAsia="Arial" w:hAnsi="Arial"/>
                <w:sz w:val="10"/>
                <w:szCs w:val="10"/>
                <w:color w:val="auto"/>
              </w:rPr>
              <w:t>Common stock cash dividends — $1.60 per share</w:t>
            </w:r>
          </w:p>
        </w:tc>
        <w:tc>
          <w:tcPr>
            <w:tcW w:w="60" w:type="dxa"/>
            <w:vAlign w:val="bottom"/>
          </w:tcPr>
          <w:p>
            <w:pPr>
              <w:spacing w:after="0"/>
              <w:rPr>
                <w:sz w:val="9"/>
                <w:szCs w:val="9"/>
                <w:color w:val="auto"/>
              </w:rPr>
            </w:pPr>
          </w:p>
        </w:tc>
        <w:tc>
          <w:tcPr>
            <w:tcW w:w="560" w:type="dxa"/>
            <w:vAlign w:val="bottom"/>
            <w:gridSpan w:val="3"/>
          </w:tcPr>
          <w:p>
            <w:pPr>
              <w:ind w:left="26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(187,669)</w:t>
            </w:r>
          </w:p>
        </w:tc>
        <w:tc>
          <w:tcPr>
            <w:tcW w:w="9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(187,669)</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34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Balance — December 31, 2004</w:t>
            </w:r>
          </w:p>
        </w:tc>
        <w:tc>
          <w:tcPr>
            <w:tcW w:w="6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w w:val="71"/>
              </w:rPr>
              <w:t>$</w:t>
            </w:r>
          </w:p>
        </w:tc>
        <w:tc>
          <w:tcPr>
            <w:tcW w:w="560" w:type="dxa"/>
            <w:vAlign w:val="bottom"/>
            <w:gridSpan w:val="3"/>
            <w:shd w:val="clear" w:color="auto" w:fill="CCEEFF"/>
          </w:tcPr>
          <w:p>
            <w:pPr>
              <w:ind w:left="26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60,198</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5,779</w:t>
            </w: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2,897,912</w:t>
            </w: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3,270,887</w:t>
            </w:r>
          </w:p>
        </w:tc>
        <w:tc>
          <w:tcPr>
            <w:tcW w:w="9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(17,209)</w:t>
            </w:r>
          </w:p>
        </w:tc>
        <w:tc>
          <w:tcPr>
            <w:tcW w:w="7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(487,953)</w:t>
            </w:r>
          </w:p>
        </w:tc>
        <w:tc>
          <w:tcPr>
            <w:tcW w:w="6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5,729,614</w:t>
            </w:r>
          </w:p>
        </w:tc>
        <w:tc>
          <w:tcPr>
            <w:tcW w:w="0" w:type="dxa"/>
            <w:vAlign w:val="bottom"/>
          </w:tcPr>
          <w:p>
            <w:pPr>
              <w:spacing w:after="0"/>
              <w:rPr>
                <w:sz w:val="1"/>
                <w:szCs w:val="1"/>
                <w:color w:val="auto"/>
              </w:rPr>
            </w:pPr>
          </w:p>
        </w:tc>
      </w:tr>
      <w:tr>
        <w:trPr>
          <w:trHeight w:val="108"/>
        </w:trPr>
        <w:tc>
          <w:tcPr>
            <w:tcW w:w="4340" w:type="dxa"/>
            <w:vAlign w:val="bottom"/>
          </w:tcPr>
          <w:p>
            <w:pPr>
              <w:spacing w:after="0" w:line="108" w:lineRule="exact"/>
              <w:rPr>
                <w:sz w:val="20"/>
                <w:szCs w:val="20"/>
                <w:color w:val="auto"/>
              </w:rPr>
            </w:pPr>
            <w:r>
              <w:rPr>
                <w:rFonts w:ascii="Arial" w:cs="Arial" w:eastAsia="Arial" w:hAnsi="Arial"/>
                <w:sz w:val="10"/>
                <w:szCs w:val="10"/>
                <w:b w:val="1"/>
                <w:bCs w:val="1"/>
                <w:color w:val="auto"/>
              </w:rPr>
              <w:t>2005</w:t>
            </w: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4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Comprehensive income:</w:t>
            </w: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40" w:type="dxa"/>
            <w:vAlign w:val="bottom"/>
          </w:tcPr>
          <w:p>
            <w:pPr>
              <w:ind w:left="100"/>
              <w:spacing w:after="0" w:line="108" w:lineRule="exact"/>
              <w:rPr>
                <w:sz w:val="20"/>
                <w:szCs w:val="20"/>
                <w:color w:val="auto"/>
              </w:rPr>
            </w:pPr>
            <w:r>
              <w:rPr>
                <w:rFonts w:ascii="Arial" w:cs="Arial" w:eastAsia="Arial" w:hAnsi="Arial"/>
                <w:sz w:val="10"/>
                <w:szCs w:val="10"/>
                <w:color w:val="auto"/>
              </w:rPr>
              <w:t>Net income</w:t>
            </w:r>
          </w:p>
        </w:tc>
        <w:tc>
          <w:tcPr>
            <w:tcW w:w="60" w:type="dxa"/>
            <w:vAlign w:val="bottom"/>
          </w:tcPr>
          <w:p>
            <w:pPr>
              <w:spacing w:after="0"/>
              <w:rPr>
                <w:sz w:val="9"/>
                <w:szCs w:val="9"/>
                <w:color w:val="auto"/>
              </w:rPr>
            </w:pPr>
          </w:p>
        </w:tc>
        <w:tc>
          <w:tcPr>
            <w:tcW w:w="560" w:type="dxa"/>
            <w:vAlign w:val="bottom"/>
            <w:gridSpan w:val="3"/>
          </w:tcPr>
          <w:p>
            <w:pPr>
              <w:ind w:left="26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782,183</w:t>
            </w:r>
          </w:p>
        </w:tc>
        <w:tc>
          <w:tcPr>
            <w:tcW w:w="9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782,183</w:t>
            </w:r>
          </w:p>
        </w:tc>
        <w:tc>
          <w:tcPr>
            <w:tcW w:w="0" w:type="dxa"/>
            <w:vAlign w:val="bottom"/>
          </w:tcPr>
          <w:p>
            <w:pPr>
              <w:spacing w:after="0"/>
              <w:rPr>
                <w:sz w:val="1"/>
                <w:szCs w:val="1"/>
                <w:color w:val="auto"/>
              </w:rPr>
            </w:pPr>
          </w:p>
        </w:tc>
      </w:tr>
      <w:tr>
        <w:trPr>
          <w:trHeight w:val="108"/>
        </w:trPr>
        <w:tc>
          <w:tcPr>
            <w:tcW w:w="434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Other comprehensive income, net of tax and reclassification adjustments:</w:t>
            </w: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40" w:type="dxa"/>
            <w:vAlign w:val="bottom"/>
          </w:tcPr>
          <w:p>
            <w:pPr>
              <w:ind w:left="380"/>
              <w:spacing w:after="0" w:line="108" w:lineRule="exact"/>
              <w:rPr>
                <w:sz w:val="20"/>
                <w:szCs w:val="20"/>
                <w:color w:val="auto"/>
              </w:rPr>
            </w:pPr>
            <w:r>
              <w:rPr>
                <w:rFonts w:ascii="Arial" w:cs="Arial" w:eastAsia="Arial" w:hAnsi="Arial"/>
                <w:sz w:val="10"/>
                <w:szCs w:val="10"/>
                <w:color w:val="auto"/>
              </w:rPr>
              <w:t>Unrealized losses on investment securities</w:t>
            </w:r>
          </w:p>
        </w:tc>
        <w:tc>
          <w:tcPr>
            <w:tcW w:w="60" w:type="dxa"/>
            <w:vAlign w:val="bottom"/>
          </w:tcPr>
          <w:p>
            <w:pPr>
              <w:spacing w:after="0"/>
              <w:rPr>
                <w:sz w:val="9"/>
                <w:szCs w:val="9"/>
                <w:color w:val="auto"/>
              </w:rPr>
            </w:pPr>
          </w:p>
        </w:tc>
        <w:tc>
          <w:tcPr>
            <w:tcW w:w="560" w:type="dxa"/>
            <w:vAlign w:val="bottom"/>
            <w:gridSpan w:val="3"/>
          </w:tcPr>
          <w:p>
            <w:pPr>
              <w:ind w:left="26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(43,864)</w:t>
            </w: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(43,864)</w:t>
            </w:r>
          </w:p>
        </w:tc>
        <w:tc>
          <w:tcPr>
            <w:tcW w:w="0" w:type="dxa"/>
            <w:vAlign w:val="bottom"/>
          </w:tcPr>
          <w:p>
            <w:pPr>
              <w:spacing w:after="0"/>
              <w:rPr>
                <w:sz w:val="1"/>
                <w:szCs w:val="1"/>
                <w:color w:val="auto"/>
              </w:rPr>
            </w:pPr>
          </w:p>
        </w:tc>
      </w:tr>
      <w:tr>
        <w:trPr>
          <w:trHeight w:val="108"/>
        </w:trPr>
        <w:tc>
          <w:tcPr>
            <w:tcW w:w="4340" w:type="dxa"/>
            <w:vAlign w:val="bottom"/>
            <w:shd w:val="clear" w:color="auto" w:fill="CCEEFF"/>
          </w:tcPr>
          <w:p>
            <w:pPr>
              <w:ind w:left="380"/>
              <w:spacing w:after="0" w:line="108" w:lineRule="exact"/>
              <w:rPr>
                <w:sz w:val="20"/>
                <w:szCs w:val="20"/>
                <w:color w:val="auto"/>
              </w:rPr>
            </w:pPr>
            <w:r>
              <w:rPr>
                <w:rFonts w:ascii="Arial" w:cs="Arial" w:eastAsia="Arial" w:hAnsi="Arial"/>
                <w:sz w:val="10"/>
                <w:szCs w:val="10"/>
                <w:color w:val="auto"/>
              </w:rPr>
              <w:t>Minimum pension liability adjustment</w:t>
            </w:r>
          </w:p>
        </w:tc>
        <w:tc>
          <w:tcPr>
            <w:tcW w:w="60" w:type="dxa"/>
            <w:vAlign w:val="bottom"/>
            <w:shd w:val="clear" w:color="auto" w:fill="CCEEFF"/>
          </w:tcPr>
          <w:p>
            <w:pPr>
              <w:spacing w:after="0"/>
              <w:rPr>
                <w:sz w:val="9"/>
                <w:szCs w:val="9"/>
                <w:color w:val="auto"/>
              </w:rPr>
            </w:pPr>
          </w:p>
        </w:tc>
        <w:tc>
          <w:tcPr>
            <w:tcW w:w="560" w:type="dxa"/>
            <w:vAlign w:val="bottom"/>
            <w:gridSpan w:val="3"/>
            <w:shd w:val="clear" w:color="auto" w:fill="CCEEFF"/>
          </w:tcPr>
          <w:p>
            <w:pPr>
              <w:ind w:left="26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(36,857)</w:t>
            </w:r>
          </w:p>
        </w:tc>
        <w:tc>
          <w:tcPr>
            <w:tcW w:w="7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(36,857)</w:t>
            </w:r>
          </w:p>
        </w:tc>
        <w:tc>
          <w:tcPr>
            <w:tcW w:w="0" w:type="dxa"/>
            <w:vAlign w:val="bottom"/>
          </w:tcPr>
          <w:p>
            <w:pPr>
              <w:spacing w:after="0"/>
              <w:rPr>
                <w:sz w:val="1"/>
                <w:szCs w:val="1"/>
                <w:color w:val="auto"/>
              </w:rPr>
            </w:pPr>
          </w:p>
        </w:tc>
      </w:tr>
      <w:tr>
        <w:trPr>
          <w:trHeight w:val="108"/>
        </w:trPr>
        <w:tc>
          <w:tcPr>
            <w:tcW w:w="43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701,462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4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Purchases of treasury stock</w:t>
            </w:r>
          </w:p>
        </w:tc>
        <w:tc>
          <w:tcPr>
            <w:tcW w:w="60" w:type="dxa"/>
            <w:vAlign w:val="bottom"/>
            <w:shd w:val="clear" w:color="auto" w:fill="CCEEFF"/>
          </w:tcPr>
          <w:p>
            <w:pPr>
              <w:spacing w:after="0"/>
              <w:rPr>
                <w:sz w:val="9"/>
                <w:szCs w:val="9"/>
                <w:color w:val="auto"/>
              </w:rPr>
            </w:pPr>
          </w:p>
        </w:tc>
        <w:tc>
          <w:tcPr>
            <w:tcW w:w="560" w:type="dxa"/>
            <w:vAlign w:val="bottom"/>
            <w:gridSpan w:val="3"/>
            <w:shd w:val="clear" w:color="auto" w:fill="CCEEFF"/>
          </w:tcPr>
          <w:p>
            <w:pPr>
              <w:ind w:left="26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(509,609)</w:t>
            </w:r>
          </w:p>
        </w:tc>
        <w:tc>
          <w:tcPr>
            <w:tcW w:w="6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(509,609)</w:t>
            </w:r>
          </w:p>
        </w:tc>
        <w:tc>
          <w:tcPr>
            <w:tcW w:w="0" w:type="dxa"/>
            <w:vAlign w:val="bottom"/>
          </w:tcPr>
          <w:p>
            <w:pPr>
              <w:spacing w:after="0"/>
              <w:rPr>
                <w:sz w:val="1"/>
                <w:szCs w:val="1"/>
                <w:color w:val="auto"/>
              </w:rPr>
            </w:pPr>
          </w:p>
        </w:tc>
      </w:tr>
      <w:tr>
        <w:trPr>
          <w:trHeight w:val="108"/>
        </w:trPr>
        <w:tc>
          <w:tcPr>
            <w:tcW w:w="4340" w:type="dxa"/>
            <w:vAlign w:val="bottom"/>
          </w:tcPr>
          <w:p>
            <w:pPr>
              <w:spacing w:after="0" w:line="108" w:lineRule="exact"/>
              <w:rPr>
                <w:sz w:val="20"/>
                <w:szCs w:val="20"/>
                <w:color w:val="auto"/>
              </w:rPr>
            </w:pPr>
            <w:r>
              <w:rPr>
                <w:rFonts w:ascii="Arial" w:cs="Arial" w:eastAsia="Arial" w:hAnsi="Arial"/>
                <w:sz w:val="10"/>
                <w:szCs w:val="10"/>
                <w:color w:val="auto"/>
              </w:rPr>
              <w:t>Repayment of management stock ownership program receivable</w:t>
            </w:r>
          </w:p>
        </w:tc>
        <w:tc>
          <w:tcPr>
            <w:tcW w:w="60" w:type="dxa"/>
            <w:vAlign w:val="bottom"/>
          </w:tcPr>
          <w:p>
            <w:pPr>
              <w:spacing w:after="0"/>
              <w:rPr>
                <w:sz w:val="9"/>
                <w:szCs w:val="9"/>
                <w:color w:val="auto"/>
              </w:rPr>
            </w:pPr>
          </w:p>
        </w:tc>
        <w:tc>
          <w:tcPr>
            <w:tcW w:w="560" w:type="dxa"/>
            <w:vAlign w:val="bottom"/>
            <w:gridSpan w:val="3"/>
          </w:tcPr>
          <w:p>
            <w:pPr>
              <w:ind w:left="26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304</w:t>
            </w: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304</w:t>
            </w:r>
          </w:p>
        </w:tc>
        <w:tc>
          <w:tcPr>
            <w:tcW w:w="0" w:type="dxa"/>
            <w:vAlign w:val="bottom"/>
          </w:tcPr>
          <w:p>
            <w:pPr>
              <w:spacing w:after="0"/>
              <w:rPr>
                <w:sz w:val="1"/>
                <w:szCs w:val="1"/>
                <w:color w:val="auto"/>
              </w:rPr>
            </w:pPr>
          </w:p>
        </w:tc>
      </w:tr>
      <w:tr>
        <w:trPr>
          <w:trHeight w:val="108"/>
        </w:trPr>
        <w:tc>
          <w:tcPr>
            <w:tcW w:w="434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Stock-based compensation plans:</w:t>
            </w: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40" w:type="dxa"/>
            <w:vAlign w:val="bottom"/>
          </w:tcPr>
          <w:p>
            <w:pPr>
              <w:ind w:left="100"/>
              <w:spacing w:after="0" w:line="108" w:lineRule="exact"/>
              <w:rPr>
                <w:sz w:val="20"/>
                <w:szCs w:val="20"/>
                <w:color w:val="auto"/>
              </w:rPr>
            </w:pPr>
            <w:r>
              <w:rPr>
                <w:rFonts w:ascii="Arial" w:cs="Arial" w:eastAsia="Arial" w:hAnsi="Arial"/>
                <w:sz w:val="10"/>
                <w:szCs w:val="10"/>
                <w:color w:val="auto"/>
              </w:rPr>
              <w:t>Stock option and purchase plans:</w:t>
            </w: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40" w:type="dxa"/>
            <w:vAlign w:val="bottom"/>
            <w:shd w:val="clear" w:color="auto" w:fill="CCEEFF"/>
          </w:tcPr>
          <w:p>
            <w:pPr>
              <w:ind w:left="280"/>
              <w:spacing w:after="0" w:line="108" w:lineRule="exact"/>
              <w:rPr>
                <w:sz w:val="20"/>
                <w:szCs w:val="20"/>
                <w:color w:val="auto"/>
              </w:rPr>
            </w:pPr>
            <w:r>
              <w:rPr>
                <w:rFonts w:ascii="Arial" w:cs="Arial" w:eastAsia="Arial" w:hAnsi="Arial"/>
                <w:sz w:val="10"/>
                <w:szCs w:val="10"/>
                <w:color w:val="auto"/>
              </w:rPr>
              <w:t>Compensation expense</w:t>
            </w:r>
          </w:p>
        </w:tc>
        <w:tc>
          <w:tcPr>
            <w:tcW w:w="60" w:type="dxa"/>
            <w:vAlign w:val="bottom"/>
            <w:shd w:val="clear" w:color="auto" w:fill="CCEEFF"/>
          </w:tcPr>
          <w:p>
            <w:pPr>
              <w:spacing w:after="0"/>
              <w:rPr>
                <w:sz w:val="9"/>
                <w:szCs w:val="9"/>
                <w:color w:val="auto"/>
              </w:rPr>
            </w:pPr>
          </w:p>
        </w:tc>
        <w:tc>
          <w:tcPr>
            <w:tcW w:w="560" w:type="dxa"/>
            <w:vAlign w:val="bottom"/>
            <w:gridSpan w:val="3"/>
            <w:shd w:val="clear" w:color="auto" w:fill="CCEEFF"/>
          </w:tcPr>
          <w:p>
            <w:pPr>
              <w:ind w:left="26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45,191</w:t>
            </w: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45,191</w:t>
            </w:r>
          </w:p>
        </w:tc>
        <w:tc>
          <w:tcPr>
            <w:tcW w:w="0" w:type="dxa"/>
            <w:vAlign w:val="bottom"/>
          </w:tcPr>
          <w:p>
            <w:pPr>
              <w:spacing w:after="0"/>
              <w:rPr>
                <w:sz w:val="1"/>
                <w:szCs w:val="1"/>
                <w:color w:val="auto"/>
              </w:rPr>
            </w:pPr>
          </w:p>
        </w:tc>
      </w:tr>
      <w:tr>
        <w:trPr>
          <w:trHeight w:val="108"/>
        </w:trPr>
        <w:tc>
          <w:tcPr>
            <w:tcW w:w="4340" w:type="dxa"/>
            <w:vAlign w:val="bottom"/>
          </w:tcPr>
          <w:p>
            <w:pPr>
              <w:ind w:left="280"/>
              <w:spacing w:after="0" w:line="108" w:lineRule="exact"/>
              <w:rPr>
                <w:sz w:val="20"/>
                <w:szCs w:val="20"/>
                <w:color w:val="auto"/>
              </w:rPr>
            </w:pPr>
            <w:r>
              <w:rPr>
                <w:rFonts w:ascii="Arial" w:cs="Arial" w:eastAsia="Arial" w:hAnsi="Arial"/>
                <w:sz w:val="10"/>
                <w:szCs w:val="10"/>
                <w:color w:val="auto"/>
              </w:rPr>
              <w:t>Exercises</w:t>
            </w:r>
          </w:p>
        </w:tc>
        <w:tc>
          <w:tcPr>
            <w:tcW w:w="60" w:type="dxa"/>
            <w:vAlign w:val="bottom"/>
          </w:tcPr>
          <w:p>
            <w:pPr>
              <w:spacing w:after="0"/>
              <w:rPr>
                <w:sz w:val="9"/>
                <w:szCs w:val="9"/>
                <w:color w:val="auto"/>
              </w:rPr>
            </w:pPr>
          </w:p>
        </w:tc>
        <w:tc>
          <w:tcPr>
            <w:tcW w:w="560" w:type="dxa"/>
            <w:vAlign w:val="bottom"/>
            <w:gridSpan w:val="3"/>
          </w:tcPr>
          <w:p>
            <w:pPr>
              <w:ind w:left="26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(57,112)</w:t>
            </w: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163,864</w:t>
            </w:r>
          </w:p>
        </w:tc>
        <w:tc>
          <w:tcPr>
            <w:tcW w:w="6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106,752</w:t>
            </w:r>
          </w:p>
        </w:tc>
        <w:tc>
          <w:tcPr>
            <w:tcW w:w="0" w:type="dxa"/>
            <w:vAlign w:val="bottom"/>
          </w:tcPr>
          <w:p>
            <w:pPr>
              <w:spacing w:after="0"/>
              <w:rPr>
                <w:sz w:val="1"/>
                <w:szCs w:val="1"/>
                <w:color w:val="auto"/>
              </w:rPr>
            </w:pPr>
          </w:p>
        </w:tc>
      </w:tr>
      <w:tr>
        <w:trPr>
          <w:trHeight w:val="108"/>
        </w:trPr>
        <w:tc>
          <w:tcPr>
            <w:tcW w:w="434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Directors’ stock plan</w:t>
            </w:r>
          </w:p>
        </w:tc>
        <w:tc>
          <w:tcPr>
            <w:tcW w:w="60" w:type="dxa"/>
            <w:vAlign w:val="bottom"/>
            <w:shd w:val="clear" w:color="auto" w:fill="CCEEFF"/>
          </w:tcPr>
          <w:p>
            <w:pPr>
              <w:spacing w:after="0"/>
              <w:rPr>
                <w:sz w:val="9"/>
                <w:szCs w:val="9"/>
                <w:color w:val="auto"/>
              </w:rPr>
            </w:pPr>
          </w:p>
        </w:tc>
        <w:tc>
          <w:tcPr>
            <w:tcW w:w="560" w:type="dxa"/>
            <w:vAlign w:val="bottom"/>
            <w:gridSpan w:val="3"/>
            <w:shd w:val="clear" w:color="auto" w:fill="CCEEFF"/>
          </w:tcPr>
          <w:p>
            <w:pPr>
              <w:ind w:left="26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87</w:t>
            </w: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1,009</w:t>
            </w:r>
          </w:p>
        </w:tc>
        <w:tc>
          <w:tcPr>
            <w:tcW w:w="6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1,096</w:t>
            </w:r>
          </w:p>
        </w:tc>
        <w:tc>
          <w:tcPr>
            <w:tcW w:w="0" w:type="dxa"/>
            <w:vAlign w:val="bottom"/>
          </w:tcPr>
          <w:p>
            <w:pPr>
              <w:spacing w:after="0"/>
              <w:rPr>
                <w:sz w:val="1"/>
                <w:szCs w:val="1"/>
                <w:color w:val="auto"/>
              </w:rPr>
            </w:pPr>
          </w:p>
        </w:tc>
      </w:tr>
      <w:tr>
        <w:trPr>
          <w:trHeight w:val="108"/>
        </w:trPr>
        <w:tc>
          <w:tcPr>
            <w:tcW w:w="4340" w:type="dxa"/>
            <w:vAlign w:val="bottom"/>
          </w:tcPr>
          <w:p>
            <w:pPr>
              <w:ind w:left="100"/>
              <w:spacing w:after="0" w:line="108" w:lineRule="exact"/>
              <w:rPr>
                <w:sz w:val="20"/>
                <w:szCs w:val="20"/>
                <w:color w:val="auto"/>
              </w:rPr>
            </w:pPr>
            <w:r>
              <w:rPr>
                <w:rFonts w:ascii="Arial" w:cs="Arial" w:eastAsia="Arial" w:hAnsi="Arial"/>
                <w:sz w:val="10"/>
                <w:szCs w:val="10"/>
                <w:color w:val="auto"/>
              </w:rPr>
              <w:t>Deferred compensation plans, net, including dividend equivalents</w:t>
            </w:r>
          </w:p>
        </w:tc>
        <w:tc>
          <w:tcPr>
            <w:tcW w:w="60" w:type="dxa"/>
            <w:vAlign w:val="bottom"/>
          </w:tcPr>
          <w:p>
            <w:pPr>
              <w:spacing w:after="0"/>
              <w:rPr>
                <w:sz w:val="9"/>
                <w:szCs w:val="9"/>
                <w:color w:val="auto"/>
              </w:rPr>
            </w:pPr>
          </w:p>
        </w:tc>
        <w:tc>
          <w:tcPr>
            <w:tcW w:w="560" w:type="dxa"/>
            <w:vAlign w:val="bottom"/>
            <w:gridSpan w:val="3"/>
          </w:tcPr>
          <w:p>
            <w:pPr>
              <w:ind w:left="26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(416)</w:t>
            </w:r>
          </w:p>
        </w:tc>
        <w:tc>
          <w:tcPr>
            <w:tcW w:w="7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(229)</w:t>
            </w:r>
          </w:p>
        </w:tc>
        <w:tc>
          <w:tcPr>
            <w:tcW w:w="7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(176)</w:t>
            </w:r>
          </w:p>
        </w:tc>
        <w:tc>
          <w:tcPr>
            <w:tcW w:w="9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1,016</w:t>
            </w:r>
          </w:p>
        </w:tc>
        <w:tc>
          <w:tcPr>
            <w:tcW w:w="6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195</w:t>
            </w:r>
          </w:p>
        </w:tc>
        <w:tc>
          <w:tcPr>
            <w:tcW w:w="0" w:type="dxa"/>
            <w:vAlign w:val="bottom"/>
          </w:tcPr>
          <w:p>
            <w:pPr>
              <w:spacing w:after="0"/>
              <w:rPr>
                <w:sz w:val="1"/>
                <w:szCs w:val="1"/>
                <w:color w:val="auto"/>
              </w:rPr>
            </w:pPr>
          </w:p>
        </w:tc>
      </w:tr>
      <w:tr>
        <w:trPr>
          <w:trHeight w:val="108"/>
        </w:trPr>
        <w:tc>
          <w:tcPr>
            <w:tcW w:w="434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Common stock cash dividends — $1.75 per share</w:t>
            </w:r>
          </w:p>
        </w:tc>
        <w:tc>
          <w:tcPr>
            <w:tcW w:w="60" w:type="dxa"/>
            <w:vAlign w:val="bottom"/>
            <w:shd w:val="clear" w:color="auto" w:fill="CCEEFF"/>
          </w:tcPr>
          <w:p>
            <w:pPr>
              <w:spacing w:after="0"/>
              <w:rPr>
                <w:sz w:val="9"/>
                <w:szCs w:val="9"/>
                <w:color w:val="auto"/>
              </w:rPr>
            </w:pPr>
          </w:p>
        </w:tc>
        <w:tc>
          <w:tcPr>
            <w:tcW w:w="560" w:type="dxa"/>
            <w:vAlign w:val="bottom"/>
            <w:gridSpan w:val="3"/>
            <w:shd w:val="clear" w:color="auto" w:fill="CCEEFF"/>
          </w:tcPr>
          <w:p>
            <w:pPr>
              <w:ind w:left="26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(198,619)</w:t>
            </w:r>
          </w:p>
        </w:tc>
        <w:tc>
          <w:tcPr>
            <w:tcW w:w="9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(198,619)</w:t>
            </w:r>
          </w:p>
        </w:tc>
        <w:tc>
          <w:tcPr>
            <w:tcW w:w="0" w:type="dxa"/>
            <w:vAlign w:val="bottom"/>
          </w:tcPr>
          <w:p>
            <w:pPr>
              <w:spacing w:after="0"/>
              <w:rPr>
                <w:sz w:val="1"/>
                <w:szCs w:val="1"/>
                <w:color w:val="auto"/>
              </w:rPr>
            </w:pPr>
          </w:p>
        </w:tc>
      </w:tr>
      <w:tr>
        <w:trPr>
          <w:trHeight w:val="108"/>
        </w:trPr>
        <w:tc>
          <w:tcPr>
            <w:tcW w:w="4340" w:type="dxa"/>
            <w:vAlign w:val="bottom"/>
          </w:tcPr>
          <w:p>
            <w:pPr>
              <w:spacing w:after="0" w:line="108" w:lineRule="exact"/>
              <w:rPr>
                <w:sz w:val="20"/>
                <w:szCs w:val="20"/>
                <w:color w:val="auto"/>
              </w:rPr>
            </w:pPr>
            <w:r>
              <w:rPr>
                <w:rFonts w:ascii="Arial" w:cs="Arial" w:eastAsia="Arial" w:hAnsi="Arial"/>
                <w:sz w:val="10"/>
                <w:szCs w:val="10"/>
                <w:color w:val="auto"/>
              </w:rPr>
              <w:t>Balance — December 31, 2005</w:t>
            </w:r>
          </w:p>
        </w:tc>
        <w:tc>
          <w:tcPr>
            <w:tcW w:w="60" w:type="dxa"/>
            <w:vAlign w:val="bottom"/>
            <w:tcBorders>
              <w:top w:val="single" w:sz="8" w:color="auto"/>
            </w:tcBorders>
          </w:tcPr>
          <w:p>
            <w:pPr>
              <w:spacing w:after="0" w:line="108" w:lineRule="exact"/>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tcPr>
          <w:p>
            <w:pPr>
              <w:ind w:left="260"/>
              <w:spacing w:after="0" w:line="108" w:lineRule="exact"/>
              <w:rPr>
                <w:sz w:val="20"/>
                <w:szCs w:val="20"/>
                <w:color w:val="auto"/>
              </w:rPr>
            </w:pPr>
            <w:r>
              <w:rPr>
                <w:rFonts w:ascii="Arial" w:cs="Arial" w:eastAsia="Arial" w:hAnsi="Arial"/>
                <w:sz w:val="10"/>
                <w:szCs w:val="10"/>
                <w:color w:val="auto"/>
                <w:w w:val="79"/>
              </w:rPr>
              <w:t>—</w:t>
            </w: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60,198</w:t>
            </w:r>
          </w:p>
        </w:tc>
        <w:tc>
          <w:tcPr>
            <w:tcW w:w="200" w:type="dxa"/>
            <w:vAlign w:val="bottom"/>
          </w:tcPr>
          <w:p>
            <w:pPr>
              <w:spacing w:after="0"/>
              <w:rPr>
                <w:sz w:val="9"/>
                <w:szCs w:val="9"/>
                <w:color w:val="auto"/>
              </w:rPr>
            </w:pPr>
          </w:p>
        </w:tc>
        <w:tc>
          <w:tcPr>
            <w:tcW w:w="4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5,363</w:t>
            </w:r>
          </w:p>
        </w:tc>
        <w:tc>
          <w:tcPr>
            <w:tcW w:w="200" w:type="dxa"/>
            <w:vAlign w:val="bottom"/>
          </w:tcPr>
          <w:p>
            <w:pPr>
              <w:spacing w:after="0"/>
              <w:rPr>
                <w:sz w:val="9"/>
                <w:szCs w:val="9"/>
                <w:color w:val="auto"/>
              </w:rPr>
            </w:pPr>
          </w:p>
        </w:tc>
        <w:tc>
          <w:tcPr>
            <w:tcW w:w="5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2,886,153</w:t>
            </w:r>
          </w:p>
        </w:tc>
        <w:tc>
          <w:tcPr>
            <w:tcW w:w="200" w:type="dxa"/>
            <w:vAlign w:val="bottom"/>
          </w:tcPr>
          <w:p>
            <w:pPr>
              <w:spacing w:after="0"/>
              <w:rPr>
                <w:sz w:val="9"/>
                <w:szCs w:val="9"/>
                <w:color w:val="auto"/>
              </w:rPr>
            </w:pPr>
          </w:p>
        </w:tc>
        <w:tc>
          <w:tcPr>
            <w:tcW w:w="5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3,854,275</w:t>
            </w:r>
          </w:p>
        </w:tc>
        <w:tc>
          <w:tcPr>
            <w:tcW w:w="200" w:type="dxa"/>
            <w:vAlign w:val="bottom"/>
          </w:tcPr>
          <w:p>
            <w:pPr>
              <w:spacing w:after="0"/>
              <w:rPr>
                <w:sz w:val="9"/>
                <w:szCs w:val="9"/>
                <w:color w:val="auto"/>
              </w:rPr>
            </w:pPr>
          </w:p>
        </w:tc>
        <w:tc>
          <w:tcPr>
            <w:tcW w:w="80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(97,930)</w:t>
            </w:r>
          </w:p>
        </w:tc>
        <w:tc>
          <w:tcPr>
            <w:tcW w:w="180" w:type="dxa"/>
            <w:vAlign w:val="bottom"/>
          </w:tcPr>
          <w:p>
            <w:pPr>
              <w:spacing w:after="0"/>
              <w:rPr>
                <w:sz w:val="9"/>
                <w:szCs w:val="9"/>
                <w:color w:val="auto"/>
              </w:rPr>
            </w:pPr>
          </w:p>
        </w:tc>
        <w:tc>
          <w:tcPr>
            <w:tcW w:w="5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(831,673)</w:t>
            </w:r>
          </w:p>
        </w:tc>
        <w:tc>
          <w:tcPr>
            <w:tcW w:w="200" w:type="dxa"/>
            <w:vAlign w:val="bottom"/>
          </w:tcPr>
          <w:p>
            <w:pPr>
              <w:spacing w:after="0"/>
              <w:rPr>
                <w:sz w:val="9"/>
                <w:szCs w:val="9"/>
                <w:color w:val="auto"/>
              </w:rPr>
            </w:pPr>
          </w:p>
        </w:tc>
        <w:tc>
          <w:tcPr>
            <w:tcW w:w="5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5,876,386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4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2006</w:t>
            </w: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40" w:type="dxa"/>
            <w:vAlign w:val="bottom"/>
          </w:tcPr>
          <w:p>
            <w:pPr>
              <w:spacing w:after="0" w:line="108" w:lineRule="exact"/>
              <w:rPr>
                <w:sz w:val="20"/>
                <w:szCs w:val="20"/>
                <w:color w:val="auto"/>
              </w:rPr>
            </w:pPr>
            <w:r>
              <w:rPr>
                <w:rFonts w:ascii="Arial" w:cs="Arial" w:eastAsia="Arial" w:hAnsi="Arial"/>
                <w:sz w:val="10"/>
                <w:szCs w:val="10"/>
                <w:color w:val="auto"/>
              </w:rPr>
              <w:t>Comprehensive income:</w:t>
            </w: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4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Net income</w:t>
            </w:r>
          </w:p>
        </w:tc>
        <w:tc>
          <w:tcPr>
            <w:tcW w:w="60" w:type="dxa"/>
            <w:vAlign w:val="bottom"/>
            <w:shd w:val="clear" w:color="auto" w:fill="CCEEFF"/>
          </w:tcPr>
          <w:p>
            <w:pPr>
              <w:spacing w:after="0"/>
              <w:rPr>
                <w:sz w:val="9"/>
                <w:szCs w:val="9"/>
                <w:color w:val="auto"/>
              </w:rPr>
            </w:pPr>
          </w:p>
        </w:tc>
        <w:tc>
          <w:tcPr>
            <w:tcW w:w="560" w:type="dxa"/>
            <w:vAlign w:val="bottom"/>
            <w:gridSpan w:val="3"/>
            <w:shd w:val="clear" w:color="auto" w:fill="CCEEFF"/>
          </w:tcPr>
          <w:p>
            <w:pPr>
              <w:ind w:left="26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839,189</w:t>
            </w:r>
          </w:p>
        </w:tc>
        <w:tc>
          <w:tcPr>
            <w:tcW w:w="9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839,189</w:t>
            </w:r>
          </w:p>
        </w:tc>
        <w:tc>
          <w:tcPr>
            <w:tcW w:w="0" w:type="dxa"/>
            <w:vAlign w:val="bottom"/>
          </w:tcPr>
          <w:p>
            <w:pPr>
              <w:spacing w:after="0"/>
              <w:rPr>
                <w:sz w:val="1"/>
                <w:szCs w:val="1"/>
                <w:color w:val="auto"/>
              </w:rPr>
            </w:pPr>
          </w:p>
        </w:tc>
      </w:tr>
      <w:tr>
        <w:trPr>
          <w:trHeight w:val="108"/>
        </w:trPr>
        <w:tc>
          <w:tcPr>
            <w:tcW w:w="4340" w:type="dxa"/>
            <w:vAlign w:val="bottom"/>
          </w:tcPr>
          <w:p>
            <w:pPr>
              <w:ind w:left="100"/>
              <w:spacing w:after="0" w:line="108" w:lineRule="exact"/>
              <w:rPr>
                <w:sz w:val="20"/>
                <w:szCs w:val="20"/>
                <w:color w:val="auto"/>
              </w:rPr>
            </w:pPr>
            <w:r>
              <w:rPr>
                <w:rFonts w:ascii="Arial" w:cs="Arial" w:eastAsia="Arial" w:hAnsi="Arial"/>
                <w:sz w:val="10"/>
                <w:szCs w:val="10"/>
                <w:color w:val="auto"/>
              </w:rPr>
              <w:t>Other comprehensive income, net of tax and reclassification adjustments:</w:t>
            </w: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40" w:type="dxa"/>
            <w:vAlign w:val="bottom"/>
            <w:shd w:val="clear" w:color="auto" w:fill="CCEEFF"/>
          </w:tcPr>
          <w:p>
            <w:pPr>
              <w:ind w:left="380"/>
              <w:spacing w:after="0" w:line="108" w:lineRule="exact"/>
              <w:rPr>
                <w:sz w:val="20"/>
                <w:szCs w:val="20"/>
                <w:color w:val="auto"/>
              </w:rPr>
            </w:pPr>
            <w:r>
              <w:rPr>
                <w:rFonts w:ascii="Arial" w:cs="Arial" w:eastAsia="Arial" w:hAnsi="Arial"/>
                <w:sz w:val="10"/>
                <w:szCs w:val="10"/>
                <w:color w:val="auto"/>
              </w:rPr>
              <w:t>Unrealized losses on investment securities</w:t>
            </w:r>
          </w:p>
        </w:tc>
        <w:tc>
          <w:tcPr>
            <w:tcW w:w="60" w:type="dxa"/>
            <w:vAlign w:val="bottom"/>
            <w:shd w:val="clear" w:color="auto" w:fill="CCEEFF"/>
          </w:tcPr>
          <w:p>
            <w:pPr>
              <w:spacing w:after="0"/>
              <w:rPr>
                <w:sz w:val="9"/>
                <w:szCs w:val="9"/>
                <w:color w:val="auto"/>
              </w:rPr>
            </w:pPr>
          </w:p>
        </w:tc>
        <w:tc>
          <w:tcPr>
            <w:tcW w:w="560" w:type="dxa"/>
            <w:vAlign w:val="bottom"/>
            <w:gridSpan w:val="3"/>
            <w:shd w:val="clear" w:color="auto" w:fill="CCEEFF"/>
          </w:tcPr>
          <w:p>
            <w:pPr>
              <w:ind w:left="26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23,265</w:t>
            </w:r>
          </w:p>
        </w:tc>
        <w:tc>
          <w:tcPr>
            <w:tcW w:w="7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23,265</w:t>
            </w:r>
          </w:p>
        </w:tc>
        <w:tc>
          <w:tcPr>
            <w:tcW w:w="0" w:type="dxa"/>
            <w:vAlign w:val="bottom"/>
          </w:tcPr>
          <w:p>
            <w:pPr>
              <w:spacing w:after="0"/>
              <w:rPr>
                <w:sz w:val="1"/>
                <w:szCs w:val="1"/>
                <w:color w:val="auto"/>
              </w:rPr>
            </w:pPr>
          </w:p>
        </w:tc>
      </w:tr>
      <w:tr>
        <w:trPr>
          <w:trHeight w:val="108"/>
        </w:trPr>
        <w:tc>
          <w:tcPr>
            <w:tcW w:w="4340" w:type="dxa"/>
            <w:vAlign w:val="bottom"/>
          </w:tcPr>
          <w:p>
            <w:pPr>
              <w:ind w:left="380"/>
              <w:spacing w:after="0" w:line="108" w:lineRule="exact"/>
              <w:rPr>
                <w:sz w:val="20"/>
                <w:szCs w:val="20"/>
                <w:color w:val="auto"/>
              </w:rPr>
            </w:pPr>
            <w:r>
              <w:rPr>
                <w:rFonts w:ascii="Arial" w:cs="Arial" w:eastAsia="Arial" w:hAnsi="Arial"/>
                <w:sz w:val="10"/>
                <w:szCs w:val="10"/>
                <w:color w:val="auto"/>
              </w:rPr>
              <w:t>Minimum pension liability adjustment</w:t>
            </w:r>
          </w:p>
        </w:tc>
        <w:tc>
          <w:tcPr>
            <w:tcW w:w="60" w:type="dxa"/>
            <w:vAlign w:val="bottom"/>
          </w:tcPr>
          <w:p>
            <w:pPr>
              <w:spacing w:after="0"/>
              <w:rPr>
                <w:sz w:val="9"/>
                <w:szCs w:val="9"/>
                <w:color w:val="auto"/>
              </w:rPr>
            </w:pPr>
          </w:p>
        </w:tc>
        <w:tc>
          <w:tcPr>
            <w:tcW w:w="560" w:type="dxa"/>
            <w:vAlign w:val="bottom"/>
            <w:gridSpan w:val="3"/>
          </w:tcPr>
          <w:p>
            <w:pPr>
              <w:ind w:left="26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30,932</w:t>
            </w: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30,932</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3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893,386</w:t>
            </w:r>
          </w:p>
        </w:tc>
        <w:tc>
          <w:tcPr>
            <w:tcW w:w="0" w:type="dxa"/>
            <w:vAlign w:val="bottom"/>
          </w:tcPr>
          <w:p>
            <w:pPr>
              <w:spacing w:after="0"/>
              <w:rPr>
                <w:sz w:val="1"/>
                <w:szCs w:val="1"/>
                <w:color w:val="auto"/>
              </w:rPr>
            </w:pPr>
          </w:p>
        </w:tc>
      </w:tr>
      <w:tr>
        <w:trPr>
          <w:trHeight w:val="108"/>
        </w:trPr>
        <w:tc>
          <w:tcPr>
            <w:tcW w:w="4340" w:type="dxa"/>
            <w:vAlign w:val="bottom"/>
          </w:tcPr>
          <w:p>
            <w:pPr>
              <w:spacing w:after="0" w:line="108" w:lineRule="exact"/>
              <w:rPr>
                <w:sz w:val="20"/>
                <w:szCs w:val="20"/>
                <w:color w:val="auto"/>
              </w:rPr>
            </w:pPr>
            <w:r>
              <w:rPr>
                <w:rFonts w:ascii="Arial" w:cs="Arial" w:eastAsia="Arial" w:hAnsi="Arial"/>
                <w:sz w:val="10"/>
                <w:szCs w:val="10"/>
                <w:color w:val="auto"/>
              </w:rPr>
              <w:t>Change in accounting for defined benefit plans (note 11)</w:t>
            </w:r>
          </w:p>
        </w:tc>
        <w:tc>
          <w:tcPr>
            <w:tcW w:w="60" w:type="dxa"/>
            <w:vAlign w:val="bottom"/>
          </w:tcPr>
          <w:p>
            <w:pPr>
              <w:spacing w:after="0"/>
              <w:rPr>
                <w:sz w:val="9"/>
                <w:szCs w:val="9"/>
                <w:color w:val="auto"/>
              </w:rPr>
            </w:pPr>
          </w:p>
        </w:tc>
        <w:tc>
          <w:tcPr>
            <w:tcW w:w="560" w:type="dxa"/>
            <w:vAlign w:val="bottom"/>
            <w:gridSpan w:val="3"/>
          </w:tcPr>
          <w:p>
            <w:pPr>
              <w:ind w:left="26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(9,841)</w:t>
            </w: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(9,841)</w:t>
            </w:r>
          </w:p>
        </w:tc>
        <w:tc>
          <w:tcPr>
            <w:tcW w:w="0" w:type="dxa"/>
            <w:vAlign w:val="bottom"/>
          </w:tcPr>
          <w:p>
            <w:pPr>
              <w:spacing w:after="0"/>
              <w:rPr>
                <w:sz w:val="1"/>
                <w:szCs w:val="1"/>
                <w:color w:val="auto"/>
              </w:rPr>
            </w:pPr>
          </w:p>
        </w:tc>
      </w:tr>
      <w:tr>
        <w:trPr>
          <w:trHeight w:val="108"/>
        </w:trPr>
        <w:tc>
          <w:tcPr>
            <w:tcW w:w="434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Purchases of treasury stock</w:t>
            </w:r>
          </w:p>
        </w:tc>
        <w:tc>
          <w:tcPr>
            <w:tcW w:w="60" w:type="dxa"/>
            <w:vAlign w:val="bottom"/>
            <w:shd w:val="clear" w:color="auto" w:fill="CCEEFF"/>
          </w:tcPr>
          <w:p>
            <w:pPr>
              <w:spacing w:after="0"/>
              <w:rPr>
                <w:sz w:val="9"/>
                <w:szCs w:val="9"/>
                <w:color w:val="auto"/>
              </w:rPr>
            </w:pPr>
          </w:p>
        </w:tc>
        <w:tc>
          <w:tcPr>
            <w:tcW w:w="560" w:type="dxa"/>
            <w:vAlign w:val="bottom"/>
            <w:gridSpan w:val="3"/>
            <w:shd w:val="clear" w:color="auto" w:fill="CCEEFF"/>
          </w:tcPr>
          <w:p>
            <w:pPr>
              <w:ind w:left="26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(373,860)</w:t>
            </w:r>
          </w:p>
        </w:tc>
        <w:tc>
          <w:tcPr>
            <w:tcW w:w="6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(373,860)</w:t>
            </w:r>
          </w:p>
        </w:tc>
        <w:tc>
          <w:tcPr>
            <w:tcW w:w="0" w:type="dxa"/>
            <w:vAlign w:val="bottom"/>
          </w:tcPr>
          <w:p>
            <w:pPr>
              <w:spacing w:after="0"/>
              <w:rPr>
                <w:sz w:val="1"/>
                <w:szCs w:val="1"/>
                <w:color w:val="auto"/>
              </w:rPr>
            </w:pPr>
          </w:p>
        </w:tc>
      </w:tr>
      <w:tr>
        <w:trPr>
          <w:trHeight w:val="108"/>
        </w:trPr>
        <w:tc>
          <w:tcPr>
            <w:tcW w:w="4340" w:type="dxa"/>
            <w:vAlign w:val="bottom"/>
          </w:tcPr>
          <w:p>
            <w:pPr>
              <w:spacing w:after="0" w:line="108" w:lineRule="exact"/>
              <w:rPr>
                <w:sz w:val="20"/>
                <w:szCs w:val="20"/>
                <w:color w:val="auto"/>
              </w:rPr>
            </w:pPr>
            <w:r>
              <w:rPr>
                <w:rFonts w:ascii="Arial" w:cs="Arial" w:eastAsia="Arial" w:hAnsi="Arial"/>
                <w:sz w:val="10"/>
                <w:szCs w:val="10"/>
                <w:color w:val="auto"/>
              </w:rPr>
              <w:t>Repayment of management stock ownership program receivable</w:t>
            </w:r>
          </w:p>
        </w:tc>
        <w:tc>
          <w:tcPr>
            <w:tcW w:w="60" w:type="dxa"/>
            <w:vAlign w:val="bottom"/>
          </w:tcPr>
          <w:p>
            <w:pPr>
              <w:spacing w:after="0"/>
              <w:rPr>
                <w:sz w:val="9"/>
                <w:szCs w:val="9"/>
                <w:color w:val="auto"/>
              </w:rPr>
            </w:pPr>
          </w:p>
        </w:tc>
        <w:tc>
          <w:tcPr>
            <w:tcW w:w="560" w:type="dxa"/>
            <w:vAlign w:val="bottom"/>
            <w:gridSpan w:val="3"/>
          </w:tcPr>
          <w:p>
            <w:pPr>
              <w:ind w:left="26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225</w:t>
            </w: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225</w:t>
            </w:r>
          </w:p>
        </w:tc>
        <w:tc>
          <w:tcPr>
            <w:tcW w:w="0" w:type="dxa"/>
            <w:vAlign w:val="bottom"/>
          </w:tcPr>
          <w:p>
            <w:pPr>
              <w:spacing w:after="0"/>
              <w:rPr>
                <w:sz w:val="1"/>
                <w:szCs w:val="1"/>
                <w:color w:val="auto"/>
              </w:rPr>
            </w:pPr>
          </w:p>
        </w:tc>
      </w:tr>
      <w:tr>
        <w:trPr>
          <w:trHeight w:val="108"/>
        </w:trPr>
        <w:tc>
          <w:tcPr>
            <w:tcW w:w="434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Stock-based compensation plans:</w:t>
            </w:r>
          </w:p>
        </w:tc>
        <w:tc>
          <w:tcPr>
            <w:tcW w:w="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40" w:type="dxa"/>
            <w:vAlign w:val="bottom"/>
          </w:tcPr>
          <w:p>
            <w:pPr>
              <w:ind w:left="100"/>
              <w:spacing w:after="0" w:line="108" w:lineRule="exact"/>
              <w:rPr>
                <w:sz w:val="20"/>
                <w:szCs w:val="20"/>
                <w:color w:val="auto"/>
              </w:rPr>
            </w:pPr>
            <w:r>
              <w:rPr>
                <w:rFonts w:ascii="Arial" w:cs="Arial" w:eastAsia="Arial" w:hAnsi="Arial"/>
                <w:sz w:val="10"/>
                <w:szCs w:val="10"/>
                <w:color w:val="auto"/>
              </w:rPr>
              <w:t>Stock option and purchase plans:</w:t>
            </w: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40" w:type="dxa"/>
            <w:vAlign w:val="bottom"/>
            <w:shd w:val="clear" w:color="auto" w:fill="CCEEFF"/>
          </w:tcPr>
          <w:p>
            <w:pPr>
              <w:ind w:left="280"/>
              <w:spacing w:after="0" w:line="108" w:lineRule="exact"/>
              <w:rPr>
                <w:sz w:val="20"/>
                <w:szCs w:val="20"/>
                <w:color w:val="auto"/>
              </w:rPr>
            </w:pPr>
            <w:r>
              <w:rPr>
                <w:rFonts w:ascii="Arial" w:cs="Arial" w:eastAsia="Arial" w:hAnsi="Arial"/>
                <w:sz w:val="10"/>
                <w:szCs w:val="10"/>
                <w:color w:val="auto"/>
              </w:rPr>
              <w:t>Compensation expense</w:t>
            </w:r>
          </w:p>
        </w:tc>
        <w:tc>
          <w:tcPr>
            <w:tcW w:w="60" w:type="dxa"/>
            <w:vAlign w:val="bottom"/>
            <w:shd w:val="clear" w:color="auto" w:fill="CCEEFF"/>
          </w:tcPr>
          <w:p>
            <w:pPr>
              <w:spacing w:after="0"/>
              <w:rPr>
                <w:sz w:val="9"/>
                <w:szCs w:val="9"/>
                <w:color w:val="auto"/>
              </w:rPr>
            </w:pPr>
          </w:p>
        </w:tc>
        <w:tc>
          <w:tcPr>
            <w:tcW w:w="560" w:type="dxa"/>
            <w:vAlign w:val="bottom"/>
            <w:gridSpan w:val="3"/>
            <w:shd w:val="clear" w:color="auto" w:fill="CCEEFF"/>
          </w:tcPr>
          <w:p>
            <w:pPr>
              <w:ind w:left="26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51,237</w:t>
            </w: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51,237</w:t>
            </w:r>
          </w:p>
        </w:tc>
        <w:tc>
          <w:tcPr>
            <w:tcW w:w="0" w:type="dxa"/>
            <w:vAlign w:val="bottom"/>
          </w:tcPr>
          <w:p>
            <w:pPr>
              <w:spacing w:after="0"/>
              <w:rPr>
                <w:sz w:val="1"/>
                <w:szCs w:val="1"/>
                <w:color w:val="auto"/>
              </w:rPr>
            </w:pPr>
          </w:p>
        </w:tc>
      </w:tr>
      <w:tr>
        <w:trPr>
          <w:trHeight w:val="108"/>
        </w:trPr>
        <w:tc>
          <w:tcPr>
            <w:tcW w:w="4340" w:type="dxa"/>
            <w:vAlign w:val="bottom"/>
          </w:tcPr>
          <w:p>
            <w:pPr>
              <w:ind w:left="280"/>
              <w:spacing w:after="0" w:line="108" w:lineRule="exact"/>
              <w:rPr>
                <w:sz w:val="20"/>
                <w:szCs w:val="20"/>
                <w:color w:val="auto"/>
              </w:rPr>
            </w:pPr>
            <w:r>
              <w:rPr>
                <w:rFonts w:ascii="Arial" w:cs="Arial" w:eastAsia="Arial" w:hAnsi="Arial"/>
                <w:sz w:val="10"/>
                <w:szCs w:val="10"/>
                <w:color w:val="auto"/>
              </w:rPr>
              <w:t>Exercises</w:t>
            </w:r>
          </w:p>
        </w:tc>
        <w:tc>
          <w:tcPr>
            <w:tcW w:w="60" w:type="dxa"/>
            <w:vAlign w:val="bottom"/>
          </w:tcPr>
          <w:p>
            <w:pPr>
              <w:spacing w:after="0"/>
              <w:rPr>
                <w:sz w:val="9"/>
                <w:szCs w:val="9"/>
                <w:color w:val="auto"/>
              </w:rPr>
            </w:pPr>
          </w:p>
        </w:tc>
        <w:tc>
          <w:tcPr>
            <w:tcW w:w="560" w:type="dxa"/>
            <w:vAlign w:val="bottom"/>
            <w:gridSpan w:val="3"/>
          </w:tcPr>
          <w:p>
            <w:pPr>
              <w:ind w:left="26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(47,742)</w:t>
            </w:r>
          </w:p>
        </w:tc>
        <w:tc>
          <w:tcPr>
            <w:tcW w:w="7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140,053</w:t>
            </w:r>
          </w:p>
        </w:tc>
        <w:tc>
          <w:tcPr>
            <w:tcW w:w="6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92,311</w:t>
            </w:r>
          </w:p>
        </w:tc>
        <w:tc>
          <w:tcPr>
            <w:tcW w:w="0" w:type="dxa"/>
            <w:vAlign w:val="bottom"/>
          </w:tcPr>
          <w:p>
            <w:pPr>
              <w:spacing w:after="0"/>
              <w:rPr>
                <w:sz w:val="1"/>
                <w:szCs w:val="1"/>
                <w:color w:val="auto"/>
              </w:rPr>
            </w:pPr>
          </w:p>
        </w:tc>
      </w:tr>
      <w:tr>
        <w:trPr>
          <w:trHeight w:val="108"/>
        </w:trPr>
        <w:tc>
          <w:tcPr>
            <w:tcW w:w="4340" w:type="dxa"/>
            <w:vAlign w:val="bottom"/>
            <w:shd w:val="clear" w:color="auto" w:fill="CCEEFF"/>
          </w:tcPr>
          <w:p>
            <w:pPr>
              <w:ind w:left="100"/>
              <w:spacing w:after="0" w:line="108" w:lineRule="exact"/>
              <w:rPr>
                <w:sz w:val="20"/>
                <w:szCs w:val="20"/>
                <w:color w:val="auto"/>
              </w:rPr>
            </w:pPr>
            <w:r>
              <w:rPr>
                <w:rFonts w:ascii="Arial" w:cs="Arial" w:eastAsia="Arial" w:hAnsi="Arial"/>
                <w:sz w:val="10"/>
                <w:szCs w:val="10"/>
                <w:color w:val="auto"/>
              </w:rPr>
              <w:t>Directors’ stock plan</w:t>
            </w:r>
          </w:p>
        </w:tc>
        <w:tc>
          <w:tcPr>
            <w:tcW w:w="60" w:type="dxa"/>
            <w:vAlign w:val="bottom"/>
            <w:shd w:val="clear" w:color="auto" w:fill="CCEEFF"/>
          </w:tcPr>
          <w:p>
            <w:pPr>
              <w:spacing w:after="0"/>
              <w:rPr>
                <w:sz w:val="9"/>
                <w:szCs w:val="9"/>
                <w:color w:val="auto"/>
              </w:rPr>
            </w:pPr>
          </w:p>
        </w:tc>
        <w:tc>
          <w:tcPr>
            <w:tcW w:w="560" w:type="dxa"/>
            <w:vAlign w:val="bottom"/>
            <w:gridSpan w:val="3"/>
            <w:shd w:val="clear" w:color="auto" w:fill="CCEEFF"/>
          </w:tcPr>
          <w:p>
            <w:pPr>
              <w:ind w:left="26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133</w:t>
            </w: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9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977</w:t>
            </w:r>
          </w:p>
        </w:tc>
        <w:tc>
          <w:tcPr>
            <w:tcW w:w="6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1,110</w:t>
            </w:r>
          </w:p>
        </w:tc>
        <w:tc>
          <w:tcPr>
            <w:tcW w:w="0" w:type="dxa"/>
            <w:vAlign w:val="bottom"/>
          </w:tcPr>
          <w:p>
            <w:pPr>
              <w:spacing w:after="0"/>
              <w:rPr>
                <w:sz w:val="1"/>
                <w:szCs w:val="1"/>
                <w:color w:val="auto"/>
              </w:rPr>
            </w:pPr>
          </w:p>
        </w:tc>
      </w:tr>
      <w:tr>
        <w:trPr>
          <w:trHeight w:val="108"/>
        </w:trPr>
        <w:tc>
          <w:tcPr>
            <w:tcW w:w="4340" w:type="dxa"/>
            <w:vAlign w:val="bottom"/>
          </w:tcPr>
          <w:p>
            <w:pPr>
              <w:ind w:left="100"/>
              <w:spacing w:after="0" w:line="108" w:lineRule="exact"/>
              <w:rPr>
                <w:sz w:val="20"/>
                <w:szCs w:val="20"/>
                <w:color w:val="auto"/>
              </w:rPr>
            </w:pPr>
            <w:r>
              <w:rPr>
                <w:rFonts w:ascii="Arial" w:cs="Arial" w:eastAsia="Arial" w:hAnsi="Arial"/>
                <w:sz w:val="10"/>
                <w:szCs w:val="10"/>
                <w:color w:val="auto"/>
              </w:rPr>
              <w:t>Deferred compensation plans, net, including dividend equivalents</w:t>
            </w:r>
          </w:p>
        </w:tc>
        <w:tc>
          <w:tcPr>
            <w:tcW w:w="60" w:type="dxa"/>
            <w:vAlign w:val="bottom"/>
          </w:tcPr>
          <w:p>
            <w:pPr>
              <w:spacing w:after="0"/>
              <w:rPr>
                <w:sz w:val="9"/>
                <w:szCs w:val="9"/>
                <w:color w:val="auto"/>
              </w:rPr>
            </w:pPr>
          </w:p>
        </w:tc>
        <w:tc>
          <w:tcPr>
            <w:tcW w:w="560" w:type="dxa"/>
            <w:vAlign w:val="bottom"/>
            <w:gridSpan w:val="3"/>
          </w:tcPr>
          <w:p>
            <w:pPr>
              <w:ind w:left="26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(303)</w:t>
            </w:r>
          </w:p>
        </w:tc>
        <w:tc>
          <w:tcPr>
            <w:tcW w:w="7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(557)</w:t>
            </w:r>
          </w:p>
        </w:tc>
        <w:tc>
          <w:tcPr>
            <w:tcW w:w="72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(206)</w:t>
            </w:r>
          </w:p>
        </w:tc>
        <w:tc>
          <w:tcPr>
            <w:tcW w:w="98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1,024</w:t>
            </w:r>
          </w:p>
        </w:tc>
        <w:tc>
          <w:tcPr>
            <w:tcW w:w="6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(42)</w:t>
            </w:r>
          </w:p>
        </w:tc>
        <w:tc>
          <w:tcPr>
            <w:tcW w:w="0" w:type="dxa"/>
            <w:vAlign w:val="bottom"/>
          </w:tcPr>
          <w:p>
            <w:pPr>
              <w:spacing w:after="0"/>
              <w:rPr>
                <w:sz w:val="1"/>
                <w:szCs w:val="1"/>
                <w:color w:val="auto"/>
              </w:rPr>
            </w:pPr>
          </w:p>
        </w:tc>
      </w:tr>
      <w:tr>
        <w:trPr>
          <w:trHeight w:val="108"/>
        </w:trPr>
        <w:tc>
          <w:tcPr>
            <w:tcW w:w="434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Common stock cash dividends — $2.25 per share</w:t>
            </w:r>
          </w:p>
        </w:tc>
        <w:tc>
          <w:tcPr>
            <w:tcW w:w="60" w:type="dxa"/>
            <w:vAlign w:val="bottom"/>
            <w:shd w:val="clear" w:color="auto" w:fill="CCEEFF"/>
          </w:tcPr>
          <w:p>
            <w:pPr>
              <w:spacing w:after="0"/>
              <w:rPr>
                <w:sz w:val="9"/>
                <w:szCs w:val="9"/>
                <w:color w:val="auto"/>
              </w:rPr>
            </w:pPr>
          </w:p>
        </w:tc>
        <w:tc>
          <w:tcPr>
            <w:tcW w:w="560" w:type="dxa"/>
            <w:vAlign w:val="bottom"/>
            <w:gridSpan w:val="3"/>
            <w:shd w:val="clear" w:color="auto" w:fill="CCEEFF"/>
          </w:tcPr>
          <w:p>
            <w:pPr>
              <w:ind w:left="26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(249,817)</w:t>
            </w:r>
          </w:p>
        </w:tc>
        <w:tc>
          <w:tcPr>
            <w:tcW w:w="98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(249,817)</w:t>
            </w:r>
          </w:p>
        </w:tc>
        <w:tc>
          <w:tcPr>
            <w:tcW w:w="0" w:type="dxa"/>
            <w:vAlign w:val="bottom"/>
          </w:tcPr>
          <w:p>
            <w:pPr>
              <w:spacing w:after="0"/>
              <w:rPr>
                <w:sz w:val="1"/>
                <w:szCs w:val="1"/>
                <w:color w:val="auto"/>
              </w:rPr>
            </w:pPr>
          </w:p>
        </w:tc>
      </w:tr>
      <w:tr>
        <w:trPr>
          <w:trHeight w:val="117"/>
        </w:trPr>
        <w:tc>
          <w:tcPr>
            <w:tcW w:w="4340" w:type="dxa"/>
            <w:vAlign w:val="bottom"/>
          </w:tcPr>
          <w:p>
            <w:pPr>
              <w:spacing w:after="0" w:line="108" w:lineRule="exact"/>
              <w:rPr>
                <w:sz w:val="20"/>
                <w:szCs w:val="20"/>
                <w:color w:val="auto"/>
              </w:rPr>
            </w:pPr>
            <w:r>
              <w:rPr>
                <w:rFonts w:ascii="Arial" w:cs="Arial" w:eastAsia="Arial" w:hAnsi="Arial"/>
                <w:sz w:val="10"/>
                <w:szCs w:val="10"/>
                <w:color w:val="auto"/>
              </w:rPr>
              <w:t>Balance — December 31, 2006</w:t>
            </w:r>
          </w:p>
        </w:tc>
        <w:tc>
          <w:tcPr>
            <w:tcW w:w="60" w:type="dxa"/>
            <w:vAlign w:val="bottom"/>
            <w:tcBorders>
              <w:top w:val="single" w:sz="8" w:color="auto"/>
              <w:bottom w:val="single" w:sz="8" w:color="auto"/>
            </w:tcBorders>
          </w:tcPr>
          <w:p>
            <w:pPr>
              <w:spacing w:after="0" w:line="108" w:lineRule="exact"/>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ind w:left="260"/>
              <w:spacing w:after="0" w:line="108" w:lineRule="exact"/>
              <w:rPr>
                <w:sz w:val="20"/>
                <w:szCs w:val="20"/>
                <w:color w:val="auto"/>
              </w:rPr>
            </w:pPr>
            <w:r>
              <w:rPr>
                <w:rFonts w:ascii="Arial" w:cs="Arial" w:eastAsia="Arial" w:hAnsi="Arial"/>
                <w:sz w:val="10"/>
                <w:szCs w:val="10"/>
                <w:color w:val="auto"/>
                <w:w w:val="79"/>
              </w:rPr>
              <w:t>—</w:t>
            </w:r>
          </w:p>
        </w:tc>
        <w:tc>
          <w:tcPr>
            <w:tcW w:w="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60,198</w:t>
            </w:r>
          </w:p>
        </w:tc>
        <w:tc>
          <w:tcPr>
            <w:tcW w:w="200" w:type="dxa"/>
            <w:vAlign w:val="bottom"/>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5,060</w:t>
            </w:r>
          </w:p>
        </w:tc>
        <w:tc>
          <w:tcPr>
            <w:tcW w:w="20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2,889,449</w:t>
            </w:r>
          </w:p>
        </w:tc>
        <w:tc>
          <w:tcPr>
            <w:tcW w:w="20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4,443,441</w:t>
            </w:r>
          </w:p>
        </w:tc>
        <w:tc>
          <w:tcPr>
            <w:tcW w:w="200" w:type="dxa"/>
            <w:vAlign w:val="bottom"/>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(53,574)</w:t>
            </w:r>
          </w:p>
        </w:tc>
        <w:tc>
          <w:tcPr>
            <w:tcW w:w="18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(1,063,479)</w:t>
            </w:r>
          </w:p>
        </w:tc>
        <w:tc>
          <w:tcPr>
            <w:tcW w:w="200" w:type="dxa"/>
            <w:vAlign w:val="bottom"/>
          </w:tcPr>
          <w:p>
            <w:pPr>
              <w:spacing w:after="0"/>
              <w:rPr>
                <w:sz w:val="10"/>
                <w:szCs w:val="10"/>
                <w:color w:val="auto"/>
              </w:rPr>
            </w:pPr>
          </w:p>
        </w:tc>
        <w:tc>
          <w:tcPr>
            <w:tcW w:w="5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6,281,095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4420"/>
        <w:spacing w:after="0"/>
        <w:rPr>
          <w:sz w:val="20"/>
          <w:szCs w:val="20"/>
          <w:color w:val="auto"/>
        </w:rPr>
      </w:pPr>
      <w:r>
        <w:rPr>
          <w:rFonts w:ascii="Arial" w:cs="Arial" w:eastAsia="Arial" w:hAnsi="Arial"/>
          <w:sz w:val="13"/>
          <w:szCs w:val="13"/>
          <w:i w:val="1"/>
          <w:iCs w:val="1"/>
          <w:color w:val="auto"/>
        </w:rPr>
        <w:t>See accompanying notes to financial statements</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w:t>
      </w:r>
    </w:p>
    <w:p>
      <w:pPr>
        <w:spacing w:after="0" w:line="95" w:lineRule="exact"/>
        <w:rPr>
          <w:sz w:val="20"/>
          <w:szCs w:val="20"/>
          <w:color w:val="auto"/>
        </w:rPr>
      </w:pPr>
    </w:p>
    <w:p>
      <w:pPr>
        <w:ind w:left="1000" w:hanging="313"/>
        <w:spacing w:after="0"/>
        <w:tabs>
          <w:tab w:leader="none" w:pos="1000" w:val="left"/>
        </w:tabs>
        <w:numPr>
          <w:ilvl w:val="0"/>
          <w:numId w:val="23"/>
        </w:numPr>
        <w:rPr>
          <w:rFonts w:ascii="Arial" w:cs="Arial" w:eastAsia="Arial" w:hAnsi="Arial"/>
          <w:sz w:val="14"/>
          <w:szCs w:val="14"/>
          <w:b w:val="1"/>
          <w:bCs w:val="1"/>
          <w:color w:val="auto"/>
        </w:rPr>
      </w:pPr>
      <w:r>
        <w:rPr>
          <w:rFonts w:ascii="Arial" w:cs="Arial" w:eastAsia="Arial" w:hAnsi="Arial"/>
          <w:sz w:val="14"/>
          <w:szCs w:val="14"/>
          <w:b w:val="1"/>
          <w:bCs w:val="1"/>
          <w:color w:val="auto"/>
        </w:rPr>
        <w:t>Significant accounting policies</w:t>
      </w:r>
    </w:p>
    <w:p>
      <w:pPr>
        <w:spacing w:after="0" w:line="22" w:lineRule="exact"/>
        <w:rPr>
          <w:sz w:val="20"/>
          <w:szCs w:val="20"/>
          <w:color w:val="auto"/>
        </w:rPr>
      </w:pPr>
    </w:p>
    <w:p>
      <w:pPr>
        <w:ind w:left="680" w:right="60"/>
        <w:spacing w:after="0" w:line="249" w:lineRule="auto"/>
        <w:rPr>
          <w:sz w:val="20"/>
          <w:szCs w:val="20"/>
          <w:color w:val="auto"/>
        </w:rPr>
      </w:pPr>
      <w:r>
        <w:rPr>
          <w:rFonts w:ascii="Arial" w:cs="Arial" w:eastAsia="Arial" w:hAnsi="Arial"/>
          <w:sz w:val="14"/>
          <w:szCs w:val="14"/>
          <w:color w:val="auto"/>
        </w:rPr>
        <w:t>M</w:t>
      </w:r>
      <w:r>
        <w:rPr>
          <w:rFonts w:ascii="Arial" w:cs="Arial" w:eastAsia="Arial" w:hAnsi="Arial"/>
          <w:sz w:val="13"/>
          <w:szCs w:val="13"/>
          <w:color w:val="auto"/>
        </w:rPr>
        <w:t>&amp;</w:t>
      </w:r>
      <w:r>
        <w:rPr>
          <w:rFonts w:ascii="Arial" w:cs="Arial" w:eastAsia="Arial" w:hAnsi="Arial"/>
          <w:sz w:val="14"/>
          <w:szCs w:val="14"/>
          <w:color w:val="auto"/>
        </w:rPr>
        <w:t>T Bank Corporation (“M</w:t>
      </w:r>
      <w:r>
        <w:rPr>
          <w:rFonts w:ascii="Arial" w:cs="Arial" w:eastAsia="Arial" w:hAnsi="Arial"/>
          <w:sz w:val="13"/>
          <w:szCs w:val="13"/>
          <w:color w:val="auto"/>
        </w:rPr>
        <w:t>&amp;</w:t>
      </w:r>
      <w:r>
        <w:rPr>
          <w:rFonts w:ascii="Arial" w:cs="Arial" w:eastAsia="Arial" w:hAnsi="Arial"/>
          <w:sz w:val="14"/>
          <w:szCs w:val="14"/>
          <w:color w:val="auto"/>
        </w:rPr>
        <w:t>T”)is a bank holding company headquartered in Buffalo, New York. Through subsidiaries, M</w:t>
      </w:r>
      <w:r>
        <w:rPr>
          <w:rFonts w:ascii="Arial" w:cs="Arial" w:eastAsia="Arial" w:hAnsi="Arial"/>
          <w:sz w:val="13"/>
          <w:szCs w:val="13"/>
          <w:color w:val="auto"/>
        </w:rPr>
        <w:t>&amp;</w:t>
      </w:r>
      <w:r>
        <w:rPr>
          <w:rFonts w:ascii="Arial" w:cs="Arial" w:eastAsia="Arial" w:hAnsi="Arial"/>
          <w:sz w:val="14"/>
          <w:szCs w:val="14"/>
          <w:color w:val="auto"/>
        </w:rPr>
        <w:t>T provides individuals, corporations and other businesses, and institutions with commercial and retail banking services, including loans and deposits, trust, mortgage banking, asset management, insurance and other financial services. Banking activities are largely focused on consumers residing in New York State, Pennsylvania, Maryland and the District of Columbia and on small and medium-size businesses based in those areas. Banking services are also provided in Delaware, Virginia, West Virginia and New Jersey (effective January 2, 2007), while certain subsidiaries also conduct activities in other states.</w:t>
      </w:r>
    </w:p>
    <w:p>
      <w:pPr>
        <w:ind w:left="680" w:right="220" w:firstLine="599"/>
        <w:spacing w:after="0" w:line="252" w:lineRule="auto"/>
        <w:rPr>
          <w:sz w:val="20"/>
          <w:szCs w:val="20"/>
          <w:color w:val="auto"/>
        </w:rPr>
      </w:pPr>
      <w:r>
        <w:rPr>
          <w:rFonts w:ascii="Arial" w:cs="Arial" w:eastAsia="Arial" w:hAnsi="Arial"/>
          <w:sz w:val="14"/>
          <w:szCs w:val="14"/>
          <w:color w:val="auto"/>
        </w:rPr>
        <w:t>The accounting and reporting policies of M</w:t>
      </w:r>
      <w:r>
        <w:rPr>
          <w:rFonts w:ascii="Arial" w:cs="Arial" w:eastAsia="Arial" w:hAnsi="Arial"/>
          <w:sz w:val="13"/>
          <w:szCs w:val="13"/>
          <w:color w:val="auto"/>
        </w:rPr>
        <w:t>&amp;</w:t>
      </w:r>
      <w:r>
        <w:rPr>
          <w:rFonts w:ascii="Arial" w:cs="Arial" w:eastAsia="Arial" w:hAnsi="Arial"/>
          <w:sz w:val="14"/>
          <w:szCs w:val="14"/>
          <w:color w:val="auto"/>
        </w:rPr>
        <w:t>T and subsidiaries (“the Company”) conform to generally accepted accounting principles and to general practices within the banking industry.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more significant accounting policies are as follows:</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Consolidation</w:t>
      </w:r>
    </w:p>
    <w:p>
      <w:pPr>
        <w:spacing w:after="0" w:line="18" w:lineRule="exact"/>
        <w:rPr>
          <w:sz w:val="20"/>
          <w:szCs w:val="20"/>
          <w:color w:val="auto"/>
        </w:rPr>
      </w:pPr>
    </w:p>
    <w:p>
      <w:pPr>
        <w:ind w:left="680" w:right="120"/>
        <w:spacing w:after="0" w:line="285" w:lineRule="auto"/>
        <w:rPr>
          <w:sz w:val="20"/>
          <w:szCs w:val="20"/>
          <w:color w:val="auto"/>
        </w:rPr>
      </w:pPr>
      <w:r>
        <w:rPr>
          <w:rFonts w:ascii="Arial" w:cs="Arial" w:eastAsia="Arial" w:hAnsi="Arial"/>
          <w:sz w:val="13"/>
          <w:szCs w:val="13"/>
          <w:color w:val="auto"/>
        </w:rPr>
        <w:t>Except as described in note 18, the consolidated financial statements include M</w:t>
      </w:r>
      <w:r>
        <w:rPr>
          <w:rFonts w:ascii="Arial" w:cs="Arial" w:eastAsia="Arial" w:hAnsi="Arial"/>
          <w:sz w:val="12"/>
          <w:szCs w:val="12"/>
          <w:color w:val="auto"/>
        </w:rPr>
        <w:t>&amp;</w:t>
      </w:r>
      <w:r>
        <w:rPr>
          <w:rFonts w:ascii="Arial" w:cs="Arial" w:eastAsia="Arial" w:hAnsi="Arial"/>
          <w:sz w:val="13"/>
          <w:szCs w:val="13"/>
          <w:color w:val="auto"/>
        </w:rPr>
        <w:t>T and all of its subsidiaries. All significant intercompany accounts and transactions of consolidated subsidiaries have been eliminated in consolidation. The financial statements of M</w:t>
      </w:r>
      <w:r>
        <w:rPr>
          <w:rFonts w:ascii="Arial" w:cs="Arial" w:eastAsia="Arial" w:hAnsi="Arial"/>
          <w:sz w:val="12"/>
          <w:szCs w:val="12"/>
          <w:color w:val="auto"/>
        </w:rPr>
        <w:t>&amp;</w:t>
      </w:r>
      <w:r>
        <w:rPr>
          <w:rFonts w:ascii="Arial" w:cs="Arial" w:eastAsia="Arial" w:hAnsi="Arial"/>
          <w:sz w:val="13"/>
          <w:szCs w:val="13"/>
          <w:color w:val="auto"/>
        </w:rPr>
        <w:t>T included in note 24 report investments in subsidiaries under the equity method. Information about some limited purpose entities that are affiliates of the Company but are not included in the consolidated financial statements appears in note 18.</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Consolidated Statement of Cash Flows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For purposes of this statement, cash and due from banks and federal funds sold are considered cash and cash equivalents.</w:t>
      </w:r>
    </w:p>
    <w:p>
      <w:pPr>
        <w:spacing w:after="0" w:line="161"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Securities purchased under agreements to resell and securities sold under agreements to repurchase</w:t>
      </w:r>
    </w:p>
    <w:p>
      <w:pPr>
        <w:spacing w:after="0" w:line="18" w:lineRule="exact"/>
        <w:rPr>
          <w:sz w:val="20"/>
          <w:szCs w:val="20"/>
          <w:color w:val="auto"/>
        </w:rPr>
      </w:pPr>
    </w:p>
    <w:p>
      <w:pPr>
        <w:ind w:left="680" w:right="220"/>
        <w:spacing w:after="0" w:line="346" w:lineRule="auto"/>
        <w:rPr>
          <w:sz w:val="20"/>
          <w:szCs w:val="20"/>
          <w:color w:val="auto"/>
        </w:rPr>
      </w:pPr>
      <w:r>
        <w:rPr>
          <w:rFonts w:ascii="Arial" w:cs="Arial" w:eastAsia="Arial" w:hAnsi="Arial"/>
          <w:sz w:val="12"/>
          <w:szCs w:val="12"/>
          <w:color w:val="auto"/>
        </w:rPr>
        <w:t>Securities purchased under agreements to resell and securities sold under agreements to repurchase are treated as collateralized financing transactions and are recorded at amounts equal to the cash or other consideration exchanged. It is generally the Company’s policy to take possession of collateral pledged to secure agreements to resell.</w:t>
      </w:r>
    </w:p>
    <w:p>
      <w:pPr>
        <w:spacing w:after="0" w:line="91"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Trading account</w:t>
      </w:r>
    </w:p>
    <w:p>
      <w:pPr>
        <w:spacing w:after="0" w:line="18" w:lineRule="exact"/>
        <w:rPr>
          <w:sz w:val="20"/>
          <w:szCs w:val="20"/>
          <w:color w:val="auto"/>
        </w:rPr>
      </w:pPr>
    </w:p>
    <w:p>
      <w:pPr>
        <w:ind w:left="680" w:right="260"/>
        <w:spacing w:after="0" w:line="263" w:lineRule="auto"/>
        <w:rPr>
          <w:sz w:val="20"/>
          <w:szCs w:val="20"/>
          <w:color w:val="auto"/>
        </w:rPr>
      </w:pPr>
      <w:r>
        <w:rPr>
          <w:rFonts w:ascii="Arial" w:cs="Arial" w:eastAsia="Arial" w:hAnsi="Arial"/>
          <w:sz w:val="14"/>
          <w:szCs w:val="14"/>
          <w:color w:val="auto"/>
        </w:rPr>
        <w:t>Financial instruments used for trading purposes are stated at fair value. Realized gains and losses and unrealized changes in fair value of financial instruments utilized in trading activities are included in trading account and foreign exchange gains in the consolidated statement of income.</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Investment securities</w:t>
      </w:r>
    </w:p>
    <w:p>
      <w:pPr>
        <w:spacing w:after="0" w:line="18" w:lineRule="exact"/>
        <w:rPr>
          <w:sz w:val="20"/>
          <w:szCs w:val="20"/>
          <w:color w:val="auto"/>
        </w:rPr>
      </w:pPr>
    </w:p>
    <w:p>
      <w:pPr>
        <w:ind w:left="680" w:right="160"/>
        <w:spacing w:after="0" w:line="249" w:lineRule="auto"/>
        <w:rPr>
          <w:sz w:val="20"/>
          <w:szCs w:val="20"/>
          <w:color w:val="auto"/>
        </w:rPr>
      </w:pPr>
      <w:r>
        <w:rPr>
          <w:rFonts w:ascii="Arial" w:cs="Arial" w:eastAsia="Arial" w:hAnsi="Arial"/>
          <w:sz w:val="14"/>
          <w:szCs w:val="14"/>
          <w:color w:val="auto"/>
        </w:rPr>
        <w:t>Investments in debt securities are classified as held to maturity and stated at amortized cost when management has the positive intent and ability to hold such securities to maturity. Investments in other debt securities and equity securities having readily determinable fair values are classified as available for sale and stated at estimated fair value. Except for investment securities for which the Company has entered into a related fair value hedge, unrealized gains or losses on investment securities available for sale are reflected in accumulated other comprehensive income (loss), net of applicable income taxes.</w:t>
      </w:r>
    </w:p>
    <w:p>
      <w:pPr>
        <w:ind w:left="1280"/>
        <w:spacing w:after="0"/>
        <w:rPr>
          <w:sz w:val="20"/>
          <w:szCs w:val="20"/>
          <w:color w:val="auto"/>
        </w:rPr>
      </w:pPr>
      <w:r>
        <w:rPr>
          <w:rFonts w:ascii="Arial" w:cs="Arial" w:eastAsia="Arial" w:hAnsi="Arial"/>
          <w:sz w:val="14"/>
          <w:szCs w:val="14"/>
          <w:color w:val="auto"/>
        </w:rPr>
        <w:t>Other securities are stated at cost and include stock of the Federal Reserve Bank of New York and the Federal Home Loan Bank of New York.</w:t>
      </w:r>
    </w:p>
    <w:p>
      <w:pPr>
        <w:spacing w:after="0" w:line="6" w:lineRule="exact"/>
        <w:rPr>
          <w:sz w:val="20"/>
          <w:szCs w:val="20"/>
          <w:color w:val="auto"/>
        </w:rPr>
      </w:pPr>
    </w:p>
    <w:p>
      <w:pPr>
        <w:ind w:left="680" w:right="240" w:firstLine="599"/>
        <w:spacing w:after="0" w:line="263" w:lineRule="auto"/>
        <w:rPr>
          <w:sz w:val="20"/>
          <w:szCs w:val="20"/>
          <w:color w:val="auto"/>
        </w:rPr>
      </w:pPr>
      <w:r>
        <w:rPr>
          <w:rFonts w:ascii="Arial" w:cs="Arial" w:eastAsia="Arial" w:hAnsi="Arial"/>
          <w:sz w:val="14"/>
          <w:szCs w:val="14"/>
          <w:color w:val="auto"/>
        </w:rPr>
        <w:t>Amortization of premiums and accretion of discounts for investment securities available for sale and held to maturity are included in interest income. The cost basis of individual securities is written down to estimated fair value through a charge to earnings when declines in value below amortized cost</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6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are considered to be other than temporary. Realized gains and losses on the sales of investment securities are determined using the specific identification method.</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Loans and leases</w:t>
      </w:r>
    </w:p>
    <w:p>
      <w:pPr>
        <w:spacing w:after="0" w:line="18" w:lineRule="exact"/>
        <w:rPr>
          <w:sz w:val="20"/>
          <w:szCs w:val="20"/>
          <w:color w:val="auto"/>
        </w:rPr>
      </w:pPr>
    </w:p>
    <w:p>
      <w:pPr>
        <w:ind w:left="680" w:right="20"/>
        <w:spacing w:after="0" w:line="268" w:lineRule="auto"/>
        <w:rPr>
          <w:sz w:val="20"/>
          <w:szCs w:val="20"/>
          <w:color w:val="auto"/>
        </w:rPr>
      </w:pPr>
      <w:r>
        <w:rPr>
          <w:rFonts w:ascii="Arial" w:cs="Arial" w:eastAsia="Arial" w:hAnsi="Arial"/>
          <w:sz w:val="13"/>
          <w:szCs w:val="13"/>
          <w:color w:val="auto"/>
        </w:rPr>
        <w:t>Interest income on loans is accrued on a level yield method. Loans are placed on nonaccrual status and previously accrued interest thereon is charged against income when principal or interest is delinquent 90 days, unless management determines that the loan status clearly warrants other treatment. Loan balances are charged off when it becomes evident that such balances are not fully collectible. Loan fees and certain direct loan origination costs are deferred and recognized as an interest yield adjustment over the life of the loan. Net deferred fees have been included in unearned discount as a reduction of loans outstanding. Commitments to sell real estate loans are utilized by the Company to hedge the exposure to changes in fair value of real estate loans held for sale. The carrying value of hedged real estate loans held for sale recorded in the consolidated balance sheet includes changes in estimated fair market value during the hedge period, typically from the date of close through the sale date. Valuation adjustments made on these loans and commitments are included in mortgage banking revenues.</w:t>
      </w:r>
    </w:p>
    <w:p>
      <w:pPr>
        <w:spacing w:after="0" w:line="1" w:lineRule="exact"/>
        <w:rPr>
          <w:sz w:val="20"/>
          <w:szCs w:val="20"/>
          <w:color w:val="auto"/>
        </w:rPr>
      </w:pPr>
    </w:p>
    <w:p>
      <w:pPr>
        <w:ind w:left="680" w:firstLine="599"/>
        <w:spacing w:after="0" w:line="249" w:lineRule="auto"/>
        <w:rPr>
          <w:sz w:val="20"/>
          <w:szCs w:val="20"/>
          <w:color w:val="auto"/>
        </w:rPr>
      </w:pPr>
      <w:r>
        <w:rPr>
          <w:rFonts w:ascii="Arial" w:cs="Arial" w:eastAsia="Arial" w:hAnsi="Arial"/>
          <w:sz w:val="14"/>
          <w:szCs w:val="14"/>
          <w:color w:val="auto"/>
        </w:rPr>
        <w:t>Except for consumer and residential mortgage loans that are considered smaller balance homogenous loans and are evaluated collectively, the Company considers a loan to be impaired for purposes of applying Statement of Financial Accounting Standards (“SFAS”) No. 114, “Accounting by Creditors for Impairment of a Loan,” as amended, when, based on current information and events, it is probable that the Company will be unable to collect all amounts according to the contractual terms of the loan agreement or the loan is delinquent 90 days. Impaired loans are classified as either nonaccrual or as loans renegotiated at below market rates. Loans less than 90 days delinquent are deemed to have an insignificant delay in payment and are generally not considered impaired for purposes of applying SFAS No. 114. Impairment of a loan is measured based on the present value of expected future cash flows discounted at the loan’s effective interest rate, the loan’s observable market price, or the fair value of collateral if the loan is collateral dependent. Interest received on impaired loans placed on nonaccrual status is applied to reduce the carrying value of the loan or, if principal is considered fully collectible, recognized as interest income.</w:t>
      </w:r>
    </w:p>
    <w:p>
      <w:pPr>
        <w:spacing w:after="0" w:line="1" w:lineRule="exact"/>
        <w:rPr>
          <w:sz w:val="20"/>
          <w:szCs w:val="20"/>
          <w:color w:val="auto"/>
        </w:rPr>
      </w:pPr>
    </w:p>
    <w:p>
      <w:pPr>
        <w:ind w:left="680" w:right="120" w:firstLine="599"/>
        <w:spacing w:after="0" w:line="252" w:lineRule="auto"/>
        <w:rPr>
          <w:sz w:val="20"/>
          <w:szCs w:val="20"/>
          <w:color w:val="auto"/>
        </w:rPr>
      </w:pPr>
      <w:r>
        <w:rPr>
          <w:rFonts w:ascii="Arial" w:cs="Arial" w:eastAsia="Arial" w:hAnsi="Arial"/>
          <w:sz w:val="14"/>
          <w:szCs w:val="14"/>
          <w:color w:val="auto"/>
        </w:rPr>
        <w:t>Residual value estimates for commercial leases are generally determined through internal or external reviews of the leased property. The Company reviews commercial lease residual values at least annually and recognizes residual value impairments deemed to be other than temporary. Initial estimates of residual value for automobile leases are recorded based on published industry standards and historical residual value losses incurred relative to the published industry standards. Automobile leases are considered small homogenous leases and, as such, impairments to residual value are determined based on projected residual value losses relative to the initially recorded residual values.</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Allowance for credit losses</w:t>
      </w:r>
    </w:p>
    <w:p>
      <w:pPr>
        <w:spacing w:after="0" w:line="18" w:lineRule="exact"/>
        <w:rPr>
          <w:sz w:val="20"/>
          <w:szCs w:val="20"/>
          <w:color w:val="auto"/>
        </w:rPr>
      </w:pPr>
    </w:p>
    <w:p>
      <w:pPr>
        <w:ind w:left="680" w:right="40"/>
        <w:spacing w:after="0" w:line="253" w:lineRule="auto"/>
        <w:rPr>
          <w:sz w:val="20"/>
          <w:szCs w:val="20"/>
          <w:color w:val="auto"/>
        </w:rPr>
      </w:pPr>
      <w:r>
        <w:rPr>
          <w:rFonts w:ascii="Arial" w:cs="Arial" w:eastAsia="Arial" w:hAnsi="Arial"/>
          <w:sz w:val="14"/>
          <w:szCs w:val="14"/>
          <w:color w:val="auto"/>
        </w:rPr>
        <w:t>The allowance for credit losses represents the amount which, in management’s judgment, will be adequate to absorb credit losses inherent in the loan and lease portfolio as of the balance sheet date. The adequacy of the allowance is determined by management’s evaluation of the loan and lease portfolio based on such factors as the differing economic risks associated with each loan category, the current financial condition of specific borrowers, the economic environment in which borrowers operate, the level of delinquent loans, the value of any collateral and, where applicable, the existence of any guarantees or indemnifications.</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Premises and equipment</w:t>
      </w:r>
    </w:p>
    <w:p>
      <w:pPr>
        <w:spacing w:after="0" w:line="18" w:lineRule="exact"/>
        <w:rPr>
          <w:sz w:val="20"/>
          <w:szCs w:val="20"/>
          <w:color w:val="auto"/>
        </w:rPr>
      </w:pPr>
    </w:p>
    <w:p>
      <w:pPr>
        <w:ind w:left="680" w:right="220"/>
        <w:spacing w:after="0" w:line="263" w:lineRule="auto"/>
        <w:rPr>
          <w:sz w:val="20"/>
          <w:szCs w:val="20"/>
          <w:color w:val="auto"/>
        </w:rPr>
      </w:pPr>
      <w:r>
        <w:rPr>
          <w:rFonts w:ascii="Arial" w:cs="Arial" w:eastAsia="Arial" w:hAnsi="Arial"/>
          <w:sz w:val="14"/>
          <w:szCs w:val="14"/>
          <w:color w:val="auto"/>
        </w:rPr>
        <w:t>Premises and equipment are stated at cost less accumulated depreciation. Depreciation expense is computed principally using the straight-line method over the estimated useful lives of the assets.</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Sales and securitizations of financial assets</w:t>
      </w:r>
    </w:p>
    <w:p>
      <w:pPr>
        <w:spacing w:after="0" w:line="18" w:lineRule="exact"/>
        <w:rPr>
          <w:sz w:val="20"/>
          <w:szCs w:val="20"/>
          <w:color w:val="auto"/>
        </w:rPr>
      </w:pPr>
    </w:p>
    <w:p>
      <w:pPr>
        <w:ind w:left="680" w:right="340"/>
        <w:spacing w:after="0" w:line="301" w:lineRule="auto"/>
        <w:rPr>
          <w:sz w:val="20"/>
          <w:szCs w:val="20"/>
          <w:color w:val="auto"/>
        </w:rPr>
      </w:pPr>
      <w:r>
        <w:rPr>
          <w:rFonts w:ascii="Arial" w:cs="Arial" w:eastAsia="Arial" w:hAnsi="Arial"/>
          <w:sz w:val="13"/>
          <w:szCs w:val="13"/>
          <w:color w:val="auto"/>
        </w:rPr>
        <w:t>Transfers of financial assets for which the Company has surrendered control of the financial assets are accounted for as sales to the extent that consideration other than beneficial interests in the transferred assets is received in exchange. Retained interests in a sale or securitization of financial assets are measured</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56" w:lineRule="exact"/>
        <w:rPr>
          <w:sz w:val="20"/>
          <w:szCs w:val="20"/>
          <w:color w:val="auto"/>
        </w:rPr>
      </w:pPr>
    </w:p>
    <w:p>
      <w:pPr>
        <w:ind w:left="680" w:right="100"/>
        <w:spacing w:after="0" w:line="259" w:lineRule="auto"/>
        <w:rPr>
          <w:sz w:val="20"/>
          <w:szCs w:val="20"/>
          <w:color w:val="auto"/>
        </w:rPr>
      </w:pPr>
      <w:r>
        <w:rPr>
          <w:rFonts w:ascii="Arial" w:cs="Arial" w:eastAsia="Arial" w:hAnsi="Arial"/>
          <w:sz w:val="14"/>
          <w:szCs w:val="14"/>
          <w:color w:val="auto"/>
        </w:rPr>
        <w:t>at the date of transfer by allocating the previous carrying amount between the assets transferred and any retained interests based on their relative estimated fair values. The fair values of retained debt securities are generally determined through reference to independent pricing information. The fair values of retained servicing rights and any other retained interests are determined based on the present value of expected future cash flows associated with those interests and by reference to market prices for similar assets.</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Capitalized servicing rights</w:t>
      </w:r>
    </w:p>
    <w:p>
      <w:pPr>
        <w:spacing w:after="0" w:line="18" w:lineRule="exact"/>
        <w:rPr>
          <w:sz w:val="20"/>
          <w:szCs w:val="20"/>
          <w:color w:val="auto"/>
        </w:rPr>
      </w:pPr>
    </w:p>
    <w:p>
      <w:pPr>
        <w:ind w:left="680" w:right="220"/>
        <w:spacing w:after="0" w:line="268" w:lineRule="auto"/>
        <w:rPr>
          <w:sz w:val="20"/>
          <w:szCs w:val="20"/>
          <w:color w:val="auto"/>
        </w:rPr>
      </w:pPr>
      <w:r>
        <w:rPr>
          <w:rFonts w:ascii="Arial" w:cs="Arial" w:eastAsia="Arial" w:hAnsi="Arial"/>
          <w:sz w:val="13"/>
          <w:szCs w:val="13"/>
          <w:color w:val="auto"/>
        </w:rPr>
        <w:t>Servicing assets purchased or servicing liabilities assumed that are not recognized in connection with the sale or securitization of financial assets are initially measured at fair value. Capitalized servicing assets are included in other assets and are amortized in proportion to and over the period of estimated net servicing income.</w:t>
      </w:r>
    </w:p>
    <w:p>
      <w:pPr>
        <w:ind w:left="680" w:right="80" w:firstLine="599"/>
        <w:spacing w:after="0" w:line="273" w:lineRule="auto"/>
        <w:rPr>
          <w:sz w:val="20"/>
          <w:szCs w:val="20"/>
          <w:color w:val="auto"/>
        </w:rPr>
      </w:pPr>
      <w:r>
        <w:rPr>
          <w:rFonts w:ascii="Arial" w:cs="Arial" w:eastAsia="Arial" w:hAnsi="Arial"/>
          <w:sz w:val="13"/>
          <w:szCs w:val="13"/>
          <w:color w:val="auto"/>
        </w:rPr>
        <w:t>To estimate the fair value of servicing rights, the Company considers market prices for similar assets and the present value of expected future cash flows associated with the servicing rights calculated using assumptions that market participants would use in estimating future servicing income and expense. Such assumptions include estimates of the cost of servicing loans, loan default rates, an appropriate discount rate, and prepayment speeds. For purposes of evaluating and measuring impairment of capitalized servicing rights, the Company stratifies such assets based on the predominant risk characteristics of the underlying financial instruments that are expected to have the most impact on projected prepayments, cost of servicing and other factors affecting future cash flows associated with the servicing rights. Such factors may include financial asset or loan type, note rate and term. The amount of impairment recognized is the amount by which the carrying value of the capitalized servicing rights for a stratum exceeds estimated fair value. Impairment is recognized through a valuation allowance.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Goodwill and core deposit and other intangible assets</w:t>
      </w:r>
    </w:p>
    <w:p>
      <w:pPr>
        <w:spacing w:after="0" w:line="18" w:lineRule="exact"/>
        <w:rPr>
          <w:sz w:val="20"/>
          <w:szCs w:val="20"/>
          <w:color w:val="auto"/>
        </w:rPr>
      </w:pPr>
    </w:p>
    <w:p>
      <w:pPr>
        <w:ind w:left="680" w:right="60"/>
        <w:spacing w:after="0" w:line="273" w:lineRule="auto"/>
        <w:rPr>
          <w:sz w:val="20"/>
          <w:szCs w:val="20"/>
          <w:color w:val="auto"/>
        </w:rPr>
      </w:pPr>
      <w:r>
        <w:rPr>
          <w:rFonts w:ascii="Arial" w:cs="Arial" w:eastAsia="Arial" w:hAnsi="Arial"/>
          <w:sz w:val="13"/>
          <w:szCs w:val="13"/>
          <w:color w:val="auto"/>
        </w:rPr>
        <w:t>Goodwill represents the excess of the cost of an acquired entity over the fair value of the identifiable net assets acquired. Similar to goodwill, other intangible assets, which include core deposit intangibles, also lack physical substance but, as required by SFAS No. 141, “Business Combinations,” portions of the cost of an acquired entity have been assigned to such assets. The Company accounts for goodwill and other intangible assets in accordance with SFAS No. 142, “Goodwill and Other Intangible Assets,” which, in general, requires that goodwill not be amortized, but rather that it be tested for impairment at least annually at the reporting unit level, which is either at the same level or one level below an operating segment. Other acquired intangible assets with finite lives, such as core deposit intangibles, are required to be amortized over their estimated lives. Core deposit and other intangible assets are amortized using accelerated methods over estimated useful lives of five to ten years. The Company periodically assesses whether events or changes in circumstances indicate that the carrying amounts of core deposit and other intangible assets may be impaired.</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Derivative financial instruments</w:t>
      </w:r>
    </w:p>
    <w:p>
      <w:pPr>
        <w:spacing w:after="0" w:line="18" w:lineRule="exact"/>
        <w:rPr>
          <w:sz w:val="20"/>
          <w:szCs w:val="20"/>
          <w:color w:val="auto"/>
        </w:rPr>
      </w:pPr>
    </w:p>
    <w:p>
      <w:pPr>
        <w:ind w:left="680"/>
        <w:spacing w:after="0" w:line="273" w:lineRule="auto"/>
        <w:rPr>
          <w:sz w:val="20"/>
          <w:szCs w:val="20"/>
          <w:color w:val="auto"/>
        </w:rPr>
      </w:pPr>
      <w:r>
        <w:rPr>
          <w:rFonts w:ascii="Arial" w:cs="Arial" w:eastAsia="Arial" w:hAnsi="Arial"/>
          <w:sz w:val="13"/>
          <w:szCs w:val="13"/>
          <w:color w:val="auto"/>
        </w:rPr>
        <w:t>The Company accounts for derivative financial instruments in accordance with SFAS No. 133, “Accounting for Derivative Instruments and Hedging Activities,” as amended. SFAS No. 133 requires that an entity recognize all derivatives as either assets or liabilities in the balance sheet and measure those instruments at fair value. If certain conditions are met, a derivative may be specifically designated as (a) a hedge of the exposure to changes in the fair value of a recognized asset or liability or an unrecognized firm commitment, (b) a hedge of the exposure to variable cash flows of a forecasted transaction or (c) a hedge of the foreign currency exposure of a net investment in a foreign operation, an unrecognized firm commitment, an available for sale security, or a foreign currency denominated forecasted transaction. Pursuant to SFAS No. 133, the accounting for changes in the fair value of a derivative depends on the intended use of the derivative and the resulting designation. An entity that elects to apply hedge accounting is required to establish at the inception of the hedge the method it will use for assessing the effectiveness of the hedging derivative and the measurement approach for determining the ineffective aspect of the hedge. Those methods must be consistent with the entity’s approach to managing risk.</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8" w:name="page89"/>
    <w:bookmarkEnd w:id="8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56" w:lineRule="exact"/>
        <w:rPr>
          <w:sz w:val="20"/>
          <w:szCs w:val="20"/>
          <w:color w:val="auto"/>
        </w:rPr>
      </w:pPr>
    </w:p>
    <w:p>
      <w:pPr>
        <w:ind w:left="680" w:right="20" w:firstLine="599"/>
        <w:spacing w:after="0" w:line="251" w:lineRule="auto"/>
        <w:rPr>
          <w:sz w:val="20"/>
          <w:szCs w:val="20"/>
          <w:color w:val="auto"/>
        </w:rPr>
      </w:pPr>
      <w:r>
        <w:rPr>
          <w:rFonts w:ascii="Arial" w:cs="Arial" w:eastAsia="Arial" w:hAnsi="Arial"/>
          <w:sz w:val="14"/>
          <w:szCs w:val="14"/>
          <w:color w:val="auto"/>
        </w:rPr>
        <w:t>The Company utilizes interest rate swap agreements as part of the management of interest rate risk to modify the repricing characteristics of certain portions of its portfolios of earning assets and interest-bearing liabilities. For such agreements, amounts receivable or payable are recognized as accrued under the terms of the agreement and the net differential is recorded as an adjustment to interest income or expense of the related asset or liability. Interest rate swap agreements may be designated as either fair value hedges or cash flow hedges. In a fair value hedge, the fair values of the interest rate swap agreements and changes in the fair values of the hedged items are recorded in the Company’s consolidated balance sheet with the corresponding gain or loss recognized in current earnings. The difference between changes in the fair values of interest rate swap agreements and the hedged items represents hedge ineffectiveness and is recorded in “other revenues from operations” in the Company’s consolidated statement of income. In a cash flow hedge, the effective portion of the derivative’s unrealized gain or loss is initially recorded as a component of other comprehensive income and subsequently reclassified into earnings when the forecasted transaction affects earnings. The ineffective portion of the unrealized gain or loss is reported in “other revenues from operations” immediately.</w:t>
      </w:r>
    </w:p>
    <w:p>
      <w:pPr>
        <w:spacing w:after="0" w:line="1" w:lineRule="exact"/>
        <w:rPr>
          <w:sz w:val="20"/>
          <w:szCs w:val="20"/>
          <w:color w:val="auto"/>
        </w:rPr>
      </w:pPr>
    </w:p>
    <w:p>
      <w:pPr>
        <w:ind w:left="680" w:firstLine="599"/>
        <w:spacing w:after="0" w:line="249" w:lineRule="auto"/>
        <w:rPr>
          <w:sz w:val="20"/>
          <w:szCs w:val="20"/>
          <w:color w:val="auto"/>
        </w:rPr>
      </w:pPr>
      <w:r>
        <w:rPr>
          <w:rFonts w:ascii="Arial" w:cs="Arial" w:eastAsia="Arial" w:hAnsi="Arial"/>
          <w:sz w:val="14"/>
          <w:szCs w:val="14"/>
          <w:color w:val="auto"/>
        </w:rPr>
        <w:t>The Company utilizes commitments to sell real estate loans to hedge the exposure to changes in the fair value of real estate loans held for sale. Commitments to originate real estate loans to be held for sale and commitments to sell real estate loans are generally recorded in the consolidated balance sheet at estimated fair market value. However, in accordance with Staff Accounting Bulletin (“SAB”) No. 105, “Application of Accounting Principles to Loan Commitments,” issued by the United States Securities and Exchange Commission, value ascribable to cash flows that will be realized in connection with loan servicing activities has not been included in the determination of fair value of commitments to originate loans for sale. Value ascribable to that portion of cash flows is recognized at the time the underlying mortgage loans are sold.</w:t>
      </w:r>
    </w:p>
    <w:p>
      <w:pPr>
        <w:ind w:left="680" w:right="120" w:firstLine="599"/>
        <w:spacing w:after="0" w:line="256" w:lineRule="auto"/>
        <w:rPr>
          <w:sz w:val="20"/>
          <w:szCs w:val="20"/>
          <w:color w:val="auto"/>
        </w:rPr>
      </w:pPr>
      <w:r>
        <w:rPr>
          <w:rFonts w:ascii="Arial" w:cs="Arial" w:eastAsia="Arial" w:hAnsi="Arial"/>
          <w:sz w:val="14"/>
          <w:szCs w:val="14"/>
          <w:color w:val="auto"/>
        </w:rPr>
        <w:t>Derivative instruments not related to mortgage banking activities, including financial futures commitments and interest rate swap agreements, that do not satisfy the hedge accounting requirements noted above are recorded at fair value and are generally classified as trading account assets or liabilities with resultant changes in fair value being recognized in trading account and foreign exchange gains in the Company’s consolidated statement of income.</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8" w:lineRule="exact"/>
        <w:rPr>
          <w:sz w:val="20"/>
          <w:szCs w:val="20"/>
          <w:color w:val="auto"/>
        </w:rPr>
      </w:pPr>
    </w:p>
    <w:p>
      <w:pPr>
        <w:ind w:left="680" w:right="20"/>
        <w:spacing w:after="0" w:line="273" w:lineRule="auto"/>
        <w:rPr>
          <w:sz w:val="20"/>
          <w:szCs w:val="20"/>
          <w:color w:val="auto"/>
        </w:rPr>
      </w:pPr>
      <w:r>
        <w:rPr>
          <w:rFonts w:ascii="Arial" w:cs="Arial" w:eastAsia="Arial" w:hAnsi="Arial"/>
          <w:sz w:val="13"/>
          <w:szCs w:val="13"/>
          <w:color w:val="auto"/>
        </w:rPr>
        <w:t>Effective January 1, 2006, the Company adopted SFAS No. 123 (revised 2004), “Share Based Payment,” (“SFAS No. 123R”), an amendment of SFAS No. 123, “Accounting for Stock-Based Compensation.” Prior to that date, the Company recognized expense for stock-based compensation using the fair value method of accounting described in SFAS No. 123. Stock-based compensation expense is recognized over the vesting period of the stock-based grant based on the estimated grant date value of the stock-based compensation that is expected to vest, except that coincident with the adoption of SFAS No. 123R, the Company began accelerating the recognition of compensation costs for stock-based awards granted to retirement-eligible employees and employees who will become retirement-eligible prior to full vesting of the award because the Company’s incentive compensation plan allows for vesting at the time an employee retires. Through December 31, 2005, stock-based compensation granted to such individuals was expensed over the normal vesting period and any remaining unrecognized compensation cost was recognized at the time an individual employee actually retired. Information on the determination of the estimated value of stock-based awards used to calculate stock-based compensation expense is included in note 10.</w:t>
      </w:r>
    </w:p>
    <w:p>
      <w:pPr>
        <w:spacing w:after="0" w:line="131"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Income taxes</w:t>
      </w:r>
    </w:p>
    <w:p>
      <w:pPr>
        <w:spacing w:after="0" w:line="18" w:lineRule="exact"/>
        <w:rPr>
          <w:sz w:val="20"/>
          <w:szCs w:val="20"/>
          <w:color w:val="auto"/>
        </w:rPr>
      </w:pPr>
    </w:p>
    <w:p>
      <w:pPr>
        <w:ind w:left="680" w:right="180"/>
        <w:spacing w:after="0" w:line="263" w:lineRule="auto"/>
        <w:rPr>
          <w:sz w:val="20"/>
          <w:szCs w:val="20"/>
          <w:color w:val="auto"/>
        </w:rPr>
      </w:pPr>
      <w:r>
        <w:rPr>
          <w:rFonts w:ascii="Arial" w:cs="Arial" w:eastAsia="Arial" w:hAnsi="Arial"/>
          <w:sz w:val="14"/>
          <w:szCs w:val="14"/>
          <w:color w:val="auto"/>
        </w:rPr>
        <w:t>Deferred tax assets and liabilities are recognized for the future tax effects attributable to differences between the financial statement value of existing assets and liabilities and their respective tax bases and carryforwards. Deferred tax assets and liabilities are measured using enacted tax rates and laws.</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Earnings per common share</w:t>
      </w:r>
    </w:p>
    <w:p>
      <w:pPr>
        <w:spacing w:after="0" w:line="18" w:lineRule="exact"/>
        <w:rPr>
          <w:sz w:val="20"/>
          <w:szCs w:val="20"/>
          <w:color w:val="auto"/>
        </w:rPr>
      </w:pPr>
    </w:p>
    <w:p>
      <w:pPr>
        <w:ind w:left="680" w:right="340"/>
        <w:spacing w:after="0" w:line="263" w:lineRule="auto"/>
        <w:rPr>
          <w:sz w:val="20"/>
          <w:szCs w:val="20"/>
          <w:color w:val="auto"/>
        </w:rPr>
      </w:pPr>
      <w:r>
        <w:rPr>
          <w:rFonts w:ascii="Arial" w:cs="Arial" w:eastAsia="Arial" w:hAnsi="Arial"/>
          <w:sz w:val="14"/>
          <w:szCs w:val="14"/>
          <w:color w:val="auto"/>
        </w:rPr>
        <w:t>Basic earnings per share exclude dilution and are computed by dividing income available to common stockholders by the weighted-average number of common shares outstanding and common shares issuable under deferred compensation arrangements during the period. Diluted earnings per share reflect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9" w:name="page90"/>
    <w:bookmarkEnd w:id="8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56" w:lineRule="exact"/>
        <w:rPr>
          <w:sz w:val="20"/>
          <w:szCs w:val="20"/>
          <w:color w:val="auto"/>
        </w:rPr>
      </w:pPr>
    </w:p>
    <w:p>
      <w:pPr>
        <w:ind w:left="680" w:right="220"/>
        <w:spacing w:after="0" w:line="265" w:lineRule="auto"/>
        <w:rPr>
          <w:sz w:val="20"/>
          <w:szCs w:val="20"/>
          <w:color w:val="auto"/>
        </w:rPr>
      </w:pPr>
      <w:r>
        <w:rPr>
          <w:rFonts w:ascii="Arial" w:cs="Arial" w:eastAsia="Arial" w:hAnsi="Arial"/>
          <w:sz w:val="14"/>
          <w:szCs w:val="14"/>
          <w:color w:val="auto"/>
        </w:rPr>
        <w:t>the potential dilution that could occur if securities or other contracts to issue common stock were exercised or converted into common stock or resulted in the issuance of common stock that then shared in earnings. Proceeds assumed to have been received on such exercise or conversion are assumed to be used to purchase shares of M</w:t>
      </w:r>
      <w:r>
        <w:rPr>
          <w:rFonts w:ascii="Arial" w:cs="Arial" w:eastAsia="Arial" w:hAnsi="Arial"/>
          <w:sz w:val="13"/>
          <w:szCs w:val="13"/>
          <w:color w:val="auto"/>
        </w:rPr>
        <w:t>&amp;</w:t>
      </w:r>
      <w:r>
        <w:rPr>
          <w:rFonts w:ascii="Arial" w:cs="Arial" w:eastAsia="Arial" w:hAnsi="Arial"/>
          <w:sz w:val="14"/>
          <w:szCs w:val="14"/>
          <w:color w:val="auto"/>
        </w:rPr>
        <w:t>T common stock at the average market price during the period, as required by the “treasury stock method” of accounting.</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Treasury stock</w:t>
      </w:r>
    </w:p>
    <w:p>
      <w:pPr>
        <w:spacing w:after="0" w:line="18" w:lineRule="exact"/>
        <w:rPr>
          <w:sz w:val="20"/>
          <w:szCs w:val="20"/>
          <w:color w:val="auto"/>
        </w:rPr>
      </w:pPr>
    </w:p>
    <w:p>
      <w:pPr>
        <w:ind w:left="680" w:right="260"/>
        <w:spacing w:after="0" w:line="263" w:lineRule="auto"/>
        <w:rPr>
          <w:sz w:val="20"/>
          <w:szCs w:val="20"/>
          <w:color w:val="auto"/>
        </w:rPr>
      </w:pPr>
      <w:r>
        <w:rPr>
          <w:rFonts w:ascii="Arial" w:cs="Arial" w:eastAsia="Arial" w:hAnsi="Arial"/>
          <w:sz w:val="14"/>
          <w:szCs w:val="14"/>
          <w:color w:val="auto"/>
        </w:rPr>
        <w:t>Repurchases of shares of M</w:t>
      </w:r>
      <w:r>
        <w:rPr>
          <w:rFonts w:ascii="Arial" w:cs="Arial" w:eastAsia="Arial" w:hAnsi="Arial"/>
          <w:sz w:val="13"/>
          <w:szCs w:val="13"/>
          <w:color w:val="auto"/>
        </w:rPr>
        <w:t>&amp;</w:t>
      </w:r>
      <w:r>
        <w:rPr>
          <w:rFonts w:ascii="Arial" w:cs="Arial" w:eastAsia="Arial" w:hAnsi="Arial"/>
          <w:sz w:val="14"/>
          <w:szCs w:val="14"/>
          <w:color w:val="auto"/>
        </w:rPr>
        <w:t>T common stock are recorded at cost as a reduction of stockholders’ equity. Reissuances of shares of treasury stock are recorded at average cost.</w:t>
      </w:r>
    </w:p>
    <w:p>
      <w:pPr>
        <w:spacing w:after="0" w:line="132" w:lineRule="exact"/>
        <w:rPr>
          <w:sz w:val="20"/>
          <w:szCs w:val="20"/>
          <w:color w:val="auto"/>
        </w:rPr>
      </w:pPr>
    </w:p>
    <w:p>
      <w:pPr>
        <w:ind w:left="1000" w:hanging="313"/>
        <w:spacing w:after="0"/>
        <w:tabs>
          <w:tab w:leader="none" w:pos="1000" w:val="left"/>
        </w:tabs>
        <w:numPr>
          <w:ilvl w:val="0"/>
          <w:numId w:val="24"/>
        </w:numPr>
        <w:rPr>
          <w:rFonts w:ascii="Arial" w:cs="Arial" w:eastAsia="Arial" w:hAnsi="Arial"/>
          <w:sz w:val="14"/>
          <w:szCs w:val="14"/>
          <w:b w:val="1"/>
          <w:bCs w:val="1"/>
          <w:color w:val="auto"/>
        </w:rPr>
      </w:pPr>
      <w:r>
        <w:rPr>
          <w:rFonts w:ascii="Arial" w:cs="Arial" w:eastAsia="Arial" w:hAnsi="Arial"/>
          <w:sz w:val="14"/>
          <w:szCs w:val="14"/>
          <w:b w:val="1"/>
          <w:bCs w:val="1"/>
          <w:color w:val="auto"/>
        </w:rPr>
        <w:t>Acquisition of deposits and banking offices</w:t>
      </w:r>
    </w:p>
    <w:p>
      <w:pPr>
        <w:spacing w:after="0" w:line="22" w:lineRule="exact"/>
        <w:rPr>
          <w:sz w:val="20"/>
          <w:szCs w:val="20"/>
          <w:color w:val="auto"/>
        </w:rPr>
      </w:pPr>
    </w:p>
    <w:p>
      <w:pPr>
        <w:ind w:left="680"/>
        <w:spacing w:after="0" w:line="253" w:lineRule="auto"/>
        <w:rPr>
          <w:sz w:val="20"/>
          <w:szCs w:val="20"/>
          <w:color w:val="auto"/>
        </w:rPr>
      </w:pPr>
      <w:r>
        <w:rPr>
          <w:rFonts w:ascii="Arial" w:cs="Arial" w:eastAsia="Arial" w:hAnsi="Arial"/>
          <w:sz w:val="14"/>
          <w:szCs w:val="14"/>
          <w:color w:val="auto"/>
        </w:rPr>
        <w:t>On June 30, 2006, M</w:t>
      </w:r>
      <w:r>
        <w:rPr>
          <w:rFonts w:ascii="Arial" w:cs="Arial" w:eastAsia="Arial" w:hAnsi="Arial"/>
          <w:sz w:val="13"/>
          <w:szCs w:val="13"/>
          <w:color w:val="auto"/>
        </w:rPr>
        <w:t>&amp;</w:t>
      </w:r>
      <w:r>
        <w:rPr>
          <w:rFonts w:ascii="Arial" w:cs="Arial" w:eastAsia="Arial" w:hAnsi="Arial"/>
          <w:sz w:val="14"/>
          <w:szCs w:val="14"/>
          <w:color w:val="auto"/>
        </w:rPr>
        <w:t>T Bank, M</w:t>
      </w:r>
      <w:r>
        <w:rPr>
          <w:rFonts w:ascii="Arial" w:cs="Arial" w:eastAsia="Arial" w:hAnsi="Arial"/>
          <w:sz w:val="13"/>
          <w:szCs w:val="13"/>
          <w:color w:val="auto"/>
        </w:rPr>
        <w:t>&amp;</w:t>
      </w:r>
      <w:r>
        <w:rPr>
          <w:rFonts w:ascii="Arial" w:cs="Arial" w:eastAsia="Arial" w:hAnsi="Arial"/>
          <w:sz w:val="14"/>
          <w:szCs w:val="14"/>
          <w:color w:val="auto"/>
        </w:rPr>
        <w:t>T’s principal banking subsidiary, acquired 21 banking offices in Buffalo and Rochester, New York from Citibank, N.A. in a cash transaction. The offices had approximately $269 million in loans, mostly to consumers, small businesses and middle market customers, and approximately $1.0 billion of deposits. The transaction did not have a significant effect on the Company’s results of operations during 2006. Expenses associated with systems conversions and other costs of integrating the acquired offices with and into M</w:t>
      </w:r>
      <w:r>
        <w:rPr>
          <w:rFonts w:ascii="Arial" w:cs="Arial" w:eastAsia="Arial" w:hAnsi="Arial"/>
          <w:sz w:val="13"/>
          <w:szCs w:val="13"/>
          <w:color w:val="auto"/>
        </w:rPr>
        <w:t>&amp;</w:t>
      </w:r>
      <w:r>
        <w:rPr>
          <w:rFonts w:ascii="Arial" w:cs="Arial" w:eastAsia="Arial" w:hAnsi="Arial"/>
          <w:sz w:val="14"/>
          <w:szCs w:val="14"/>
          <w:color w:val="auto"/>
        </w:rPr>
        <w:t>T Bank aggregated $5 million ($3 million net of applicable income taxes) in 2006.</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0" w:name="page91"/>
    <w:bookmarkEnd w:id="9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62" w:lineRule="exact"/>
        <w:rPr>
          <w:sz w:val="20"/>
          <w:szCs w:val="20"/>
          <w:color w:val="auto"/>
        </w:rPr>
      </w:pPr>
    </w:p>
    <w:p>
      <w:pPr>
        <w:ind w:left="1000" w:hanging="313"/>
        <w:spacing w:after="0"/>
        <w:tabs>
          <w:tab w:leader="none" w:pos="1000" w:val="left"/>
        </w:tabs>
        <w:numPr>
          <w:ilvl w:val="0"/>
          <w:numId w:val="25"/>
        </w:numPr>
        <w:rPr>
          <w:rFonts w:ascii="Arial" w:cs="Arial" w:eastAsia="Arial" w:hAnsi="Arial"/>
          <w:sz w:val="14"/>
          <w:szCs w:val="14"/>
          <w:b w:val="1"/>
          <w:bCs w:val="1"/>
          <w:color w:val="auto"/>
        </w:rPr>
      </w:pPr>
      <w:r>
        <w:rPr>
          <w:rFonts w:ascii="Arial" w:cs="Arial" w:eastAsia="Arial" w:hAnsi="Arial"/>
          <w:sz w:val="14"/>
          <w:szCs w:val="14"/>
          <w:b w:val="1"/>
          <w:bCs w:val="1"/>
          <w:color w:val="auto"/>
        </w:rPr>
        <w:t>Investment securities</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amortized cost and estimated fair value of investment securities were as follows:</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Amortized</w:t>
            </w:r>
          </w:p>
        </w:tc>
        <w:tc>
          <w:tcPr>
            <w:tcW w:w="60" w:type="dxa"/>
            <w:vAlign w:val="bottom"/>
          </w:tcPr>
          <w:p>
            <w:pPr>
              <w:spacing w:after="0"/>
              <w:rPr>
                <w:sz w:val="10"/>
                <w:szCs w:val="10"/>
                <w:color w:val="auto"/>
              </w:rPr>
            </w:pPr>
          </w:p>
        </w:tc>
        <w:tc>
          <w:tcPr>
            <w:tcW w:w="840" w:type="dxa"/>
            <w:vAlign w:val="bottom"/>
            <w:gridSpan w:val="2"/>
          </w:tcPr>
          <w:p>
            <w:pPr>
              <w:jc w:val="center"/>
              <w:ind w:right="288"/>
              <w:spacing w:after="0"/>
              <w:rPr>
                <w:sz w:val="20"/>
                <w:szCs w:val="20"/>
                <w:color w:val="auto"/>
              </w:rPr>
            </w:pPr>
            <w:r>
              <w:rPr>
                <w:rFonts w:ascii="Arial" w:cs="Arial" w:eastAsia="Arial" w:hAnsi="Arial"/>
                <w:sz w:val="10"/>
                <w:szCs w:val="10"/>
                <w:b w:val="1"/>
                <w:bCs w:val="1"/>
                <w:color w:val="auto"/>
                <w:w w:val="89"/>
              </w:rPr>
              <w:t>Gross</w:t>
            </w:r>
          </w:p>
        </w:tc>
        <w:tc>
          <w:tcPr>
            <w:tcW w:w="40" w:type="dxa"/>
            <w:vAlign w:val="bottom"/>
          </w:tcPr>
          <w:p>
            <w:pPr>
              <w:spacing w:after="0"/>
              <w:rPr>
                <w:sz w:val="10"/>
                <w:szCs w:val="10"/>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9"/>
              </w:rPr>
              <w:t>Gross</w:t>
            </w:r>
          </w:p>
        </w:tc>
        <w:tc>
          <w:tcPr>
            <w:tcW w:w="60" w:type="dxa"/>
            <w:vAlign w:val="bottom"/>
          </w:tcPr>
          <w:p>
            <w:pPr>
              <w:spacing w:after="0"/>
              <w:rPr>
                <w:sz w:val="10"/>
                <w:szCs w:val="10"/>
                <w:color w:val="auto"/>
              </w:rPr>
            </w:pPr>
          </w:p>
        </w:tc>
        <w:tc>
          <w:tcPr>
            <w:tcW w:w="6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Estimated</w:t>
            </w:r>
          </w:p>
        </w:tc>
        <w:tc>
          <w:tcPr>
            <w:tcW w:w="0" w:type="dxa"/>
            <w:vAlign w:val="bottom"/>
          </w:tcPr>
          <w:p>
            <w:pPr>
              <w:spacing w:after="0"/>
              <w:rPr>
                <w:sz w:val="1"/>
                <w:szCs w:val="1"/>
                <w:color w:val="auto"/>
              </w:rPr>
            </w:pPr>
          </w:p>
        </w:tc>
      </w:tr>
      <w:tr>
        <w:trPr>
          <w:trHeight w:val="108"/>
        </w:trPr>
        <w:tc>
          <w:tcPr>
            <w:tcW w:w="6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tcPr>
          <w:p>
            <w:pPr>
              <w:jc w:val="center"/>
              <w:ind w:right="308"/>
              <w:spacing w:after="0" w:line="108" w:lineRule="exact"/>
              <w:rPr>
                <w:sz w:val="20"/>
                <w:szCs w:val="20"/>
                <w:color w:val="auto"/>
              </w:rPr>
            </w:pPr>
            <w:r>
              <w:rPr>
                <w:rFonts w:ascii="Arial" w:cs="Arial" w:eastAsia="Arial" w:hAnsi="Arial"/>
                <w:sz w:val="10"/>
                <w:szCs w:val="10"/>
                <w:b w:val="1"/>
                <w:bCs w:val="1"/>
                <w:color w:val="auto"/>
                <w:w w:val="94"/>
              </w:rPr>
              <w:t>Unrealized</w:t>
            </w:r>
          </w:p>
        </w:tc>
        <w:tc>
          <w:tcPr>
            <w:tcW w:w="40" w:type="dxa"/>
            <w:vAlign w:val="bottom"/>
          </w:tcPr>
          <w:p>
            <w:pPr>
              <w:spacing w:after="0"/>
              <w:rPr>
                <w:sz w:val="9"/>
                <w:szCs w:val="9"/>
                <w:color w:val="auto"/>
              </w:rPr>
            </w:pPr>
          </w:p>
        </w:tc>
        <w:tc>
          <w:tcPr>
            <w:tcW w:w="840" w:type="dxa"/>
            <w:vAlign w:val="bottom"/>
            <w:gridSpan w:val="2"/>
          </w:tcPr>
          <w:p>
            <w:pPr>
              <w:jc w:val="center"/>
              <w:ind w:right="340"/>
              <w:spacing w:after="0" w:line="108" w:lineRule="exact"/>
              <w:rPr>
                <w:sz w:val="20"/>
                <w:szCs w:val="20"/>
                <w:color w:val="auto"/>
              </w:rPr>
            </w:pPr>
            <w:r>
              <w:rPr>
                <w:rFonts w:ascii="Arial" w:cs="Arial" w:eastAsia="Arial" w:hAnsi="Arial"/>
                <w:sz w:val="10"/>
                <w:szCs w:val="10"/>
                <w:b w:val="1"/>
                <w:bCs w:val="1"/>
                <w:color w:val="auto"/>
                <w:w w:val="98"/>
              </w:rPr>
              <w:t>Unrealized</w:t>
            </w:r>
          </w:p>
        </w:tc>
        <w:tc>
          <w:tcPr>
            <w:tcW w:w="6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6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48"/>
              <w:spacing w:after="0"/>
              <w:rPr>
                <w:sz w:val="20"/>
                <w:szCs w:val="20"/>
                <w:color w:val="auto"/>
              </w:rPr>
            </w:pPr>
            <w:r>
              <w:rPr>
                <w:rFonts w:ascii="Arial" w:cs="Arial" w:eastAsia="Arial" w:hAnsi="Arial"/>
                <w:sz w:val="10"/>
                <w:szCs w:val="10"/>
                <w:b w:val="1"/>
                <w:bCs w:val="1"/>
                <w:color w:val="auto"/>
              </w:rPr>
              <w:t>Cost</w:t>
            </w:r>
          </w:p>
        </w:tc>
        <w:tc>
          <w:tcPr>
            <w:tcW w:w="300" w:type="dxa"/>
            <w:vAlign w:val="bottom"/>
            <w:gridSpan w:val="2"/>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Gains</w:t>
            </w:r>
          </w:p>
        </w:tc>
        <w:tc>
          <w:tcPr>
            <w:tcW w:w="30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Losses</w:t>
            </w:r>
          </w:p>
        </w:tc>
        <w:tc>
          <w:tcPr>
            <w:tcW w:w="3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Fair Value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8"/>
              <w:spacing w:after="0"/>
              <w:rPr>
                <w:sz w:val="20"/>
                <w:szCs w:val="20"/>
                <w:color w:val="auto"/>
              </w:rPr>
            </w:pPr>
            <w:r>
              <w:rPr>
                <w:rFonts w:ascii="Arial" w:cs="Arial" w:eastAsia="Arial" w:hAnsi="Arial"/>
                <w:sz w:val="10"/>
                <w:szCs w:val="10"/>
                <w:b w:val="1"/>
                <w:bCs w:val="1"/>
                <w:color w:val="auto"/>
              </w:rPr>
              <w:t>(In</w:t>
            </w:r>
          </w:p>
        </w:tc>
        <w:tc>
          <w:tcPr>
            <w:tcW w:w="880" w:type="dxa"/>
            <w:vAlign w:val="bottom"/>
            <w:gridSpan w:val="3"/>
          </w:tcPr>
          <w:p>
            <w:pPr>
              <w:jc w:val="right"/>
              <w:ind w:right="388"/>
              <w:spacing w:after="0"/>
              <w:rPr>
                <w:sz w:val="20"/>
                <w:szCs w:val="20"/>
                <w:color w:val="auto"/>
              </w:rPr>
            </w:pPr>
            <w:r>
              <w:rPr>
                <w:rFonts w:ascii="Arial" w:cs="Arial" w:eastAsia="Arial" w:hAnsi="Arial"/>
                <w:sz w:val="10"/>
                <w:szCs w:val="10"/>
                <w:b w:val="1"/>
                <w:bCs w:val="1"/>
                <w:color w:val="auto"/>
                <w:w w:val="77"/>
              </w:rPr>
              <w:t>thousands)</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6600" w:type="dxa"/>
            <w:vAlign w:val="bottom"/>
            <w:shd w:val="clear" w:color="auto" w:fill="CCEEFF"/>
          </w:tcPr>
          <w:p>
            <w:pPr>
              <w:spacing w:after="0"/>
              <w:rPr>
                <w:sz w:val="20"/>
                <w:szCs w:val="20"/>
                <w:color w:val="auto"/>
              </w:rPr>
            </w:pPr>
            <w:r>
              <w:rPr>
                <w:rFonts w:ascii="Arial" w:cs="Arial" w:eastAsia="Arial" w:hAnsi="Arial"/>
                <w:sz w:val="10"/>
                <w:szCs w:val="10"/>
                <w:color w:val="auto"/>
              </w:rPr>
              <w:t>December 31, 2006</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600" w:type="dxa"/>
            <w:vAlign w:val="bottom"/>
          </w:tcPr>
          <w:p>
            <w:pPr>
              <w:spacing w:after="0" w:line="108" w:lineRule="exact"/>
              <w:rPr>
                <w:sz w:val="20"/>
                <w:szCs w:val="20"/>
                <w:color w:val="auto"/>
              </w:rPr>
            </w:pPr>
            <w:r>
              <w:rPr>
                <w:rFonts w:ascii="Arial" w:cs="Arial" w:eastAsia="Arial" w:hAnsi="Arial"/>
                <w:sz w:val="10"/>
                <w:szCs w:val="10"/>
                <w:color w:val="auto"/>
              </w:rPr>
              <w:t>Investment securities available for sale:</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U.S. Treasury and federal agencies</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60" w:type="dxa"/>
            <w:vAlign w:val="bottom"/>
            <w:gridSpan w:val="3"/>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479,655</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5,779</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473,876</w:t>
            </w:r>
          </w:p>
        </w:tc>
        <w:tc>
          <w:tcPr>
            <w:tcW w:w="0" w:type="dxa"/>
            <w:vAlign w:val="bottom"/>
          </w:tcPr>
          <w:p>
            <w:pPr>
              <w:spacing w:after="0"/>
              <w:rPr>
                <w:sz w:val="1"/>
                <w:szCs w:val="1"/>
                <w:color w:val="auto"/>
              </w:rPr>
            </w:pPr>
          </w:p>
        </w:tc>
      </w:tr>
      <w:tr>
        <w:trPr>
          <w:trHeight w:val="108"/>
        </w:trPr>
        <w:tc>
          <w:tcPr>
            <w:tcW w:w="6600" w:type="dxa"/>
            <w:vAlign w:val="bottom"/>
          </w:tcPr>
          <w:p>
            <w:pPr>
              <w:spacing w:after="0" w:line="108" w:lineRule="exact"/>
              <w:rPr>
                <w:sz w:val="20"/>
                <w:szCs w:val="20"/>
                <w:color w:val="auto"/>
              </w:rPr>
            </w:pPr>
            <w:r>
              <w:rPr>
                <w:rFonts w:ascii="Arial" w:cs="Arial" w:eastAsia="Arial" w:hAnsi="Arial"/>
                <w:sz w:val="10"/>
                <w:szCs w:val="10"/>
                <w:color w:val="auto"/>
              </w:rPr>
              <w:t>Obligations of states and political subdivisions</w:t>
            </w:r>
          </w:p>
        </w:tc>
        <w:tc>
          <w:tcPr>
            <w:tcW w:w="60" w:type="dxa"/>
            <w:vAlign w:val="bottom"/>
          </w:tcPr>
          <w:p>
            <w:pPr>
              <w:spacing w:after="0"/>
              <w:rPr>
                <w:sz w:val="9"/>
                <w:szCs w:val="9"/>
                <w:color w:val="auto"/>
              </w:rPr>
            </w:pPr>
          </w:p>
        </w:tc>
        <w:tc>
          <w:tcPr>
            <w:tcW w:w="860" w:type="dxa"/>
            <w:vAlign w:val="bottom"/>
            <w:gridSpan w:val="3"/>
          </w:tcPr>
          <w:p>
            <w:pPr>
              <w:jc w:val="right"/>
              <w:ind w:right="300"/>
              <w:spacing w:after="0" w:line="108" w:lineRule="exact"/>
              <w:rPr>
                <w:sz w:val="20"/>
                <w:szCs w:val="20"/>
                <w:color w:val="auto"/>
              </w:rPr>
            </w:pPr>
            <w:r>
              <w:rPr>
                <w:rFonts w:ascii="Arial" w:cs="Arial" w:eastAsia="Arial" w:hAnsi="Arial"/>
                <w:sz w:val="10"/>
                <w:szCs w:val="10"/>
                <w:color w:val="auto"/>
              </w:rPr>
              <w:t>67,804</w:t>
            </w:r>
          </w:p>
        </w:tc>
        <w:tc>
          <w:tcPr>
            <w:tcW w:w="60" w:type="dxa"/>
            <w:vAlign w:val="bottom"/>
          </w:tcPr>
          <w:p>
            <w:pPr>
              <w:spacing w:after="0"/>
              <w:rPr>
                <w:sz w:val="9"/>
                <w:szCs w:val="9"/>
                <w:color w:val="auto"/>
              </w:rPr>
            </w:pPr>
          </w:p>
        </w:tc>
        <w:tc>
          <w:tcPr>
            <w:tcW w:w="840" w:type="dxa"/>
            <w:vAlign w:val="bottom"/>
            <w:gridSpan w:val="2"/>
          </w:tcPr>
          <w:p>
            <w:pPr>
              <w:jc w:val="right"/>
              <w:ind w:right="248"/>
              <w:spacing w:after="0" w:line="108" w:lineRule="exact"/>
              <w:rPr>
                <w:sz w:val="20"/>
                <w:szCs w:val="20"/>
                <w:color w:val="auto"/>
              </w:rPr>
            </w:pPr>
            <w:r>
              <w:rPr>
                <w:rFonts w:ascii="Arial" w:cs="Arial" w:eastAsia="Arial" w:hAnsi="Arial"/>
                <w:sz w:val="10"/>
                <w:szCs w:val="10"/>
                <w:color w:val="auto"/>
              </w:rPr>
              <w:t>2,967</w:t>
            </w:r>
          </w:p>
        </w:tc>
        <w:tc>
          <w:tcPr>
            <w:tcW w:w="40" w:type="dxa"/>
            <w:vAlign w:val="bottom"/>
          </w:tcPr>
          <w:p>
            <w:pPr>
              <w:spacing w:after="0"/>
              <w:rPr>
                <w:sz w:val="9"/>
                <w:szCs w:val="9"/>
                <w:color w:val="auto"/>
              </w:rPr>
            </w:pPr>
          </w:p>
        </w:tc>
        <w:tc>
          <w:tcPr>
            <w:tcW w:w="8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70,771</w:t>
            </w:r>
          </w:p>
        </w:tc>
        <w:tc>
          <w:tcPr>
            <w:tcW w:w="0" w:type="dxa"/>
            <w:vAlign w:val="bottom"/>
          </w:tcPr>
          <w:p>
            <w:pPr>
              <w:spacing w:after="0"/>
              <w:rPr>
                <w:sz w:val="1"/>
                <w:szCs w:val="1"/>
                <w:color w:val="auto"/>
              </w:rPr>
            </w:pPr>
          </w:p>
        </w:tc>
      </w:tr>
      <w:tr>
        <w:trPr>
          <w:trHeight w:val="108"/>
        </w:trPr>
        <w:tc>
          <w:tcPr>
            <w:tcW w:w="6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Mortgage-backed securities:</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600" w:type="dxa"/>
            <w:vAlign w:val="bottom"/>
          </w:tcPr>
          <w:p>
            <w:pPr>
              <w:ind w:left="120"/>
              <w:spacing w:after="0" w:line="108" w:lineRule="exact"/>
              <w:rPr>
                <w:sz w:val="20"/>
                <w:szCs w:val="20"/>
                <w:color w:val="auto"/>
              </w:rPr>
            </w:pPr>
            <w:r>
              <w:rPr>
                <w:rFonts w:ascii="Arial" w:cs="Arial" w:eastAsia="Arial" w:hAnsi="Arial"/>
                <w:sz w:val="10"/>
                <w:szCs w:val="10"/>
                <w:color w:val="auto"/>
              </w:rPr>
              <w:t>Government issued or guaranteed</w:t>
            </w:r>
          </w:p>
        </w:tc>
        <w:tc>
          <w:tcPr>
            <w:tcW w:w="60" w:type="dxa"/>
            <w:vAlign w:val="bottom"/>
          </w:tcPr>
          <w:p>
            <w:pPr>
              <w:spacing w:after="0"/>
              <w:rPr>
                <w:sz w:val="9"/>
                <w:szCs w:val="9"/>
                <w:color w:val="auto"/>
              </w:rPr>
            </w:pPr>
          </w:p>
        </w:tc>
        <w:tc>
          <w:tcPr>
            <w:tcW w:w="58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1,943,407</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tcPr>
          <w:p>
            <w:pPr>
              <w:jc w:val="right"/>
              <w:ind w:right="248"/>
              <w:spacing w:after="0" w:line="108" w:lineRule="exact"/>
              <w:rPr>
                <w:sz w:val="20"/>
                <w:szCs w:val="20"/>
                <w:color w:val="auto"/>
              </w:rPr>
            </w:pPr>
            <w:r>
              <w:rPr>
                <w:rFonts w:ascii="Arial" w:cs="Arial" w:eastAsia="Arial" w:hAnsi="Arial"/>
                <w:sz w:val="10"/>
                <w:szCs w:val="10"/>
                <w:color w:val="auto"/>
              </w:rPr>
              <w:t>4,477</w:t>
            </w:r>
          </w:p>
        </w:tc>
        <w:tc>
          <w:tcPr>
            <w:tcW w:w="40" w:type="dxa"/>
            <w:vAlign w:val="bottom"/>
          </w:tcPr>
          <w:p>
            <w:pPr>
              <w:spacing w:after="0"/>
              <w:rPr>
                <w:sz w:val="9"/>
                <w:szCs w:val="9"/>
                <w:color w:val="auto"/>
              </w:rPr>
            </w:pPr>
          </w:p>
        </w:tc>
        <w:tc>
          <w:tcPr>
            <w:tcW w:w="8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40,176</w:t>
            </w:r>
          </w:p>
        </w:tc>
        <w:tc>
          <w:tcPr>
            <w:tcW w:w="60" w:type="dxa"/>
            <w:vAlign w:val="bottom"/>
          </w:tcPr>
          <w:p>
            <w:pPr>
              <w:spacing w:after="0"/>
              <w:rPr>
                <w:sz w:val="9"/>
                <w:szCs w:val="9"/>
                <w:color w:val="auto"/>
              </w:rPr>
            </w:pPr>
          </w:p>
        </w:tc>
        <w:tc>
          <w:tcPr>
            <w:tcW w:w="6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1,907,708</w:t>
            </w:r>
          </w:p>
        </w:tc>
        <w:tc>
          <w:tcPr>
            <w:tcW w:w="0" w:type="dxa"/>
            <w:vAlign w:val="bottom"/>
          </w:tcPr>
          <w:p>
            <w:pPr>
              <w:spacing w:after="0"/>
              <w:rPr>
                <w:sz w:val="1"/>
                <w:szCs w:val="1"/>
                <w:color w:val="auto"/>
              </w:rPr>
            </w:pPr>
          </w:p>
        </w:tc>
      </w:tr>
      <w:tr>
        <w:trPr>
          <w:trHeight w:val="108"/>
        </w:trPr>
        <w:tc>
          <w:tcPr>
            <w:tcW w:w="66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Privately issued</w:t>
            </w:r>
          </w:p>
        </w:tc>
        <w:tc>
          <w:tcPr>
            <w:tcW w:w="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3,830,965</w:t>
            </w: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7,603</w:t>
            </w:r>
          </w:p>
        </w:tc>
        <w:tc>
          <w:tcPr>
            <w:tcW w:w="4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42,038</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3,796,530</w:t>
            </w:r>
          </w:p>
        </w:tc>
        <w:tc>
          <w:tcPr>
            <w:tcW w:w="0" w:type="dxa"/>
            <w:vAlign w:val="bottom"/>
          </w:tcPr>
          <w:p>
            <w:pPr>
              <w:spacing w:after="0"/>
              <w:rPr>
                <w:sz w:val="1"/>
                <w:szCs w:val="1"/>
                <w:color w:val="auto"/>
              </w:rPr>
            </w:pPr>
          </w:p>
        </w:tc>
      </w:tr>
      <w:tr>
        <w:trPr>
          <w:trHeight w:val="108"/>
        </w:trPr>
        <w:tc>
          <w:tcPr>
            <w:tcW w:w="6600" w:type="dxa"/>
            <w:vAlign w:val="bottom"/>
          </w:tcPr>
          <w:p>
            <w:pPr>
              <w:spacing w:after="0" w:line="108" w:lineRule="exact"/>
              <w:rPr>
                <w:sz w:val="20"/>
                <w:szCs w:val="20"/>
                <w:color w:val="auto"/>
              </w:rPr>
            </w:pPr>
            <w:r>
              <w:rPr>
                <w:rFonts w:ascii="Arial" w:cs="Arial" w:eastAsia="Arial" w:hAnsi="Arial"/>
                <w:sz w:val="10"/>
                <w:szCs w:val="10"/>
                <w:color w:val="auto"/>
              </w:rPr>
              <w:t>Other debt securities</w:t>
            </w:r>
          </w:p>
        </w:tc>
        <w:tc>
          <w:tcPr>
            <w:tcW w:w="60" w:type="dxa"/>
            <w:vAlign w:val="bottom"/>
          </w:tcPr>
          <w:p>
            <w:pPr>
              <w:spacing w:after="0"/>
              <w:rPr>
                <w:sz w:val="9"/>
                <w:szCs w:val="9"/>
                <w:color w:val="auto"/>
              </w:rPr>
            </w:pPr>
          </w:p>
        </w:tc>
        <w:tc>
          <w:tcPr>
            <w:tcW w:w="860" w:type="dxa"/>
            <w:vAlign w:val="bottom"/>
            <w:gridSpan w:val="3"/>
          </w:tcPr>
          <w:p>
            <w:pPr>
              <w:jc w:val="right"/>
              <w:ind w:right="300"/>
              <w:spacing w:after="0" w:line="108" w:lineRule="exact"/>
              <w:rPr>
                <w:sz w:val="20"/>
                <w:szCs w:val="20"/>
                <w:color w:val="auto"/>
              </w:rPr>
            </w:pPr>
            <w:r>
              <w:rPr>
                <w:rFonts w:ascii="Arial" w:cs="Arial" w:eastAsia="Arial" w:hAnsi="Arial"/>
                <w:sz w:val="10"/>
                <w:szCs w:val="10"/>
                <w:color w:val="auto"/>
              </w:rPr>
              <w:t>145,034</w:t>
            </w:r>
          </w:p>
        </w:tc>
        <w:tc>
          <w:tcPr>
            <w:tcW w:w="60" w:type="dxa"/>
            <w:vAlign w:val="bottom"/>
          </w:tcPr>
          <w:p>
            <w:pPr>
              <w:spacing w:after="0"/>
              <w:rPr>
                <w:sz w:val="9"/>
                <w:szCs w:val="9"/>
                <w:color w:val="auto"/>
              </w:rPr>
            </w:pPr>
          </w:p>
        </w:tc>
        <w:tc>
          <w:tcPr>
            <w:tcW w:w="840" w:type="dxa"/>
            <w:vAlign w:val="bottom"/>
            <w:gridSpan w:val="2"/>
          </w:tcPr>
          <w:p>
            <w:pPr>
              <w:jc w:val="right"/>
              <w:ind w:right="248"/>
              <w:spacing w:after="0" w:line="108" w:lineRule="exact"/>
              <w:rPr>
                <w:sz w:val="20"/>
                <w:szCs w:val="20"/>
                <w:color w:val="auto"/>
              </w:rPr>
            </w:pPr>
            <w:r>
              <w:rPr>
                <w:rFonts w:ascii="Arial" w:cs="Arial" w:eastAsia="Arial" w:hAnsi="Arial"/>
                <w:sz w:val="10"/>
                <w:szCs w:val="10"/>
                <w:color w:val="auto"/>
              </w:rPr>
              <w:t>5,423</w:t>
            </w:r>
          </w:p>
        </w:tc>
        <w:tc>
          <w:tcPr>
            <w:tcW w:w="40" w:type="dxa"/>
            <w:vAlign w:val="bottom"/>
          </w:tcPr>
          <w:p>
            <w:pPr>
              <w:spacing w:after="0"/>
              <w:rPr>
                <w:sz w:val="9"/>
                <w:szCs w:val="9"/>
                <w:color w:val="auto"/>
              </w:rPr>
            </w:pPr>
          </w:p>
        </w:tc>
        <w:tc>
          <w:tcPr>
            <w:tcW w:w="8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550</w:t>
            </w:r>
          </w:p>
        </w:tc>
        <w:tc>
          <w:tcPr>
            <w:tcW w:w="60" w:type="dxa"/>
            <w:vAlign w:val="bottom"/>
          </w:tcPr>
          <w:p>
            <w:pPr>
              <w:spacing w:after="0"/>
              <w:rPr>
                <w:sz w:val="9"/>
                <w:szCs w:val="9"/>
                <w:color w:val="auto"/>
              </w:rPr>
            </w:pPr>
          </w:p>
        </w:tc>
        <w:tc>
          <w:tcPr>
            <w:tcW w:w="6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149,907</w:t>
            </w:r>
          </w:p>
        </w:tc>
        <w:tc>
          <w:tcPr>
            <w:tcW w:w="0" w:type="dxa"/>
            <w:vAlign w:val="bottom"/>
          </w:tcPr>
          <w:p>
            <w:pPr>
              <w:spacing w:after="0"/>
              <w:rPr>
                <w:sz w:val="1"/>
                <w:szCs w:val="1"/>
                <w:color w:val="auto"/>
              </w:rPr>
            </w:pPr>
          </w:p>
        </w:tc>
      </w:tr>
      <w:tr>
        <w:trPr>
          <w:trHeight w:val="108"/>
        </w:trPr>
        <w:tc>
          <w:tcPr>
            <w:tcW w:w="6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Equity securities</w:t>
            </w:r>
          </w:p>
        </w:tc>
        <w:tc>
          <w:tcPr>
            <w:tcW w:w="60" w:type="dxa"/>
            <w:vAlign w:val="bottom"/>
            <w:shd w:val="clear" w:color="auto" w:fill="CCEEFF"/>
          </w:tcPr>
          <w:p>
            <w:pPr>
              <w:spacing w:after="0"/>
              <w:rPr>
                <w:sz w:val="9"/>
                <w:szCs w:val="9"/>
                <w:color w:val="auto"/>
              </w:rPr>
            </w:pPr>
          </w:p>
        </w:tc>
        <w:tc>
          <w:tcPr>
            <w:tcW w:w="860" w:type="dxa"/>
            <w:vAlign w:val="bottom"/>
            <w:gridSpan w:val="3"/>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411,467</w:t>
            </w:r>
          </w:p>
        </w:tc>
        <w:tc>
          <w:tcPr>
            <w:tcW w:w="6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20,016</w:t>
            </w:r>
          </w:p>
        </w:tc>
        <w:tc>
          <w:tcPr>
            <w:tcW w:w="4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427</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431,056</w:t>
            </w:r>
          </w:p>
        </w:tc>
        <w:tc>
          <w:tcPr>
            <w:tcW w:w="0" w:type="dxa"/>
            <w:vAlign w:val="bottom"/>
          </w:tcPr>
          <w:p>
            <w:pPr>
              <w:spacing w:after="0"/>
              <w:rPr>
                <w:sz w:val="1"/>
                <w:szCs w:val="1"/>
                <w:color w:val="auto"/>
              </w:rPr>
            </w:pPr>
          </w:p>
        </w:tc>
      </w:tr>
      <w:tr>
        <w:trPr>
          <w:trHeight w:val="108"/>
        </w:trPr>
        <w:tc>
          <w:tcPr>
            <w:tcW w:w="66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6,878,332</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40,486</w:t>
            </w:r>
          </w:p>
        </w:tc>
        <w:tc>
          <w:tcPr>
            <w:tcW w:w="300" w:type="dxa"/>
            <w:vAlign w:val="bottom"/>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88,970</w:t>
            </w:r>
          </w:p>
        </w:tc>
        <w:tc>
          <w:tcPr>
            <w:tcW w:w="3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6,829,848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Investment securities held to maturity:</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600" w:type="dxa"/>
            <w:vAlign w:val="bottom"/>
          </w:tcPr>
          <w:p>
            <w:pPr>
              <w:spacing w:after="0" w:line="108" w:lineRule="exact"/>
              <w:rPr>
                <w:sz w:val="20"/>
                <w:szCs w:val="20"/>
                <w:color w:val="auto"/>
              </w:rPr>
            </w:pPr>
            <w:r>
              <w:rPr>
                <w:rFonts w:ascii="Arial" w:cs="Arial" w:eastAsia="Arial" w:hAnsi="Arial"/>
                <w:sz w:val="10"/>
                <w:szCs w:val="10"/>
                <w:color w:val="auto"/>
              </w:rPr>
              <w:t>Obligations of states and political subdivisions</w:t>
            </w:r>
          </w:p>
        </w:tc>
        <w:tc>
          <w:tcPr>
            <w:tcW w:w="60" w:type="dxa"/>
            <w:vAlign w:val="bottom"/>
          </w:tcPr>
          <w:p>
            <w:pPr>
              <w:spacing w:after="0"/>
              <w:rPr>
                <w:sz w:val="9"/>
                <w:szCs w:val="9"/>
                <w:color w:val="auto"/>
              </w:rPr>
            </w:pPr>
          </w:p>
        </w:tc>
        <w:tc>
          <w:tcPr>
            <w:tcW w:w="860" w:type="dxa"/>
            <w:vAlign w:val="bottom"/>
            <w:gridSpan w:val="3"/>
          </w:tcPr>
          <w:p>
            <w:pPr>
              <w:jc w:val="right"/>
              <w:ind w:right="300"/>
              <w:spacing w:after="0" w:line="108" w:lineRule="exact"/>
              <w:rPr>
                <w:sz w:val="20"/>
                <w:szCs w:val="20"/>
                <w:color w:val="auto"/>
              </w:rPr>
            </w:pPr>
            <w:r>
              <w:rPr>
                <w:rFonts w:ascii="Arial" w:cs="Arial" w:eastAsia="Arial" w:hAnsi="Arial"/>
                <w:sz w:val="10"/>
                <w:szCs w:val="10"/>
                <w:color w:val="auto"/>
              </w:rPr>
              <w:t>59,436</w:t>
            </w:r>
          </w:p>
        </w:tc>
        <w:tc>
          <w:tcPr>
            <w:tcW w:w="60" w:type="dxa"/>
            <w:vAlign w:val="bottom"/>
          </w:tcPr>
          <w:p>
            <w:pPr>
              <w:spacing w:after="0"/>
              <w:rPr>
                <w:sz w:val="9"/>
                <w:szCs w:val="9"/>
                <w:color w:val="auto"/>
              </w:rPr>
            </w:pPr>
          </w:p>
        </w:tc>
        <w:tc>
          <w:tcPr>
            <w:tcW w:w="840" w:type="dxa"/>
            <w:vAlign w:val="bottom"/>
            <w:gridSpan w:val="2"/>
          </w:tcPr>
          <w:p>
            <w:pPr>
              <w:jc w:val="right"/>
              <w:ind w:right="248"/>
              <w:spacing w:after="0" w:line="108" w:lineRule="exact"/>
              <w:rPr>
                <w:sz w:val="20"/>
                <w:szCs w:val="20"/>
                <w:color w:val="auto"/>
              </w:rPr>
            </w:pPr>
            <w:r>
              <w:rPr>
                <w:rFonts w:ascii="Arial" w:cs="Arial" w:eastAsia="Arial" w:hAnsi="Arial"/>
                <w:sz w:val="10"/>
                <w:szCs w:val="10"/>
                <w:color w:val="auto"/>
              </w:rPr>
              <w:t>1,845</w:t>
            </w:r>
          </w:p>
        </w:tc>
        <w:tc>
          <w:tcPr>
            <w:tcW w:w="40" w:type="dxa"/>
            <w:vAlign w:val="bottom"/>
          </w:tcPr>
          <w:p>
            <w:pPr>
              <w:spacing w:after="0"/>
              <w:rPr>
                <w:sz w:val="9"/>
                <w:szCs w:val="9"/>
                <w:color w:val="auto"/>
              </w:rPr>
            </w:pPr>
          </w:p>
        </w:tc>
        <w:tc>
          <w:tcPr>
            <w:tcW w:w="8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15</w:t>
            </w:r>
          </w:p>
        </w:tc>
        <w:tc>
          <w:tcPr>
            <w:tcW w:w="60" w:type="dxa"/>
            <w:vAlign w:val="bottom"/>
          </w:tcPr>
          <w:p>
            <w:pPr>
              <w:spacing w:after="0"/>
              <w:rPr>
                <w:sz w:val="9"/>
                <w:szCs w:val="9"/>
                <w:color w:val="auto"/>
              </w:rPr>
            </w:pPr>
          </w:p>
        </w:tc>
        <w:tc>
          <w:tcPr>
            <w:tcW w:w="6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61,266</w:t>
            </w:r>
          </w:p>
        </w:tc>
        <w:tc>
          <w:tcPr>
            <w:tcW w:w="0" w:type="dxa"/>
            <w:vAlign w:val="bottom"/>
          </w:tcPr>
          <w:p>
            <w:pPr>
              <w:spacing w:after="0"/>
              <w:rPr>
                <w:sz w:val="1"/>
                <w:szCs w:val="1"/>
                <w:color w:val="auto"/>
              </w:rPr>
            </w:pPr>
          </w:p>
        </w:tc>
      </w:tr>
      <w:tr>
        <w:trPr>
          <w:trHeight w:val="108"/>
        </w:trPr>
        <w:tc>
          <w:tcPr>
            <w:tcW w:w="6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Other debt securities</w:t>
            </w:r>
          </w:p>
        </w:tc>
        <w:tc>
          <w:tcPr>
            <w:tcW w:w="60" w:type="dxa"/>
            <w:vAlign w:val="bottom"/>
            <w:shd w:val="clear" w:color="auto" w:fill="CCEEFF"/>
          </w:tcPr>
          <w:p>
            <w:pPr>
              <w:spacing w:after="0"/>
              <w:rPr>
                <w:sz w:val="9"/>
                <w:szCs w:val="9"/>
                <w:color w:val="auto"/>
              </w:rPr>
            </w:pPr>
          </w:p>
        </w:tc>
        <w:tc>
          <w:tcPr>
            <w:tcW w:w="860" w:type="dxa"/>
            <w:vAlign w:val="bottom"/>
            <w:gridSpan w:val="3"/>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5,463</w:t>
            </w:r>
          </w:p>
        </w:tc>
        <w:tc>
          <w:tcPr>
            <w:tcW w:w="6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5,463</w:t>
            </w:r>
          </w:p>
        </w:tc>
        <w:tc>
          <w:tcPr>
            <w:tcW w:w="0" w:type="dxa"/>
            <w:vAlign w:val="bottom"/>
          </w:tcPr>
          <w:p>
            <w:pPr>
              <w:spacing w:after="0"/>
              <w:rPr>
                <w:sz w:val="1"/>
                <w:szCs w:val="1"/>
                <w:color w:val="auto"/>
              </w:rPr>
            </w:pPr>
          </w:p>
        </w:tc>
      </w:tr>
      <w:tr>
        <w:trPr>
          <w:trHeight w:val="108"/>
        </w:trPr>
        <w:tc>
          <w:tcPr>
            <w:tcW w:w="66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64,899</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1,845</w:t>
            </w:r>
          </w:p>
        </w:tc>
        <w:tc>
          <w:tcPr>
            <w:tcW w:w="300" w:type="dxa"/>
            <w:vAlign w:val="bottom"/>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15</w:t>
            </w:r>
          </w:p>
        </w:tc>
        <w:tc>
          <w:tcPr>
            <w:tcW w:w="3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66,729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Other securities</w:t>
            </w:r>
          </w:p>
        </w:tc>
        <w:tc>
          <w:tcPr>
            <w:tcW w:w="60" w:type="dxa"/>
            <w:vAlign w:val="bottom"/>
            <w:shd w:val="clear" w:color="auto" w:fill="CCEEFF"/>
          </w:tcPr>
          <w:p>
            <w:pPr>
              <w:spacing w:after="0"/>
              <w:rPr>
                <w:sz w:val="9"/>
                <w:szCs w:val="9"/>
                <w:color w:val="auto"/>
              </w:rPr>
            </w:pPr>
          </w:p>
        </w:tc>
        <w:tc>
          <w:tcPr>
            <w:tcW w:w="860" w:type="dxa"/>
            <w:vAlign w:val="bottom"/>
            <w:gridSpan w:val="3"/>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356,851</w:t>
            </w:r>
          </w:p>
        </w:tc>
        <w:tc>
          <w:tcPr>
            <w:tcW w:w="6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356,851</w:t>
            </w:r>
          </w:p>
        </w:tc>
        <w:tc>
          <w:tcPr>
            <w:tcW w:w="0" w:type="dxa"/>
            <w:vAlign w:val="bottom"/>
          </w:tcPr>
          <w:p>
            <w:pPr>
              <w:spacing w:after="0"/>
              <w:rPr>
                <w:sz w:val="1"/>
                <w:szCs w:val="1"/>
                <w:color w:val="auto"/>
              </w:rPr>
            </w:pPr>
          </w:p>
        </w:tc>
      </w:tr>
      <w:tr>
        <w:trPr>
          <w:trHeight w:val="122"/>
        </w:trPr>
        <w:tc>
          <w:tcPr>
            <w:tcW w:w="6600" w:type="dxa"/>
            <w:vAlign w:val="bottom"/>
          </w:tcPr>
          <w:p>
            <w:pPr>
              <w:spacing w:after="0" w:line="108" w:lineRule="exact"/>
              <w:rPr>
                <w:sz w:val="20"/>
                <w:szCs w:val="20"/>
                <w:color w:val="auto"/>
              </w:rPr>
            </w:pPr>
            <w:r>
              <w:rPr>
                <w:rFonts w:ascii="Arial" w:cs="Arial" w:eastAsia="Arial" w:hAnsi="Arial"/>
                <w:sz w:val="10"/>
                <w:szCs w:val="10"/>
                <w:color w:val="auto"/>
              </w:rPr>
              <w:t>Total</w:t>
            </w: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7,300,082</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42,331</w:t>
            </w:r>
          </w:p>
        </w:tc>
        <w:tc>
          <w:tcPr>
            <w:tcW w:w="300" w:type="dxa"/>
            <w:vAlign w:val="bottom"/>
          </w:tcPr>
          <w:p>
            <w:pPr>
              <w:spacing w:after="0"/>
              <w:rPr>
                <w:sz w:val="10"/>
                <w:szCs w:val="10"/>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88,985</w:t>
            </w:r>
          </w:p>
        </w:tc>
        <w:tc>
          <w:tcPr>
            <w:tcW w:w="3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7,253,428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66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December 31, 2005</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600" w:type="dxa"/>
            <w:vAlign w:val="bottom"/>
          </w:tcPr>
          <w:p>
            <w:pPr>
              <w:spacing w:after="0" w:line="108" w:lineRule="exact"/>
              <w:rPr>
                <w:sz w:val="20"/>
                <w:szCs w:val="20"/>
                <w:color w:val="auto"/>
              </w:rPr>
            </w:pPr>
            <w:r>
              <w:rPr>
                <w:rFonts w:ascii="Arial" w:cs="Arial" w:eastAsia="Arial" w:hAnsi="Arial"/>
                <w:sz w:val="10"/>
                <w:szCs w:val="10"/>
                <w:color w:val="auto"/>
              </w:rPr>
              <w:t>Investment securities available for sale:</w:t>
            </w: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U.S. Treasury and federal agencies</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60" w:type="dxa"/>
            <w:vAlign w:val="bottom"/>
            <w:gridSpan w:val="3"/>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330,945</w:t>
            </w: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40</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7,779</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323,206</w:t>
            </w:r>
          </w:p>
        </w:tc>
        <w:tc>
          <w:tcPr>
            <w:tcW w:w="0" w:type="dxa"/>
            <w:vAlign w:val="bottom"/>
          </w:tcPr>
          <w:p>
            <w:pPr>
              <w:spacing w:after="0"/>
              <w:rPr>
                <w:sz w:val="1"/>
                <w:szCs w:val="1"/>
                <w:color w:val="auto"/>
              </w:rPr>
            </w:pPr>
          </w:p>
        </w:tc>
      </w:tr>
      <w:tr>
        <w:trPr>
          <w:trHeight w:val="108"/>
        </w:trPr>
        <w:tc>
          <w:tcPr>
            <w:tcW w:w="6600" w:type="dxa"/>
            <w:vAlign w:val="bottom"/>
          </w:tcPr>
          <w:p>
            <w:pPr>
              <w:spacing w:after="0" w:line="108" w:lineRule="exact"/>
              <w:rPr>
                <w:sz w:val="20"/>
                <w:szCs w:val="20"/>
                <w:color w:val="auto"/>
              </w:rPr>
            </w:pPr>
            <w:r>
              <w:rPr>
                <w:rFonts w:ascii="Arial" w:cs="Arial" w:eastAsia="Arial" w:hAnsi="Arial"/>
                <w:sz w:val="10"/>
                <w:szCs w:val="10"/>
                <w:color w:val="auto"/>
              </w:rPr>
              <w:t>Obligations of states and political subdivisions</w:t>
            </w:r>
          </w:p>
        </w:tc>
        <w:tc>
          <w:tcPr>
            <w:tcW w:w="60" w:type="dxa"/>
            <w:vAlign w:val="bottom"/>
          </w:tcPr>
          <w:p>
            <w:pPr>
              <w:spacing w:after="0"/>
              <w:rPr>
                <w:sz w:val="9"/>
                <w:szCs w:val="9"/>
                <w:color w:val="auto"/>
              </w:rPr>
            </w:pPr>
          </w:p>
        </w:tc>
        <w:tc>
          <w:tcPr>
            <w:tcW w:w="860" w:type="dxa"/>
            <w:vAlign w:val="bottom"/>
            <w:gridSpan w:val="3"/>
          </w:tcPr>
          <w:p>
            <w:pPr>
              <w:jc w:val="right"/>
              <w:ind w:right="300"/>
              <w:spacing w:after="0" w:line="108" w:lineRule="exact"/>
              <w:rPr>
                <w:sz w:val="20"/>
                <w:szCs w:val="20"/>
                <w:color w:val="auto"/>
              </w:rPr>
            </w:pPr>
            <w:r>
              <w:rPr>
                <w:rFonts w:ascii="Arial" w:cs="Arial" w:eastAsia="Arial" w:hAnsi="Arial"/>
                <w:sz w:val="10"/>
                <w:szCs w:val="10"/>
                <w:color w:val="auto"/>
              </w:rPr>
              <w:t>81,024</w:t>
            </w:r>
          </w:p>
        </w:tc>
        <w:tc>
          <w:tcPr>
            <w:tcW w:w="60" w:type="dxa"/>
            <w:vAlign w:val="bottom"/>
          </w:tcPr>
          <w:p>
            <w:pPr>
              <w:spacing w:after="0"/>
              <w:rPr>
                <w:sz w:val="9"/>
                <w:szCs w:val="9"/>
                <w:color w:val="auto"/>
              </w:rPr>
            </w:pPr>
          </w:p>
        </w:tc>
        <w:tc>
          <w:tcPr>
            <w:tcW w:w="840" w:type="dxa"/>
            <w:vAlign w:val="bottom"/>
            <w:gridSpan w:val="2"/>
          </w:tcPr>
          <w:p>
            <w:pPr>
              <w:jc w:val="right"/>
              <w:ind w:right="248"/>
              <w:spacing w:after="0" w:line="108" w:lineRule="exact"/>
              <w:rPr>
                <w:sz w:val="20"/>
                <w:szCs w:val="20"/>
                <w:color w:val="auto"/>
              </w:rPr>
            </w:pPr>
            <w:r>
              <w:rPr>
                <w:rFonts w:ascii="Arial" w:cs="Arial" w:eastAsia="Arial" w:hAnsi="Arial"/>
                <w:sz w:val="10"/>
                <w:szCs w:val="10"/>
                <w:color w:val="auto"/>
              </w:rPr>
              <w:t>3,912</w:t>
            </w:r>
          </w:p>
        </w:tc>
        <w:tc>
          <w:tcPr>
            <w:tcW w:w="40" w:type="dxa"/>
            <w:vAlign w:val="bottom"/>
          </w:tcPr>
          <w:p>
            <w:pPr>
              <w:spacing w:after="0"/>
              <w:rPr>
                <w:sz w:val="9"/>
                <w:szCs w:val="9"/>
                <w:color w:val="auto"/>
              </w:rPr>
            </w:pPr>
          </w:p>
        </w:tc>
        <w:tc>
          <w:tcPr>
            <w:tcW w:w="8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w:t>
            </w:r>
          </w:p>
        </w:tc>
        <w:tc>
          <w:tcPr>
            <w:tcW w:w="60" w:type="dxa"/>
            <w:vAlign w:val="bottom"/>
          </w:tcPr>
          <w:p>
            <w:pPr>
              <w:spacing w:after="0"/>
              <w:rPr>
                <w:sz w:val="9"/>
                <w:szCs w:val="9"/>
                <w:color w:val="auto"/>
              </w:rPr>
            </w:pPr>
          </w:p>
        </w:tc>
        <w:tc>
          <w:tcPr>
            <w:tcW w:w="6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84,935</w:t>
            </w:r>
          </w:p>
        </w:tc>
        <w:tc>
          <w:tcPr>
            <w:tcW w:w="0" w:type="dxa"/>
            <w:vAlign w:val="bottom"/>
          </w:tcPr>
          <w:p>
            <w:pPr>
              <w:spacing w:after="0"/>
              <w:rPr>
                <w:sz w:val="1"/>
                <w:szCs w:val="1"/>
                <w:color w:val="auto"/>
              </w:rPr>
            </w:pPr>
          </w:p>
        </w:tc>
      </w:tr>
      <w:tr>
        <w:trPr>
          <w:trHeight w:val="108"/>
        </w:trPr>
        <w:tc>
          <w:tcPr>
            <w:tcW w:w="6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Mortgage-backed securities:</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600" w:type="dxa"/>
            <w:vAlign w:val="bottom"/>
          </w:tcPr>
          <w:p>
            <w:pPr>
              <w:ind w:left="120"/>
              <w:spacing w:after="0" w:line="108" w:lineRule="exact"/>
              <w:rPr>
                <w:sz w:val="20"/>
                <w:szCs w:val="20"/>
                <w:color w:val="auto"/>
              </w:rPr>
            </w:pPr>
            <w:r>
              <w:rPr>
                <w:rFonts w:ascii="Arial" w:cs="Arial" w:eastAsia="Arial" w:hAnsi="Arial"/>
                <w:sz w:val="10"/>
                <w:szCs w:val="10"/>
                <w:color w:val="auto"/>
              </w:rPr>
              <w:t>Government issued or guaranteed</w:t>
            </w:r>
          </w:p>
        </w:tc>
        <w:tc>
          <w:tcPr>
            <w:tcW w:w="60" w:type="dxa"/>
            <w:vAlign w:val="bottom"/>
          </w:tcPr>
          <w:p>
            <w:pPr>
              <w:spacing w:after="0"/>
              <w:rPr>
                <w:sz w:val="9"/>
                <w:szCs w:val="9"/>
                <w:color w:val="auto"/>
              </w:rPr>
            </w:pPr>
          </w:p>
        </w:tc>
        <w:tc>
          <w:tcPr>
            <w:tcW w:w="58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rPr>
              <w:t>2,740,503</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tcPr>
          <w:p>
            <w:pPr>
              <w:jc w:val="right"/>
              <w:ind w:right="248"/>
              <w:spacing w:after="0" w:line="108" w:lineRule="exact"/>
              <w:rPr>
                <w:sz w:val="20"/>
                <w:szCs w:val="20"/>
                <w:color w:val="auto"/>
              </w:rPr>
            </w:pPr>
            <w:r>
              <w:rPr>
                <w:rFonts w:ascii="Arial" w:cs="Arial" w:eastAsia="Arial" w:hAnsi="Arial"/>
                <w:sz w:val="10"/>
                <w:szCs w:val="10"/>
                <w:color w:val="auto"/>
              </w:rPr>
              <w:t>8,047</w:t>
            </w:r>
          </w:p>
        </w:tc>
        <w:tc>
          <w:tcPr>
            <w:tcW w:w="40" w:type="dxa"/>
            <w:vAlign w:val="bottom"/>
          </w:tcPr>
          <w:p>
            <w:pPr>
              <w:spacing w:after="0"/>
              <w:rPr>
                <w:sz w:val="9"/>
                <w:szCs w:val="9"/>
                <w:color w:val="auto"/>
              </w:rPr>
            </w:pPr>
          </w:p>
        </w:tc>
        <w:tc>
          <w:tcPr>
            <w:tcW w:w="8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55,382</w:t>
            </w:r>
          </w:p>
        </w:tc>
        <w:tc>
          <w:tcPr>
            <w:tcW w:w="60" w:type="dxa"/>
            <w:vAlign w:val="bottom"/>
          </w:tcPr>
          <w:p>
            <w:pPr>
              <w:spacing w:after="0"/>
              <w:rPr>
                <w:sz w:val="9"/>
                <w:szCs w:val="9"/>
                <w:color w:val="auto"/>
              </w:rPr>
            </w:pPr>
          </w:p>
        </w:tc>
        <w:tc>
          <w:tcPr>
            <w:tcW w:w="6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2,693,168</w:t>
            </w:r>
          </w:p>
        </w:tc>
        <w:tc>
          <w:tcPr>
            <w:tcW w:w="0" w:type="dxa"/>
            <w:vAlign w:val="bottom"/>
          </w:tcPr>
          <w:p>
            <w:pPr>
              <w:spacing w:after="0"/>
              <w:rPr>
                <w:sz w:val="1"/>
                <w:szCs w:val="1"/>
                <w:color w:val="auto"/>
              </w:rPr>
            </w:pPr>
          </w:p>
        </w:tc>
      </w:tr>
      <w:tr>
        <w:trPr>
          <w:trHeight w:val="108"/>
        </w:trPr>
        <w:tc>
          <w:tcPr>
            <w:tcW w:w="66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Privately issued</w:t>
            </w:r>
          </w:p>
        </w:tc>
        <w:tc>
          <w:tcPr>
            <w:tcW w:w="6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20"/>
              <w:spacing w:after="0" w:line="108" w:lineRule="exact"/>
              <w:rPr>
                <w:sz w:val="20"/>
                <w:szCs w:val="20"/>
                <w:color w:val="auto"/>
              </w:rPr>
            </w:pPr>
            <w:r>
              <w:rPr>
                <w:rFonts w:ascii="Arial" w:cs="Arial" w:eastAsia="Arial" w:hAnsi="Arial"/>
                <w:sz w:val="10"/>
                <w:szCs w:val="10"/>
                <w:color w:val="auto"/>
              </w:rPr>
              <w:t>4,318,988</w:t>
            </w: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8,423</w:t>
            </w:r>
          </w:p>
        </w:tc>
        <w:tc>
          <w:tcPr>
            <w:tcW w:w="4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52,399</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4,275,012</w:t>
            </w:r>
          </w:p>
        </w:tc>
        <w:tc>
          <w:tcPr>
            <w:tcW w:w="0" w:type="dxa"/>
            <w:vAlign w:val="bottom"/>
          </w:tcPr>
          <w:p>
            <w:pPr>
              <w:spacing w:after="0"/>
              <w:rPr>
                <w:sz w:val="1"/>
                <w:szCs w:val="1"/>
                <w:color w:val="auto"/>
              </w:rPr>
            </w:pPr>
          </w:p>
        </w:tc>
      </w:tr>
      <w:tr>
        <w:trPr>
          <w:trHeight w:val="108"/>
        </w:trPr>
        <w:tc>
          <w:tcPr>
            <w:tcW w:w="6600" w:type="dxa"/>
            <w:vAlign w:val="bottom"/>
          </w:tcPr>
          <w:p>
            <w:pPr>
              <w:spacing w:after="0" w:line="108" w:lineRule="exact"/>
              <w:rPr>
                <w:sz w:val="20"/>
                <w:szCs w:val="20"/>
                <w:color w:val="auto"/>
              </w:rPr>
            </w:pPr>
            <w:r>
              <w:rPr>
                <w:rFonts w:ascii="Arial" w:cs="Arial" w:eastAsia="Arial" w:hAnsi="Arial"/>
                <w:sz w:val="10"/>
                <w:szCs w:val="10"/>
                <w:color w:val="auto"/>
              </w:rPr>
              <w:t>Other debt securities</w:t>
            </w:r>
          </w:p>
        </w:tc>
        <w:tc>
          <w:tcPr>
            <w:tcW w:w="60" w:type="dxa"/>
            <w:vAlign w:val="bottom"/>
          </w:tcPr>
          <w:p>
            <w:pPr>
              <w:spacing w:after="0"/>
              <w:rPr>
                <w:sz w:val="9"/>
                <w:szCs w:val="9"/>
                <w:color w:val="auto"/>
              </w:rPr>
            </w:pPr>
          </w:p>
        </w:tc>
        <w:tc>
          <w:tcPr>
            <w:tcW w:w="860" w:type="dxa"/>
            <w:vAlign w:val="bottom"/>
            <w:gridSpan w:val="3"/>
          </w:tcPr>
          <w:p>
            <w:pPr>
              <w:jc w:val="right"/>
              <w:ind w:right="300"/>
              <w:spacing w:after="0" w:line="108" w:lineRule="exact"/>
              <w:rPr>
                <w:sz w:val="20"/>
                <w:szCs w:val="20"/>
                <w:color w:val="auto"/>
              </w:rPr>
            </w:pPr>
            <w:r>
              <w:rPr>
                <w:rFonts w:ascii="Arial" w:cs="Arial" w:eastAsia="Arial" w:hAnsi="Arial"/>
                <w:sz w:val="10"/>
                <w:szCs w:val="10"/>
                <w:color w:val="auto"/>
              </w:rPr>
              <w:t>144,967</w:t>
            </w:r>
          </w:p>
        </w:tc>
        <w:tc>
          <w:tcPr>
            <w:tcW w:w="60" w:type="dxa"/>
            <w:vAlign w:val="bottom"/>
          </w:tcPr>
          <w:p>
            <w:pPr>
              <w:spacing w:after="0"/>
              <w:rPr>
                <w:sz w:val="9"/>
                <w:szCs w:val="9"/>
                <w:color w:val="auto"/>
              </w:rPr>
            </w:pPr>
          </w:p>
        </w:tc>
        <w:tc>
          <w:tcPr>
            <w:tcW w:w="840" w:type="dxa"/>
            <w:vAlign w:val="bottom"/>
            <w:gridSpan w:val="2"/>
          </w:tcPr>
          <w:p>
            <w:pPr>
              <w:jc w:val="right"/>
              <w:ind w:right="248"/>
              <w:spacing w:after="0" w:line="108" w:lineRule="exact"/>
              <w:rPr>
                <w:sz w:val="20"/>
                <w:szCs w:val="20"/>
                <w:color w:val="auto"/>
              </w:rPr>
            </w:pPr>
            <w:r>
              <w:rPr>
                <w:rFonts w:ascii="Arial" w:cs="Arial" w:eastAsia="Arial" w:hAnsi="Arial"/>
                <w:sz w:val="10"/>
                <w:szCs w:val="10"/>
                <w:color w:val="auto"/>
              </w:rPr>
              <w:t>6,904</w:t>
            </w:r>
          </w:p>
        </w:tc>
        <w:tc>
          <w:tcPr>
            <w:tcW w:w="40" w:type="dxa"/>
            <w:vAlign w:val="bottom"/>
          </w:tcPr>
          <w:p>
            <w:pPr>
              <w:spacing w:after="0"/>
              <w:rPr>
                <w:sz w:val="9"/>
                <w:szCs w:val="9"/>
                <w:color w:val="auto"/>
              </w:rPr>
            </w:pPr>
          </w:p>
        </w:tc>
        <w:tc>
          <w:tcPr>
            <w:tcW w:w="8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1,133</w:t>
            </w:r>
          </w:p>
        </w:tc>
        <w:tc>
          <w:tcPr>
            <w:tcW w:w="60" w:type="dxa"/>
            <w:vAlign w:val="bottom"/>
          </w:tcPr>
          <w:p>
            <w:pPr>
              <w:spacing w:after="0"/>
              <w:rPr>
                <w:sz w:val="9"/>
                <w:szCs w:val="9"/>
                <w:color w:val="auto"/>
              </w:rPr>
            </w:pPr>
          </w:p>
        </w:tc>
        <w:tc>
          <w:tcPr>
            <w:tcW w:w="6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150,738</w:t>
            </w:r>
          </w:p>
        </w:tc>
        <w:tc>
          <w:tcPr>
            <w:tcW w:w="0" w:type="dxa"/>
            <w:vAlign w:val="bottom"/>
          </w:tcPr>
          <w:p>
            <w:pPr>
              <w:spacing w:after="0"/>
              <w:rPr>
                <w:sz w:val="1"/>
                <w:szCs w:val="1"/>
                <w:color w:val="auto"/>
              </w:rPr>
            </w:pPr>
          </w:p>
        </w:tc>
      </w:tr>
      <w:tr>
        <w:trPr>
          <w:trHeight w:val="108"/>
        </w:trPr>
        <w:tc>
          <w:tcPr>
            <w:tcW w:w="6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Equity securities</w:t>
            </w:r>
          </w:p>
        </w:tc>
        <w:tc>
          <w:tcPr>
            <w:tcW w:w="60" w:type="dxa"/>
            <w:vAlign w:val="bottom"/>
            <w:shd w:val="clear" w:color="auto" w:fill="CCEEFF"/>
          </w:tcPr>
          <w:p>
            <w:pPr>
              <w:spacing w:after="0"/>
              <w:rPr>
                <w:sz w:val="9"/>
                <w:szCs w:val="9"/>
                <w:color w:val="auto"/>
              </w:rPr>
            </w:pPr>
          </w:p>
        </w:tc>
        <w:tc>
          <w:tcPr>
            <w:tcW w:w="860" w:type="dxa"/>
            <w:vAlign w:val="bottom"/>
            <w:gridSpan w:val="3"/>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395,134</w:t>
            </w:r>
          </w:p>
        </w:tc>
        <w:tc>
          <w:tcPr>
            <w:tcW w:w="6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11,512</w:t>
            </w:r>
          </w:p>
        </w:tc>
        <w:tc>
          <w:tcPr>
            <w:tcW w:w="4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2,002</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404,644</w:t>
            </w:r>
          </w:p>
        </w:tc>
        <w:tc>
          <w:tcPr>
            <w:tcW w:w="0" w:type="dxa"/>
            <w:vAlign w:val="bottom"/>
          </w:tcPr>
          <w:p>
            <w:pPr>
              <w:spacing w:after="0"/>
              <w:rPr>
                <w:sz w:val="1"/>
                <w:szCs w:val="1"/>
                <w:color w:val="auto"/>
              </w:rPr>
            </w:pPr>
          </w:p>
        </w:tc>
      </w:tr>
      <w:tr>
        <w:trPr>
          <w:trHeight w:val="108"/>
        </w:trPr>
        <w:tc>
          <w:tcPr>
            <w:tcW w:w="66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8,011,561</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38,838</w:t>
            </w:r>
          </w:p>
        </w:tc>
        <w:tc>
          <w:tcPr>
            <w:tcW w:w="300" w:type="dxa"/>
            <w:vAlign w:val="bottom"/>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118,696</w:t>
            </w:r>
          </w:p>
        </w:tc>
        <w:tc>
          <w:tcPr>
            <w:tcW w:w="3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7,931,703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Investment securities held to maturity:</w:t>
            </w: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600" w:type="dxa"/>
            <w:vAlign w:val="bottom"/>
          </w:tcPr>
          <w:p>
            <w:pPr>
              <w:spacing w:after="0" w:line="108" w:lineRule="exact"/>
              <w:rPr>
                <w:sz w:val="20"/>
                <w:szCs w:val="20"/>
                <w:color w:val="auto"/>
              </w:rPr>
            </w:pPr>
            <w:r>
              <w:rPr>
                <w:rFonts w:ascii="Arial" w:cs="Arial" w:eastAsia="Arial" w:hAnsi="Arial"/>
                <w:sz w:val="10"/>
                <w:szCs w:val="10"/>
                <w:color w:val="auto"/>
              </w:rPr>
              <w:t>Obligations of states and political subdivisions</w:t>
            </w:r>
          </w:p>
        </w:tc>
        <w:tc>
          <w:tcPr>
            <w:tcW w:w="60" w:type="dxa"/>
            <w:vAlign w:val="bottom"/>
          </w:tcPr>
          <w:p>
            <w:pPr>
              <w:spacing w:after="0"/>
              <w:rPr>
                <w:sz w:val="9"/>
                <w:szCs w:val="9"/>
                <w:color w:val="auto"/>
              </w:rPr>
            </w:pPr>
          </w:p>
        </w:tc>
        <w:tc>
          <w:tcPr>
            <w:tcW w:w="860" w:type="dxa"/>
            <w:vAlign w:val="bottom"/>
            <w:gridSpan w:val="3"/>
          </w:tcPr>
          <w:p>
            <w:pPr>
              <w:jc w:val="right"/>
              <w:ind w:right="300"/>
              <w:spacing w:after="0" w:line="108" w:lineRule="exact"/>
              <w:rPr>
                <w:sz w:val="20"/>
                <w:szCs w:val="20"/>
                <w:color w:val="auto"/>
              </w:rPr>
            </w:pPr>
            <w:r>
              <w:rPr>
                <w:rFonts w:ascii="Arial" w:cs="Arial" w:eastAsia="Arial" w:hAnsi="Arial"/>
                <w:sz w:val="10"/>
                <w:szCs w:val="10"/>
                <w:color w:val="auto"/>
              </w:rPr>
              <w:t>97,003</w:t>
            </w:r>
          </w:p>
        </w:tc>
        <w:tc>
          <w:tcPr>
            <w:tcW w:w="60" w:type="dxa"/>
            <w:vAlign w:val="bottom"/>
          </w:tcPr>
          <w:p>
            <w:pPr>
              <w:spacing w:after="0"/>
              <w:rPr>
                <w:sz w:val="9"/>
                <w:szCs w:val="9"/>
                <w:color w:val="auto"/>
              </w:rPr>
            </w:pPr>
          </w:p>
        </w:tc>
        <w:tc>
          <w:tcPr>
            <w:tcW w:w="840" w:type="dxa"/>
            <w:vAlign w:val="bottom"/>
            <w:gridSpan w:val="2"/>
          </w:tcPr>
          <w:p>
            <w:pPr>
              <w:jc w:val="right"/>
              <w:ind w:right="248"/>
              <w:spacing w:after="0" w:line="108" w:lineRule="exact"/>
              <w:rPr>
                <w:sz w:val="20"/>
                <w:szCs w:val="20"/>
                <w:color w:val="auto"/>
              </w:rPr>
            </w:pPr>
            <w:r>
              <w:rPr>
                <w:rFonts w:ascii="Arial" w:cs="Arial" w:eastAsia="Arial" w:hAnsi="Arial"/>
                <w:sz w:val="10"/>
                <w:szCs w:val="10"/>
                <w:color w:val="auto"/>
              </w:rPr>
              <w:t>1,955</w:t>
            </w:r>
          </w:p>
        </w:tc>
        <w:tc>
          <w:tcPr>
            <w:tcW w:w="40" w:type="dxa"/>
            <w:vAlign w:val="bottom"/>
          </w:tcPr>
          <w:p>
            <w:pPr>
              <w:spacing w:after="0"/>
              <w:rPr>
                <w:sz w:val="9"/>
                <w:szCs w:val="9"/>
                <w:color w:val="auto"/>
              </w:rPr>
            </w:pPr>
          </w:p>
        </w:tc>
        <w:tc>
          <w:tcPr>
            <w:tcW w:w="840" w:type="dxa"/>
            <w:vAlign w:val="bottom"/>
            <w:gridSpan w:val="2"/>
          </w:tcPr>
          <w:p>
            <w:pPr>
              <w:jc w:val="right"/>
              <w:ind w:right="300"/>
              <w:spacing w:after="0" w:line="108" w:lineRule="exact"/>
              <w:rPr>
                <w:sz w:val="20"/>
                <w:szCs w:val="20"/>
                <w:color w:val="auto"/>
              </w:rPr>
            </w:pPr>
            <w:r>
              <w:rPr>
                <w:rFonts w:ascii="Arial" w:cs="Arial" w:eastAsia="Arial" w:hAnsi="Arial"/>
                <w:sz w:val="10"/>
                <w:szCs w:val="10"/>
                <w:color w:val="auto"/>
              </w:rPr>
              <w:t>134</w:t>
            </w:r>
          </w:p>
        </w:tc>
        <w:tc>
          <w:tcPr>
            <w:tcW w:w="60" w:type="dxa"/>
            <w:vAlign w:val="bottom"/>
          </w:tcPr>
          <w:p>
            <w:pPr>
              <w:spacing w:after="0"/>
              <w:rPr>
                <w:sz w:val="9"/>
                <w:szCs w:val="9"/>
                <w:color w:val="auto"/>
              </w:rPr>
            </w:pPr>
          </w:p>
        </w:tc>
        <w:tc>
          <w:tcPr>
            <w:tcW w:w="6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98,824</w:t>
            </w:r>
          </w:p>
        </w:tc>
        <w:tc>
          <w:tcPr>
            <w:tcW w:w="0" w:type="dxa"/>
            <w:vAlign w:val="bottom"/>
          </w:tcPr>
          <w:p>
            <w:pPr>
              <w:spacing w:after="0"/>
              <w:rPr>
                <w:sz w:val="1"/>
                <w:szCs w:val="1"/>
                <w:color w:val="auto"/>
              </w:rPr>
            </w:pPr>
          </w:p>
        </w:tc>
      </w:tr>
      <w:tr>
        <w:trPr>
          <w:trHeight w:val="108"/>
        </w:trPr>
        <w:tc>
          <w:tcPr>
            <w:tcW w:w="6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Other debt securities</w:t>
            </w:r>
          </w:p>
        </w:tc>
        <w:tc>
          <w:tcPr>
            <w:tcW w:w="60" w:type="dxa"/>
            <w:vAlign w:val="bottom"/>
            <w:shd w:val="clear" w:color="auto" w:fill="CCEEFF"/>
          </w:tcPr>
          <w:p>
            <w:pPr>
              <w:spacing w:after="0"/>
              <w:rPr>
                <w:sz w:val="9"/>
                <w:szCs w:val="9"/>
                <w:color w:val="auto"/>
              </w:rPr>
            </w:pPr>
          </w:p>
        </w:tc>
        <w:tc>
          <w:tcPr>
            <w:tcW w:w="860" w:type="dxa"/>
            <w:vAlign w:val="bottom"/>
            <w:gridSpan w:val="3"/>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4,056</w:t>
            </w:r>
          </w:p>
        </w:tc>
        <w:tc>
          <w:tcPr>
            <w:tcW w:w="6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4,056</w:t>
            </w:r>
          </w:p>
        </w:tc>
        <w:tc>
          <w:tcPr>
            <w:tcW w:w="0" w:type="dxa"/>
            <w:vAlign w:val="bottom"/>
          </w:tcPr>
          <w:p>
            <w:pPr>
              <w:spacing w:after="0"/>
              <w:rPr>
                <w:sz w:val="1"/>
                <w:szCs w:val="1"/>
                <w:color w:val="auto"/>
              </w:rPr>
            </w:pPr>
          </w:p>
        </w:tc>
      </w:tr>
      <w:tr>
        <w:trPr>
          <w:trHeight w:val="108"/>
        </w:trPr>
        <w:tc>
          <w:tcPr>
            <w:tcW w:w="66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101,059</w:t>
            </w: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1,955</w:t>
            </w:r>
          </w:p>
        </w:tc>
        <w:tc>
          <w:tcPr>
            <w:tcW w:w="300" w:type="dxa"/>
            <w:vAlign w:val="bottom"/>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134</w:t>
            </w:r>
          </w:p>
        </w:tc>
        <w:tc>
          <w:tcPr>
            <w:tcW w:w="3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102,880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6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Other securities</w:t>
            </w:r>
          </w:p>
        </w:tc>
        <w:tc>
          <w:tcPr>
            <w:tcW w:w="60" w:type="dxa"/>
            <w:vAlign w:val="bottom"/>
            <w:shd w:val="clear" w:color="auto" w:fill="CCEEFF"/>
          </w:tcPr>
          <w:p>
            <w:pPr>
              <w:spacing w:after="0"/>
              <w:rPr>
                <w:sz w:val="9"/>
                <w:szCs w:val="9"/>
                <w:color w:val="auto"/>
              </w:rPr>
            </w:pPr>
          </w:p>
        </w:tc>
        <w:tc>
          <w:tcPr>
            <w:tcW w:w="860" w:type="dxa"/>
            <w:vAlign w:val="bottom"/>
            <w:gridSpan w:val="3"/>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367,402</w:t>
            </w:r>
          </w:p>
        </w:tc>
        <w:tc>
          <w:tcPr>
            <w:tcW w:w="6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48"/>
              <w:spacing w:after="0" w:line="108"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367,402</w:t>
            </w:r>
          </w:p>
        </w:tc>
        <w:tc>
          <w:tcPr>
            <w:tcW w:w="0" w:type="dxa"/>
            <w:vAlign w:val="bottom"/>
          </w:tcPr>
          <w:p>
            <w:pPr>
              <w:spacing w:after="0"/>
              <w:rPr>
                <w:sz w:val="1"/>
                <w:szCs w:val="1"/>
                <w:color w:val="auto"/>
              </w:rPr>
            </w:pPr>
          </w:p>
        </w:tc>
      </w:tr>
      <w:tr>
        <w:trPr>
          <w:trHeight w:val="117"/>
        </w:trPr>
        <w:tc>
          <w:tcPr>
            <w:tcW w:w="6600" w:type="dxa"/>
            <w:vAlign w:val="bottom"/>
          </w:tcPr>
          <w:p>
            <w:pPr>
              <w:spacing w:after="0" w:line="108" w:lineRule="exact"/>
              <w:rPr>
                <w:sz w:val="20"/>
                <w:szCs w:val="20"/>
                <w:color w:val="auto"/>
              </w:rPr>
            </w:pPr>
            <w:r>
              <w:rPr>
                <w:rFonts w:ascii="Arial" w:cs="Arial" w:eastAsia="Arial" w:hAnsi="Arial"/>
                <w:sz w:val="10"/>
                <w:szCs w:val="10"/>
                <w:color w:val="auto"/>
              </w:rPr>
              <w:t>Total</w:t>
            </w: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8,480,022</w:t>
            </w:r>
          </w:p>
        </w:tc>
        <w:tc>
          <w:tcPr>
            <w:tcW w:w="2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40,793</w:t>
            </w:r>
          </w:p>
        </w:tc>
        <w:tc>
          <w:tcPr>
            <w:tcW w:w="300" w:type="dxa"/>
            <w:vAlign w:val="bottom"/>
          </w:tcPr>
          <w:p>
            <w:pPr>
              <w:spacing w:after="0"/>
              <w:rPr>
                <w:sz w:val="10"/>
                <w:szCs w:val="10"/>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118,830</w:t>
            </w:r>
          </w:p>
        </w:tc>
        <w:tc>
          <w:tcPr>
            <w:tcW w:w="3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8,401,985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No investment in securities of a single non-U.S. Government or government agency issuer exceeded ten percent of stockholders’ equity at December 31, 2006.</w:t>
      </w:r>
    </w:p>
    <w:p>
      <w:pPr>
        <w:spacing w:after="0" w:line="18"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As of December 31, 2006, the latest available investment ratings of all privately issued mortgage-backed securities were A or better, with the exception of 17</w:t>
      </w:r>
    </w:p>
    <w:p>
      <w:pPr>
        <w:spacing w:after="0" w:line="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securities with an aggregate amortized cost and estimated fair value of $74,646,000 and $76,384,000, respectively.</w:t>
      </w:r>
    </w:p>
    <w:p>
      <w:pPr>
        <w:spacing w:after="0" w:line="6"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The amortized cost and estimated fair value of collateralized mortgage obligations included in mortgage-backed securities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580" w:type="dxa"/>
            <w:vAlign w:val="bottom"/>
          </w:tcPr>
          <w:p>
            <w:pPr>
              <w:spacing w:after="0"/>
              <w:rPr>
                <w:sz w:val="10"/>
                <w:szCs w:val="10"/>
                <w:color w:val="auto"/>
              </w:rPr>
            </w:pPr>
          </w:p>
        </w:tc>
        <w:tc>
          <w:tcPr>
            <w:tcW w:w="13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0"/>
                <w:szCs w:val="10"/>
                <w:b w:val="1"/>
                <w:bCs w:val="1"/>
                <w:color w:val="auto"/>
              </w:rPr>
              <w:t>December 31</w:t>
            </w:r>
          </w:p>
        </w:tc>
        <w:tc>
          <w:tcPr>
            <w:tcW w:w="620" w:type="dxa"/>
            <w:vAlign w:val="bottom"/>
            <w:tcBorders>
              <w:bottom w:val="single" w:sz="8" w:color="auto"/>
            </w:tcBorders>
          </w:tcPr>
          <w:p>
            <w:pPr>
              <w:spacing w:after="0"/>
              <w:rPr>
                <w:sz w:val="10"/>
                <w:szCs w:val="10"/>
                <w:color w:val="auto"/>
              </w:rPr>
            </w:pPr>
          </w:p>
        </w:tc>
        <w:tc>
          <w:tcPr>
            <w:tcW w:w="900" w:type="dxa"/>
            <w:vAlign w:val="bottom"/>
          </w:tcPr>
          <w:p>
            <w:pPr>
              <w:spacing w:after="0"/>
              <w:rPr>
                <w:sz w:val="10"/>
                <w:szCs w:val="10"/>
                <w:color w:val="auto"/>
              </w:rPr>
            </w:pPr>
          </w:p>
        </w:tc>
      </w:tr>
      <w:tr>
        <w:trPr>
          <w:trHeight w:val="98"/>
        </w:trPr>
        <w:tc>
          <w:tcPr>
            <w:tcW w:w="8580" w:type="dxa"/>
            <w:vAlign w:val="bottom"/>
          </w:tcPr>
          <w:p>
            <w:pPr>
              <w:spacing w:after="0"/>
              <w:rPr>
                <w:sz w:val="8"/>
                <w:szCs w:val="8"/>
                <w:color w:val="auto"/>
              </w:rPr>
            </w:pPr>
          </w:p>
        </w:tc>
        <w:tc>
          <w:tcPr>
            <w:tcW w:w="800" w:type="dxa"/>
            <w:vAlign w:val="bottom"/>
            <w:tcBorders>
              <w:bottom w:val="single" w:sz="8" w:color="auto"/>
            </w:tcBorders>
          </w:tcPr>
          <w:p>
            <w:pPr>
              <w:jc w:val="right"/>
              <w:ind w:right="240"/>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15"/>
              <w:spacing w:after="0" w:line="98" w:lineRule="exact"/>
              <w:rPr>
                <w:sz w:val="20"/>
                <w:szCs w:val="20"/>
                <w:color w:val="auto"/>
              </w:rPr>
            </w:pPr>
            <w:r>
              <w:rPr>
                <w:rFonts w:ascii="Arial" w:cs="Arial" w:eastAsia="Arial" w:hAnsi="Arial"/>
                <w:sz w:val="10"/>
                <w:szCs w:val="10"/>
                <w:b w:val="1"/>
                <w:bCs w:val="1"/>
                <w:color w:val="auto"/>
              </w:rPr>
              <w:t>2005</w:t>
            </w:r>
          </w:p>
        </w:tc>
        <w:tc>
          <w:tcPr>
            <w:tcW w:w="900" w:type="dxa"/>
            <w:vAlign w:val="bottom"/>
          </w:tcPr>
          <w:p>
            <w:pPr>
              <w:spacing w:after="0"/>
              <w:rPr>
                <w:sz w:val="8"/>
                <w:szCs w:val="8"/>
                <w:color w:val="auto"/>
              </w:rPr>
            </w:pPr>
          </w:p>
        </w:tc>
      </w:tr>
      <w:tr>
        <w:trPr>
          <w:trHeight w:val="125"/>
        </w:trPr>
        <w:tc>
          <w:tcPr>
            <w:tcW w:w="85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560" w:type="dxa"/>
            <w:vAlign w:val="bottom"/>
            <w:gridSpan w:val="2"/>
          </w:tcPr>
          <w:p>
            <w:pPr>
              <w:jc w:val="right"/>
              <w:spacing w:after="0"/>
              <w:rPr>
                <w:sz w:val="20"/>
                <w:szCs w:val="20"/>
                <w:color w:val="auto"/>
              </w:rPr>
            </w:pPr>
            <w:r>
              <w:rPr>
                <w:rFonts w:ascii="Arial" w:cs="Arial" w:eastAsia="Arial" w:hAnsi="Arial"/>
                <w:sz w:val="10"/>
                <w:szCs w:val="10"/>
                <w:b w:val="1"/>
                <w:bCs w:val="1"/>
                <w:color w:val="auto"/>
                <w:w w:val="92"/>
              </w:rPr>
              <w:t>thousands)</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67"/>
        </w:trPr>
        <w:tc>
          <w:tcPr>
            <w:tcW w:w="8580" w:type="dxa"/>
            <w:vAlign w:val="bottom"/>
          </w:tcPr>
          <w:p>
            <w:pPr>
              <w:ind w:left="680"/>
              <w:spacing w:after="0"/>
              <w:rPr>
                <w:sz w:val="20"/>
                <w:szCs w:val="20"/>
                <w:color w:val="auto"/>
              </w:rPr>
            </w:pPr>
            <w:r>
              <w:rPr>
                <w:rFonts w:ascii="Arial" w:cs="Arial" w:eastAsia="Arial" w:hAnsi="Arial"/>
                <w:sz w:val="14"/>
                <w:szCs w:val="14"/>
                <w:color w:val="auto"/>
              </w:rPr>
              <w:t>Amortized cost</w:t>
            </w:r>
          </w:p>
        </w:tc>
        <w:tc>
          <w:tcPr>
            <w:tcW w:w="1180" w:type="dxa"/>
            <w:vAlign w:val="bottom"/>
            <w:gridSpan w:val="2"/>
          </w:tcPr>
          <w:p>
            <w:pPr>
              <w:jc w:val="right"/>
              <w:ind w:right="328"/>
              <w:spacing w:after="0"/>
              <w:rPr>
                <w:sz w:val="20"/>
                <w:szCs w:val="20"/>
                <w:color w:val="auto"/>
              </w:rPr>
            </w:pPr>
            <w:r>
              <w:rPr>
                <w:rFonts w:ascii="Arial" w:cs="Arial" w:eastAsia="Arial" w:hAnsi="Arial"/>
                <w:sz w:val="14"/>
                <w:szCs w:val="14"/>
                <w:color w:val="auto"/>
              </w:rPr>
              <w:t>$  4,837,695</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900"/>
              <w:spacing w:after="0"/>
              <w:rPr>
                <w:sz w:val="20"/>
                <w:szCs w:val="20"/>
                <w:color w:val="auto"/>
              </w:rPr>
            </w:pPr>
            <w:r>
              <w:rPr>
                <w:rFonts w:ascii="Arial" w:cs="Arial" w:eastAsia="Arial" w:hAnsi="Arial"/>
                <w:sz w:val="14"/>
                <w:szCs w:val="14"/>
                <w:color w:val="auto"/>
                <w:w w:val="96"/>
              </w:rPr>
              <w:t>5,837,340</w:t>
            </w:r>
          </w:p>
        </w:tc>
      </w:tr>
      <w:tr>
        <w:trPr>
          <w:trHeight w:val="182"/>
        </w:trPr>
        <w:tc>
          <w:tcPr>
            <w:tcW w:w="8580" w:type="dxa"/>
            <w:vAlign w:val="bottom"/>
          </w:tcPr>
          <w:p>
            <w:pPr>
              <w:ind w:left="680"/>
              <w:spacing w:after="0"/>
              <w:rPr>
                <w:sz w:val="20"/>
                <w:szCs w:val="20"/>
                <w:color w:val="auto"/>
              </w:rPr>
            </w:pPr>
            <w:r>
              <w:rPr>
                <w:rFonts w:ascii="Arial" w:cs="Arial" w:eastAsia="Arial" w:hAnsi="Arial"/>
                <w:sz w:val="14"/>
                <w:szCs w:val="14"/>
                <w:color w:val="auto"/>
              </w:rPr>
              <w:t>Estimated fair value</w:t>
            </w:r>
          </w:p>
        </w:tc>
        <w:tc>
          <w:tcPr>
            <w:tcW w:w="1180" w:type="dxa"/>
            <w:vAlign w:val="bottom"/>
            <w:gridSpan w:val="2"/>
          </w:tcPr>
          <w:p>
            <w:pPr>
              <w:jc w:val="right"/>
              <w:ind w:right="328"/>
              <w:spacing w:after="0"/>
              <w:rPr>
                <w:sz w:val="20"/>
                <w:szCs w:val="20"/>
                <w:color w:val="auto"/>
              </w:rPr>
            </w:pPr>
            <w:r>
              <w:rPr>
                <w:rFonts w:ascii="Arial" w:cs="Arial" w:eastAsia="Arial" w:hAnsi="Arial"/>
                <w:sz w:val="14"/>
                <w:szCs w:val="14"/>
                <w:color w:val="auto"/>
              </w:rPr>
              <w:t>4,774,812</w:t>
            </w:r>
          </w:p>
        </w:tc>
        <w:tc>
          <w:tcPr>
            <w:tcW w:w="180" w:type="dxa"/>
            <w:vAlign w:val="bottom"/>
          </w:tcPr>
          <w:p>
            <w:pPr>
              <w:spacing w:after="0"/>
              <w:rPr>
                <w:sz w:val="15"/>
                <w:szCs w:val="15"/>
                <w:color w:val="auto"/>
              </w:rPr>
            </w:pPr>
          </w:p>
        </w:tc>
        <w:tc>
          <w:tcPr>
            <w:tcW w:w="1520" w:type="dxa"/>
            <w:vAlign w:val="bottom"/>
            <w:gridSpan w:val="2"/>
          </w:tcPr>
          <w:p>
            <w:pPr>
              <w:jc w:val="right"/>
              <w:ind w:right="900"/>
              <w:spacing w:after="0"/>
              <w:rPr>
                <w:sz w:val="20"/>
                <w:szCs w:val="20"/>
                <w:color w:val="auto"/>
              </w:rPr>
            </w:pPr>
            <w:r>
              <w:rPr>
                <w:rFonts w:ascii="Arial" w:cs="Arial" w:eastAsia="Arial" w:hAnsi="Arial"/>
                <w:sz w:val="14"/>
                <w:szCs w:val="14"/>
                <w:color w:val="auto"/>
                <w:w w:val="96"/>
              </w:rPr>
              <w:t>5,753,823</w:t>
            </w:r>
          </w:p>
        </w:tc>
      </w:tr>
      <w:tr>
        <w:trPr>
          <w:trHeight w:val="307"/>
        </w:trPr>
        <w:tc>
          <w:tcPr>
            <w:tcW w:w="8580" w:type="dxa"/>
            <w:vAlign w:val="bottom"/>
          </w:tcPr>
          <w:p>
            <w:pPr>
              <w:ind w:left="680"/>
              <w:spacing w:after="0"/>
              <w:rPr>
                <w:sz w:val="20"/>
                <w:szCs w:val="20"/>
                <w:color w:val="auto"/>
              </w:rPr>
            </w:pPr>
            <w:r>
              <w:rPr>
                <w:rFonts w:ascii="Arial" w:cs="Arial" w:eastAsia="Arial" w:hAnsi="Arial"/>
                <w:sz w:val="12"/>
                <w:szCs w:val="12"/>
                <w:color w:val="auto"/>
              </w:rPr>
              <w:t>90</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7"/>
        </w:trPr>
        <w:tc>
          <w:tcPr>
            <w:tcW w:w="85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1" w:name="page92"/>
    <w:bookmarkEnd w:id="9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56" w:lineRule="exact"/>
        <w:rPr>
          <w:sz w:val="20"/>
          <w:szCs w:val="20"/>
          <w:color w:val="auto"/>
        </w:rPr>
      </w:pPr>
    </w:p>
    <w:p>
      <w:pPr>
        <w:ind w:left="680" w:right="100" w:firstLine="599"/>
        <w:spacing w:after="0" w:line="271" w:lineRule="auto"/>
        <w:rPr>
          <w:sz w:val="20"/>
          <w:szCs w:val="20"/>
          <w:color w:val="auto"/>
        </w:rPr>
      </w:pPr>
      <w:r>
        <w:rPr>
          <w:rFonts w:ascii="Arial" w:cs="Arial" w:eastAsia="Arial" w:hAnsi="Arial"/>
          <w:sz w:val="13"/>
          <w:szCs w:val="13"/>
          <w:color w:val="auto"/>
        </w:rPr>
        <w:t>Gross realized gains on the sale of investment securities were $2,735,000 in 2006, $1,464,000 in 2005 and $6,084,000 in 2004. Gross realized losses on investment securities were $169,000 in 2006, $414,000 in 2005 and $3,210,000 in 2004. During 2005, the Company recognized a $29,183,000 other-than-temporary impairment charge related to $132,900,000 of variable rate preferred stock issuances of the Federal National Mortgage Association (“FNMA”) and the Federal Home Loan Mortgage Corporation (“FHLMC”). Although the securities were rated as investment grade, the Company recognized the impairment charge, in accordance with generally accepted accounting principles, in light of changing circumstances during 2005 that included an announced further delay in FNMA’s ability to provide restated financial information about its results of operations and a further decline in the market value of certain of FHLMC’s preferred stock issuances despite its release of operating results. As of December 31, 2006, the fair value of those securities exceeded their adjusted amortized cost by $10,513,000.</w:t>
      </w:r>
    </w:p>
    <w:p>
      <w:pPr>
        <w:ind w:left="1280"/>
        <w:spacing w:after="0"/>
        <w:rPr>
          <w:sz w:val="20"/>
          <w:szCs w:val="20"/>
          <w:color w:val="auto"/>
        </w:rPr>
      </w:pPr>
      <w:r>
        <w:rPr>
          <w:rFonts w:ascii="Arial" w:cs="Arial" w:eastAsia="Arial" w:hAnsi="Arial"/>
          <w:sz w:val="14"/>
          <w:szCs w:val="14"/>
          <w:color w:val="auto"/>
        </w:rPr>
        <w:t>At December 31, 2006, the amortized cost and estimated fair value of debt securities by contractual maturity were as follows:</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3"/>
          </w:tcPr>
          <w:p>
            <w:pPr>
              <w:ind w:left="40"/>
              <w:spacing w:after="0"/>
              <w:rPr>
                <w:sz w:val="20"/>
                <w:szCs w:val="20"/>
                <w:color w:val="auto"/>
              </w:rPr>
            </w:pPr>
            <w:r>
              <w:rPr>
                <w:rFonts w:ascii="Arial" w:cs="Arial" w:eastAsia="Arial" w:hAnsi="Arial"/>
                <w:sz w:val="10"/>
                <w:szCs w:val="10"/>
                <w:b w:val="1"/>
                <w:bCs w:val="1"/>
                <w:color w:val="auto"/>
              </w:rPr>
              <w:t>Amortized</w:t>
            </w:r>
          </w:p>
        </w:tc>
        <w:tc>
          <w:tcPr>
            <w:tcW w:w="160" w:type="dxa"/>
            <w:vAlign w:val="bottom"/>
          </w:tcPr>
          <w:p>
            <w:pPr>
              <w:spacing w:after="0"/>
              <w:rPr>
                <w:sz w:val="10"/>
                <w:szCs w:val="10"/>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w w:val="96"/>
              </w:rPr>
              <w:t>Estimated</w:t>
            </w:r>
          </w:p>
        </w:tc>
      </w:tr>
      <w:tr>
        <w:trPr>
          <w:trHeight w:val="125"/>
        </w:trPr>
        <w:tc>
          <w:tcPr>
            <w:tcW w:w="79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b w:val="1"/>
                <w:bCs w:val="1"/>
                <w:color w:val="auto"/>
              </w:rPr>
              <w:t>Cost</w:t>
            </w:r>
          </w:p>
        </w:tc>
        <w:tc>
          <w:tcPr>
            <w:tcW w:w="380" w:type="dxa"/>
            <w:vAlign w:val="bottom"/>
            <w:gridSpan w:val="2"/>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b w:val="1"/>
                <w:bCs w:val="1"/>
                <w:color w:val="auto"/>
                <w:w w:val="96"/>
              </w:rPr>
              <w:t>Fair Value</w:t>
            </w:r>
          </w:p>
        </w:tc>
        <w:tc>
          <w:tcPr>
            <w:tcW w:w="100" w:type="dxa"/>
            <w:vAlign w:val="bottom"/>
          </w:tcPr>
          <w:p>
            <w:pPr>
              <w:spacing w:after="0"/>
              <w:rPr>
                <w:sz w:val="10"/>
                <w:szCs w:val="10"/>
                <w:color w:val="auto"/>
              </w:rPr>
            </w:pPr>
          </w:p>
        </w:tc>
      </w:tr>
      <w:tr>
        <w:trPr>
          <w:trHeight w:val="131"/>
        </w:trPr>
        <w:tc>
          <w:tcPr>
            <w:tcW w:w="7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20" w:type="dxa"/>
            <w:vAlign w:val="bottom"/>
          </w:tcPr>
          <w:p>
            <w:pPr>
              <w:spacing w:after="0"/>
              <w:rPr>
                <w:sz w:val="11"/>
                <w:szCs w:val="11"/>
                <w:color w:val="auto"/>
              </w:rPr>
            </w:pPr>
          </w:p>
        </w:tc>
        <w:tc>
          <w:tcPr>
            <w:tcW w:w="520" w:type="dxa"/>
            <w:vAlign w:val="bottom"/>
            <w:gridSpan w:val="2"/>
          </w:tcPr>
          <w:p>
            <w:pPr>
              <w:jc w:val="right"/>
              <w:spacing w:after="0"/>
              <w:rPr>
                <w:sz w:val="20"/>
                <w:szCs w:val="20"/>
                <w:color w:val="auto"/>
              </w:rPr>
            </w:pPr>
            <w:r>
              <w:rPr>
                <w:rFonts w:ascii="Arial" w:cs="Arial" w:eastAsia="Arial" w:hAnsi="Arial"/>
                <w:sz w:val="10"/>
                <w:szCs w:val="10"/>
                <w:b w:val="1"/>
                <w:bCs w:val="1"/>
                <w:color w:val="auto"/>
                <w:w w:val="88"/>
              </w:rPr>
              <w:t>thousands)</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3"/>
        </w:trPr>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Debt securities available for sale:</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7"/>
        </w:trPr>
        <w:tc>
          <w:tcPr>
            <w:tcW w:w="7900" w:type="dxa"/>
            <w:vAlign w:val="bottom"/>
          </w:tcPr>
          <w:p>
            <w:pPr>
              <w:spacing w:after="0"/>
              <w:rPr>
                <w:sz w:val="20"/>
                <w:szCs w:val="20"/>
                <w:color w:val="auto"/>
              </w:rPr>
            </w:pPr>
            <w:r>
              <w:rPr>
                <w:rFonts w:ascii="Arial" w:cs="Arial" w:eastAsia="Arial" w:hAnsi="Arial"/>
                <w:sz w:val="14"/>
                <w:szCs w:val="14"/>
                <w:color w:val="auto"/>
              </w:rPr>
              <w:t>Due in one year or less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46,692</w:t>
            </w:r>
          </w:p>
        </w:tc>
        <w:tc>
          <w:tcPr>
            <w:tcW w:w="36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46,646</w:t>
            </w:r>
          </w:p>
        </w:tc>
      </w:tr>
      <w:tr>
        <w:trPr>
          <w:trHeight w:val="167"/>
        </w:trPr>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Due after one year through five years</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268,389</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263,360</w:t>
            </w:r>
          </w:p>
        </w:tc>
      </w:tr>
      <w:tr>
        <w:trPr>
          <w:trHeight w:val="167"/>
        </w:trPr>
        <w:tc>
          <w:tcPr>
            <w:tcW w:w="7900" w:type="dxa"/>
            <w:vAlign w:val="bottom"/>
          </w:tcPr>
          <w:p>
            <w:pPr>
              <w:spacing w:after="0"/>
              <w:rPr>
                <w:sz w:val="20"/>
                <w:szCs w:val="20"/>
                <w:color w:val="auto"/>
              </w:rPr>
            </w:pPr>
            <w:r>
              <w:rPr>
                <w:rFonts w:ascii="Arial" w:cs="Arial" w:eastAsia="Arial" w:hAnsi="Arial"/>
                <w:sz w:val="14"/>
                <w:szCs w:val="14"/>
                <w:color w:val="auto"/>
              </w:rPr>
              <w:t>Due after five years through ten years</w:t>
            </w: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242,284</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243,662</w:t>
            </w:r>
          </w:p>
        </w:tc>
      </w:tr>
      <w:tr>
        <w:trPr>
          <w:trHeight w:val="167"/>
        </w:trPr>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Due after ten years</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135,128</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140,886</w:t>
            </w:r>
          </w:p>
        </w:tc>
      </w:tr>
      <w:tr>
        <w:trPr>
          <w:trHeight w:val="167"/>
        </w:trPr>
        <w:tc>
          <w:tcPr>
            <w:tcW w:w="79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692,493</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694,554</w:t>
            </w:r>
          </w:p>
        </w:tc>
        <w:tc>
          <w:tcPr>
            <w:tcW w:w="100" w:type="dxa"/>
            <w:vAlign w:val="bottom"/>
          </w:tcPr>
          <w:p>
            <w:pPr>
              <w:spacing w:after="0"/>
              <w:rPr>
                <w:sz w:val="14"/>
                <w:szCs w:val="14"/>
                <w:color w:val="auto"/>
              </w:rPr>
            </w:pPr>
          </w:p>
        </w:tc>
      </w:tr>
      <w:tr>
        <w:trPr>
          <w:trHeight w:val="167"/>
        </w:trPr>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Mortgage-backed securities available for sale</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5,774,372</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9"/>
              </w:rPr>
              <w:t>5,704,238</w:t>
            </w:r>
          </w:p>
        </w:tc>
      </w:tr>
      <w:tr>
        <w:trPr>
          <w:trHeight w:val="181"/>
        </w:trPr>
        <w:tc>
          <w:tcPr>
            <w:tcW w:w="79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6,466,865</w:t>
            </w: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6,398,792</w:t>
            </w:r>
          </w:p>
        </w:tc>
        <w:tc>
          <w:tcPr>
            <w:tcW w:w="100" w:type="dxa"/>
            <w:vAlign w:val="bottom"/>
          </w:tcPr>
          <w:p>
            <w:pPr>
              <w:spacing w:after="0"/>
              <w:rPr>
                <w:sz w:val="15"/>
                <w:szCs w:val="15"/>
                <w:color w:val="auto"/>
              </w:rPr>
            </w:pPr>
          </w:p>
        </w:tc>
      </w:tr>
      <w:tr>
        <w:trPr>
          <w:trHeight w:val="172"/>
        </w:trPr>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Debt securities held to maturity:</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7900" w:type="dxa"/>
            <w:vAlign w:val="bottom"/>
          </w:tcPr>
          <w:p>
            <w:pPr>
              <w:spacing w:after="0"/>
              <w:rPr>
                <w:sz w:val="20"/>
                <w:szCs w:val="20"/>
                <w:color w:val="auto"/>
              </w:rPr>
            </w:pPr>
            <w:r>
              <w:rPr>
                <w:rFonts w:ascii="Arial" w:cs="Arial" w:eastAsia="Arial" w:hAnsi="Arial"/>
                <w:sz w:val="14"/>
                <w:szCs w:val="14"/>
                <w:color w:val="auto"/>
              </w:rPr>
              <w:t>Due in one year or less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42,166</w:t>
            </w:r>
          </w:p>
        </w:tc>
        <w:tc>
          <w:tcPr>
            <w:tcW w:w="36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42,228</w:t>
            </w:r>
          </w:p>
        </w:tc>
      </w:tr>
      <w:tr>
        <w:trPr>
          <w:trHeight w:val="167"/>
        </w:trPr>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Due after one year through five years</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6,815</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6,997</w:t>
            </w:r>
          </w:p>
        </w:tc>
      </w:tr>
      <w:tr>
        <w:trPr>
          <w:trHeight w:val="167"/>
        </w:trPr>
        <w:tc>
          <w:tcPr>
            <w:tcW w:w="7900" w:type="dxa"/>
            <w:vAlign w:val="bottom"/>
          </w:tcPr>
          <w:p>
            <w:pPr>
              <w:spacing w:after="0"/>
              <w:rPr>
                <w:sz w:val="20"/>
                <w:szCs w:val="20"/>
                <w:color w:val="auto"/>
              </w:rPr>
            </w:pPr>
            <w:r>
              <w:rPr>
                <w:rFonts w:ascii="Arial" w:cs="Arial" w:eastAsia="Arial" w:hAnsi="Arial"/>
                <w:sz w:val="14"/>
                <w:szCs w:val="14"/>
                <w:color w:val="auto"/>
              </w:rPr>
              <w:t>Due after five years through ten years</w:t>
            </w:r>
          </w:p>
        </w:tc>
        <w:tc>
          <w:tcPr>
            <w:tcW w:w="12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9,786</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11,281</w:t>
            </w:r>
          </w:p>
        </w:tc>
      </w:tr>
      <w:tr>
        <w:trPr>
          <w:trHeight w:val="167"/>
        </w:trPr>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Due after ten years</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6,132</w:t>
            </w: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6,223</w:t>
            </w:r>
          </w:p>
        </w:tc>
      </w:tr>
      <w:tr>
        <w:trPr>
          <w:trHeight w:val="176"/>
        </w:trPr>
        <w:tc>
          <w:tcPr>
            <w:tcW w:w="79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64,899</w:t>
            </w:r>
          </w:p>
        </w:tc>
        <w:tc>
          <w:tcPr>
            <w:tcW w:w="2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66,729</w:t>
            </w:r>
          </w:p>
        </w:tc>
        <w:tc>
          <w:tcPr>
            <w:tcW w:w="100" w:type="dxa"/>
            <w:vAlign w:val="bottom"/>
          </w:tcPr>
          <w:p>
            <w:pPr>
              <w:spacing w:after="0"/>
              <w:rPr>
                <w:sz w:val="15"/>
                <w:szCs w:val="15"/>
                <w:color w:val="auto"/>
              </w:rPr>
            </w:pPr>
          </w:p>
        </w:tc>
      </w:tr>
    </w:tbl>
    <w:p>
      <w:pPr>
        <w:spacing w:after="0" w:line="17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2" w:name="page93"/>
    <w:bookmarkEnd w:id="9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56" w:lineRule="exact"/>
        <w:rPr>
          <w:sz w:val="20"/>
          <w:szCs w:val="20"/>
          <w:color w:val="auto"/>
        </w:rPr>
      </w:pPr>
    </w:p>
    <w:p>
      <w:pPr>
        <w:ind w:left="680" w:right="260" w:firstLine="599"/>
        <w:spacing w:after="0" w:line="280" w:lineRule="auto"/>
        <w:rPr>
          <w:sz w:val="20"/>
          <w:szCs w:val="20"/>
          <w:color w:val="auto"/>
        </w:rPr>
      </w:pPr>
      <w:r>
        <w:rPr>
          <w:rFonts w:ascii="Arial" w:cs="Arial" w:eastAsia="Arial" w:hAnsi="Arial"/>
          <w:sz w:val="14"/>
          <w:szCs w:val="14"/>
          <w:color w:val="auto"/>
        </w:rPr>
        <w:t>A summary of investment securities that as of December 31, 2006 and 2005 had been in a continuous unrealized loss position for less than twelve months and those that had been in a continuous unrealized loss position for twelve months or longer follows:</w:t>
      </w:r>
    </w:p>
    <w:p>
      <w:pPr>
        <w:spacing w:after="0" w:line="5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80" w:type="dxa"/>
            <w:vAlign w:val="bottom"/>
            <w:gridSpan w:val="6"/>
          </w:tcPr>
          <w:p>
            <w:pPr>
              <w:jc w:val="right"/>
              <w:ind w:right="756"/>
              <w:spacing w:after="0"/>
              <w:rPr>
                <w:sz w:val="20"/>
                <w:szCs w:val="20"/>
                <w:color w:val="auto"/>
              </w:rPr>
            </w:pPr>
            <w:r>
              <w:rPr>
                <w:rFonts w:ascii="Arial" w:cs="Arial" w:eastAsia="Arial" w:hAnsi="Arial"/>
                <w:sz w:val="10"/>
                <w:szCs w:val="10"/>
                <w:b w:val="1"/>
                <w:bCs w:val="1"/>
                <w:color w:val="auto"/>
              </w:rPr>
              <w:t>Less Than 12 Months</w:t>
            </w:r>
          </w:p>
        </w:tc>
        <w:tc>
          <w:tcPr>
            <w:tcW w:w="140" w:type="dxa"/>
            <w:vAlign w:val="bottom"/>
          </w:tcPr>
          <w:p>
            <w:pPr>
              <w:spacing w:after="0"/>
              <w:rPr>
                <w:sz w:val="10"/>
                <w:szCs w:val="10"/>
                <w:color w:val="auto"/>
              </w:rPr>
            </w:pPr>
          </w:p>
        </w:tc>
        <w:tc>
          <w:tcPr>
            <w:tcW w:w="1200" w:type="dxa"/>
            <w:vAlign w:val="bottom"/>
            <w:gridSpan w:val="3"/>
          </w:tcPr>
          <w:p>
            <w:pPr>
              <w:jc w:val="right"/>
              <w:spacing w:after="0"/>
              <w:rPr>
                <w:sz w:val="20"/>
                <w:szCs w:val="20"/>
                <w:color w:val="auto"/>
              </w:rPr>
            </w:pPr>
            <w:r>
              <w:rPr>
                <w:rFonts w:ascii="Arial" w:cs="Arial" w:eastAsia="Arial" w:hAnsi="Arial"/>
                <w:sz w:val="10"/>
                <w:szCs w:val="10"/>
                <w:b w:val="1"/>
                <w:bCs w:val="1"/>
                <w:color w:val="auto"/>
              </w:rPr>
              <w:t>12 Months or More</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59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10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0"/>
                <w:szCs w:val="10"/>
                <w:b w:val="1"/>
                <w:bCs w:val="1"/>
                <w:color w:val="auto"/>
              </w:rPr>
              <w:t>Fair Value</w:t>
            </w:r>
          </w:p>
        </w:tc>
        <w:tc>
          <w:tcPr>
            <w:tcW w:w="600" w:type="dxa"/>
            <w:vAlign w:val="bottom"/>
            <w:tcBorders>
              <w:top w:val="single" w:sz="8" w:color="auto"/>
            </w:tcBorders>
            <w:gridSpan w:val="2"/>
          </w:tcPr>
          <w:p>
            <w:pPr>
              <w:jc w:val="right"/>
              <w:spacing w:after="0" w:line="81" w:lineRule="exact"/>
              <w:rPr>
                <w:sz w:val="20"/>
                <w:szCs w:val="20"/>
                <w:color w:val="auto"/>
              </w:rPr>
            </w:pPr>
            <w:r>
              <w:rPr>
                <w:rFonts w:ascii="Arial" w:cs="Arial" w:eastAsia="Arial" w:hAnsi="Arial"/>
                <w:sz w:val="9"/>
                <w:szCs w:val="9"/>
                <w:b w:val="1"/>
                <w:bCs w:val="1"/>
                <w:color w:val="auto"/>
              </w:rPr>
              <w:t>Unrealized</w:t>
            </w:r>
          </w:p>
        </w:tc>
        <w:tc>
          <w:tcPr>
            <w:tcW w:w="3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gridSpan w:val="2"/>
            <w:vMerge w:val="restart"/>
          </w:tcPr>
          <w:p>
            <w:pPr>
              <w:jc w:val="right"/>
              <w:ind w:right="560"/>
              <w:spacing w:after="0"/>
              <w:rPr>
                <w:sz w:val="20"/>
                <w:szCs w:val="20"/>
                <w:color w:val="auto"/>
              </w:rPr>
            </w:pPr>
            <w:r>
              <w:rPr>
                <w:rFonts w:ascii="Arial" w:cs="Arial" w:eastAsia="Arial" w:hAnsi="Arial"/>
                <w:sz w:val="10"/>
                <w:szCs w:val="10"/>
                <w:b w:val="1"/>
                <w:bCs w:val="1"/>
                <w:color w:val="auto"/>
              </w:rPr>
              <w:t>Fair Value</w:t>
            </w:r>
          </w:p>
        </w:tc>
        <w:tc>
          <w:tcPr>
            <w:tcW w:w="580" w:type="dxa"/>
            <w:vAlign w:val="bottom"/>
            <w:tcBorders>
              <w:top w:val="single" w:sz="8" w:color="auto"/>
            </w:tcBorders>
            <w:gridSpan w:val="2"/>
          </w:tcPr>
          <w:p>
            <w:pPr>
              <w:jc w:val="right"/>
              <w:spacing w:after="0" w:line="81" w:lineRule="exact"/>
              <w:rPr>
                <w:sz w:val="20"/>
                <w:szCs w:val="20"/>
                <w:color w:val="auto"/>
              </w:rPr>
            </w:pPr>
            <w:r>
              <w:rPr>
                <w:rFonts w:ascii="Arial" w:cs="Arial" w:eastAsia="Arial" w:hAnsi="Arial"/>
                <w:sz w:val="9"/>
                <w:szCs w:val="9"/>
                <w:b w:val="1"/>
                <w:bCs w:val="1"/>
                <w:color w:val="auto"/>
              </w:rPr>
              <w:t>Unrealized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right"/>
              <w:ind w:right="496"/>
              <w:spacing w:after="0"/>
              <w:rPr>
                <w:sz w:val="20"/>
                <w:szCs w:val="20"/>
                <w:color w:val="auto"/>
              </w:rPr>
            </w:pPr>
            <w:r>
              <w:rPr>
                <w:rFonts w:ascii="Arial" w:cs="Arial" w:eastAsia="Arial" w:hAnsi="Arial"/>
                <w:sz w:val="10"/>
                <w:szCs w:val="10"/>
                <w:b w:val="1"/>
                <w:bCs w:val="1"/>
                <w:color w:val="auto"/>
                <w:w w:val="86"/>
              </w:rPr>
              <w:t>Losses</w:t>
            </w:r>
          </w:p>
        </w:tc>
        <w:tc>
          <w:tcPr>
            <w:tcW w:w="1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gridSpan w:val="2"/>
          </w:tcPr>
          <w:p>
            <w:pPr>
              <w:jc w:val="right"/>
              <w:ind w:right="168"/>
              <w:spacing w:after="0"/>
              <w:rPr>
                <w:sz w:val="20"/>
                <w:szCs w:val="20"/>
                <w:color w:val="auto"/>
              </w:rPr>
            </w:pPr>
            <w:r>
              <w:rPr>
                <w:rFonts w:ascii="Arial" w:cs="Arial" w:eastAsia="Arial" w:hAnsi="Arial"/>
                <w:sz w:val="10"/>
                <w:szCs w:val="10"/>
                <w:b w:val="1"/>
                <w:bCs w:val="1"/>
                <w:color w:val="auto"/>
                <w:w w:val="81"/>
              </w:rPr>
              <w:t>Losses</w:t>
            </w:r>
          </w:p>
        </w:tc>
        <w:tc>
          <w:tcPr>
            <w:tcW w:w="0" w:type="dxa"/>
            <w:vAlign w:val="bottom"/>
          </w:tcPr>
          <w:p>
            <w:pPr>
              <w:spacing w:after="0"/>
              <w:rPr>
                <w:sz w:val="1"/>
                <w:szCs w:val="1"/>
                <w:color w:val="auto"/>
              </w:rPr>
            </w:pPr>
          </w:p>
        </w:tc>
      </w:tr>
      <w:tr>
        <w:trPr>
          <w:trHeight w:val="131"/>
        </w:trPr>
        <w:tc>
          <w:tcPr>
            <w:tcW w:w="59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(In</w:t>
            </w:r>
          </w:p>
        </w:tc>
        <w:tc>
          <w:tcPr>
            <w:tcW w:w="380" w:type="dxa"/>
            <w:vAlign w:val="bottom"/>
          </w:tcPr>
          <w:p>
            <w:pPr>
              <w:jc w:val="right"/>
              <w:spacing w:after="0"/>
              <w:rPr>
                <w:sz w:val="20"/>
                <w:szCs w:val="20"/>
                <w:color w:val="auto"/>
              </w:rPr>
            </w:pPr>
            <w:r>
              <w:rPr>
                <w:rFonts w:ascii="Arial" w:cs="Arial" w:eastAsia="Arial" w:hAnsi="Arial"/>
                <w:sz w:val="9"/>
                <w:szCs w:val="9"/>
                <w:b w:val="1"/>
                <w:bCs w:val="1"/>
                <w:color w:val="auto"/>
                <w:w w:val="74"/>
              </w:rPr>
              <w:t>thousands)</w:t>
            </w: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900" w:type="dxa"/>
            <w:vAlign w:val="bottom"/>
            <w:shd w:val="clear" w:color="auto" w:fill="CCEEFF"/>
          </w:tcPr>
          <w:p>
            <w:pPr>
              <w:spacing w:after="0"/>
              <w:rPr>
                <w:sz w:val="20"/>
                <w:szCs w:val="20"/>
                <w:color w:val="auto"/>
              </w:rPr>
            </w:pPr>
            <w:r>
              <w:rPr>
                <w:rFonts w:ascii="Arial" w:cs="Arial" w:eastAsia="Arial" w:hAnsi="Arial"/>
                <w:sz w:val="14"/>
                <w:szCs w:val="14"/>
                <w:color w:val="auto"/>
              </w:rPr>
              <w:t>December 31, 2006</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900" w:type="dxa"/>
            <w:vAlign w:val="bottom"/>
          </w:tcPr>
          <w:p>
            <w:pPr>
              <w:spacing w:after="0"/>
              <w:rPr>
                <w:sz w:val="20"/>
                <w:szCs w:val="20"/>
                <w:color w:val="auto"/>
              </w:rPr>
            </w:pPr>
            <w:r>
              <w:rPr>
                <w:rFonts w:ascii="Arial" w:cs="Arial" w:eastAsia="Arial" w:hAnsi="Arial"/>
                <w:sz w:val="14"/>
                <w:szCs w:val="14"/>
                <w:color w:val="auto"/>
              </w:rPr>
              <w:t>U.S. Treasury and federal agencies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207,522</w:t>
            </w:r>
          </w:p>
        </w:tc>
        <w:tc>
          <w:tcPr>
            <w:tcW w:w="3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96"/>
              <w:spacing w:after="0"/>
              <w:rPr>
                <w:sz w:val="20"/>
                <w:szCs w:val="20"/>
                <w:color w:val="auto"/>
              </w:rPr>
            </w:pPr>
            <w:r>
              <w:rPr>
                <w:rFonts w:ascii="Arial" w:cs="Arial" w:eastAsia="Arial" w:hAnsi="Arial"/>
                <w:sz w:val="14"/>
                <w:szCs w:val="14"/>
                <w:color w:val="auto"/>
              </w:rPr>
              <w:t>(397)</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400"/>
              <w:spacing w:after="0"/>
              <w:rPr>
                <w:sz w:val="20"/>
                <w:szCs w:val="20"/>
                <w:color w:val="auto"/>
              </w:rPr>
            </w:pPr>
            <w:r>
              <w:rPr>
                <w:rFonts w:ascii="Arial" w:cs="Arial" w:eastAsia="Arial" w:hAnsi="Arial"/>
                <w:sz w:val="14"/>
                <w:szCs w:val="14"/>
                <w:color w:val="auto"/>
              </w:rPr>
              <w:t>266,354</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(5,382)</w:t>
            </w:r>
          </w:p>
        </w:tc>
        <w:tc>
          <w:tcPr>
            <w:tcW w:w="0" w:type="dxa"/>
            <w:vAlign w:val="bottom"/>
          </w:tcPr>
          <w:p>
            <w:pPr>
              <w:spacing w:after="0"/>
              <w:rPr>
                <w:sz w:val="1"/>
                <w:szCs w:val="1"/>
                <w:color w:val="auto"/>
              </w:rPr>
            </w:pPr>
          </w:p>
        </w:tc>
      </w:tr>
      <w:tr>
        <w:trPr>
          <w:trHeight w:val="167"/>
        </w:trPr>
        <w:tc>
          <w:tcPr>
            <w:tcW w:w="5900" w:type="dxa"/>
            <w:vAlign w:val="bottom"/>
            <w:shd w:val="clear" w:color="auto" w:fill="CCEEFF"/>
          </w:tcPr>
          <w:p>
            <w:pPr>
              <w:spacing w:after="0"/>
              <w:rPr>
                <w:sz w:val="20"/>
                <w:szCs w:val="20"/>
                <w:color w:val="auto"/>
              </w:rPr>
            </w:pPr>
            <w:r>
              <w:rPr>
                <w:rFonts w:ascii="Arial" w:cs="Arial" w:eastAsia="Arial" w:hAnsi="Arial"/>
                <w:sz w:val="14"/>
                <w:szCs w:val="14"/>
                <w:color w:val="auto"/>
              </w:rPr>
              <w:t>Obligations of states and political subdivisions</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5,348</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96"/>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1,462</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7"/>
        </w:trPr>
        <w:tc>
          <w:tcPr>
            <w:tcW w:w="5900" w:type="dxa"/>
            <w:vAlign w:val="bottom"/>
          </w:tcPr>
          <w:p>
            <w:pPr>
              <w:spacing w:after="0"/>
              <w:rPr>
                <w:sz w:val="20"/>
                <w:szCs w:val="20"/>
                <w:color w:val="auto"/>
              </w:rPr>
            </w:pPr>
            <w:r>
              <w:rPr>
                <w:rFonts w:ascii="Arial" w:cs="Arial" w:eastAsia="Arial" w:hAnsi="Arial"/>
                <w:sz w:val="14"/>
                <w:szCs w:val="14"/>
                <w:color w:val="auto"/>
              </w:rPr>
              <w:t>Mortgage-backed securities:</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Government issued or guaranteed</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68,832</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96"/>
              <w:spacing w:after="0"/>
              <w:rPr>
                <w:sz w:val="20"/>
                <w:szCs w:val="20"/>
                <w:color w:val="auto"/>
              </w:rPr>
            </w:pPr>
            <w:r>
              <w:rPr>
                <w:rFonts w:ascii="Arial" w:cs="Arial" w:eastAsia="Arial" w:hAnsi="Arial"/>
                <w:sz w:val="14"/>
                <w:szCs w:val="14"/>
                <w:color w:val="auto"/>
              </w:rPr>
              <w:t>(112)</w:t>
            </w: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1,467,818</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1"/>
              </w:rPr>
              <w:t>(40,064)</w:t>
            </w:r>
          </w:p>
        </w:tc>
        <w:tc>
          <w:tcPr>
            <w:tcW w:w="0" w:type="dxa"/>
            <w:vAlign w:val="bottom"/>
          </w:tcPr>
          <w:p>
            <w:pPr>
              <w:spacing w:after="0"/>
              <w:rPr>
                <w:sz w:val="1"/>
                <w:szCs w:val="1"/>
                <w:color w:val="auto"/>
              </w:rPr>
            </w:pPr>
          </w:p>
        </w:tc>
      </w:tr>
      <w:tr>
        <w:trPr>
          <w:trHeight w:val="167"/>
        </w:trPr>
        <w:tc>
          <w:tcPr>
            <w:tcW w:w="5900" w:type="dxa"/>
            <w:vAlign w:val="bottom"/>
          </w:tcPr>
          <w:p>
            <w:pPr>
              <w:ind w:left="140"/>
              <w:spacing w:after="0"/>
              <w:rPr>
                <w:sz w:val="20"/>
                <w:szCs w:val="20"/>
                <w:color w:val="auto"/>
              </w:rPr>
            </w:pPr>
            <w:r>
              <w:rPr>
                <w:rFonts w:ascii="Arial" w:cs="Arial" w:eastAsia="Arial" w:hAnsi="Arial"/>
                <w:sz w:val="14"/>
                <w:szCs w:val="14"/>
                <w:color w:val="auto"/>
              </w:rPr>
              <w:t>Privately issued</w:t>
            </w:r>
          </w:p>
        </w:tc>
        <w:tc>
          <w:tcPr>
            <w:tcW w:w="12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564,993</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96"/>
              <w:spacing w:after="0"/>
              <w:rPr>
                <w:sz w:val="20"/>
                <w:szCs w:val="20"/>
                <w:color w:val="auto"/>
              </w:rPr>
            </w:pPr>
            <w:r>
              <w:rPr>
                <w:rFonts w:ascii="Arial" w:cs="Arial" w:eastAsia="Arial" w:hAnsi="Arial"/>
                <w:sz w:val="14"/>
                <w:szCs w:val="14"/>
                <w:color w:val="auto"/>
              </w:rPr>
              <w:t>(3,754)</w:t>
            </w:r>
          </w:p>
        </w:tc>
        <w:tc>
          <w:tcPr>
            <w:tcW w:w="14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color w:val="auto"/>
              </w:rPr>
              <w:t>2,413,828</w:t>
            </w:r>
          </w:p>
        </w:tc>
        <w:tc>
          <w:tcPr>
            <w:tcW w:w="14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w w:val="91"/>
              </w:rPr>
              <w:t>(38,284)</w:t>
            </w:r>
          </w:p>
        </w:tc>
        <w:tc>
          <w:tcPr>
            <w:tcW w:w="0" w:type="dxa"/>
            <w:vAlign w:val="bottom"/>
          </w:tcPr>
          <w:p>
            <w:pPr>
              <w:spacing w:after="0"/>
              <w:rPr>
                <w:sz w:val="1"/>
                <w:szCs w:val="1"/>
                <w:color w:val="auto"/>
              </w:rPr>
            </w:pPr>
          </w:p>
        </w:tc>
      </w:tr>
      <w:tr>
        <w:trPr>
          <w:trHeight w:val="167"/>
        </w:trPr>
        <w:tc>
          <w:tcPr>
            <w:tcW w:w="5900" w:type="dxa"/>
            <w:vAlign w:val="bottom"/>
            <w:shd w:val="clear" w:color="auto" w:fill="CCEEFF"/>
          </w:tcPr>
          <w:p>
            <w:pPr>
              <w:spacing w:after="0"/>
              <w:rPr>
                <w:sz w:val="20"/>
                <w:szCs w:val="20"/>
                <w:color w:val="auto"/>
              </w:rPr>
            </w:pPr>
            <w:r>
              <w:rPr>
                <w:rFonts w:ascii="Arial" w:cs="Arial" w:eastAsia="Arial" w:hAnsi="Arial"/>
                <w:sz w:val="14"/>
                <w:szCs w:val="14"/>
                <w:color w:val="auto"/>
              </w:rPr>
              <w:t>Other debt securities</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3,425</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96"/>
              <w:spacing w:after="0"/>
              <w:rPr>
                <w:sz w:val="20"/>
                <w:szCs w:val="20"/>
                <w:color w:val="auto"/>
              </w:rPr>
            </w:pPr>
            <w:r>
              <w:rPr>
                <w:rFonts w:ascii="Arial" w:cs="Arial" w:eastAsia="Arial" w:hAnsi="Arial"/>
                <w:sz w:val="14"/>
                <w:szCs w:val="14"/>
                <w:color w:val="auto"/>
              </w:rPr>
              <w:t>(77)</w:t>
            </w: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53,353</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167"/>
        </w:trPr>
        <w:tc>
          <w:tcPr>
            <w:tcW w:w="5900" w:type="dxa"/>
            <w:vAlign w:val="bottom"/>
          </w:tcPr>
          <w:p>
            <w:pPr>
              <w:spacing w:after="0"/>
              <w:rPr>
                <w:sz w:val="20"/>
                <w:szCs w:val="20"/>
                <w:color w:val="auto"/>
              </w:rPr>
            </w:pPr>
            <w:r>
              <w:rPr>
                <w:rFonts w:ascii="Arial" w:cs="Arial" w:eastAsia="Arial" w:hAnsi="Arial"/>
                <w:sz w:val="14"/>
                <w:szCs w:val="14"/>
                <w:color w:val="auto"/>
              </w:rPr>
              <w:t>Equity securities</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29,826</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96"/>
              <w:spacing w:after="0"/>
              <w:rPr>
                <w:sz w:val="20"/>
                <w:szCs w:val="20"/>
                <w:color w:val="auto"/>
              </w:rPr>
            </w:pPr>
            <w:r>
              <w:rPr>
                <w:rFonts w:ascii="Arial" w:cs="Arial" w:eastAsia="Arial" w:hAnsi="Arial"/>
                <w:sz w:val="14"/>
                <w:szCs w:val="14"/>
                <w:color w:val="auto"/>
              </w:rPr>
              <w:t>(423)</w:t>
            </w:r>
          </w:p>
        </w:tc>
        <w:tc>
          <w:tcPr>
            <w:tcW w:w="14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color w:val="auto"/>
              </w:rPr>
              <w:t>41</w:t>
            </w:r>
          </w:p>
        </w:tc>
        <w:tc>
          <w:tcPr>
            <w:tcW w:w="14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90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879,946</w:t>
            </w: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96"/>
              <w:spacing w:after="0"/>
              <w:rPr>
                <w:sz w:val="20"/>
                <w:szCs w:val="20"/>
                <w:color w:val="auto"/>
              </w:rPr>
            </w:pPr>
            <w:r>
              <w:rPr>
                <w:rFonts w:ascii="Arial" w:cs="Arial" w:eastAsia="Arial" w:hAnsi="Arial"/>
                <w:sz w:val="14"/>
                <w:szCs w:val="14"/>
                <w:color w:val="auto"/>
              </w:rPr>
              <w:t>(4,765)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4,202,856</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1"/>
              </w:rPr>
              <w:t>(84,220)</w:t>
            </w:r>
          </w:p>
        </w:tc>
        <w:tc>
          <w:tcPr>
            <w:tcW w:w="0" w:type="dxa"/>
            <w:vAlign w:val="bottom"/>
          </w:tcPr>
          <w:p>
            <w:pPr>
              <w:spacing w:after="0"/>
              <w:rPr>
                <w:sz w:val="1"/>
                <w:szCs w:val="1"/>
                <w:color w:val="auto"/>
              </w:rPr>
            </w:pPr>
          </w:p>
        </w:tc>
      </w:tr>
      <w:tr>
        <w:trPr>
          <w:trHeight w:val="177"/>
        </w:trPr>
        <w:tc>
          <w:tcPr>
            <w:tcW w:w="5900" w:type="dxa"/>
            <w:vAlign w:val="bottom"/>
          </w:tcPr>
          <w:p>
            <w:pPr>
              <w:spacing w:after="0"/>
              <w:rPr>
                <w:sz w:val="20"/>
                <w:szCs w:val="20"/>
                <w:color w:val="auto"/>
              </w:rPr>
            </w:pPr>
            <w:r>
              <w:rPr>
                <w:rFonts w:ascii="Arial" w:cs="Arial" w:eastAsia="Arial" w:hAnsi="Arial"/>
                <w:sz w:val="14"/>
                <w:szCs w:val="14"/>
                <w:color w:val="auto"/>
              </w:rPr>
              <w:t>December 31, 2005</w:t>
            </w: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900" w:type="dxa"/>
            <w:vAlign w:val="bottom"/>
            <w:shd w:val="clear" w:color="auto" w:fill="CCEEFF"/>
          </w:tcPr>
          <w:p>
            <w:pPr>
              <w:spacing w:after="0"/>
              <w:rPr>
                <w:sz w:val="20"/>
                <w:szCs w:val="20"/>
                <w:color w:val="auto"/>
              </w:rPr>
            </w:pPr>
            <w:r>
              <w:rPr>
                <w:rFonts w:ascii="Arial" w:cs="Arial" w:eastAsia="Arial" w:hAnsi="Arial"/>
                <w:sz w:val="14"/>
                <w:szCs w:val="14"/>
                <w:color w:val="auto"/>
              </w:rPr>
              <w:t>U.S. Treasury and federal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17,111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296"/>
              <w:spacing w:after="0"/>
              <w:rPr>
                <w:sz w:val="20"/>
                <w:szCs w:val="20"/>
                <w:color w:val="auto"/>
              </w:rPr>
            </w:pPr>
            <w:r>
              <w:rPr>
                <w:rFonts w:ascii="Arial" w:cs="Arial" w:eastAsia="Arial" w:hAnsi="Arial"/>
                <w:sz w:val="14"/>
                <w:szCs w:val="14"/>
                <w:color w:val="auto"/>
              </w:rPr>
              <w:t>(141)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302,942</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(7,638)</w:t>
            </w:r>
          </w:p>
        </w:tc>
        <w:tc>
          <w:tcPr>
            <w:tcW w:w="0" w:type="dxa"/>
            <w:vAlign w:val="bottom"/>
          </w:tcPr>
          <w:p>
            <w:pPr>
              <w:spacing w:after="0"/>
              <w:rPr>
                <w:sz w:val="1"/>
                <w:szCs w:val="1"/>
                <w:color w:val="auto"/>
              </w:rPr>
            </w:pPr>
          </w:p>
        </w:tc>
      </w:tr>
      <w:tr>
        <w:trPr>
          <w:trHeight w:val="167"/>
        </w:trPr>
        <w:tc>
          <w:tcPr>
            <w:tcW w:w="5900" w:type="dxa"/>
            <w:vAlign w:val="bottom"/>
          </w:tcPr>
          <w:p>
            <w:pPr>
              <w:spacing w:after="0"/>
              <w:rPr>
                <w:sz w:val="20"/>
                <w:szCs w:val="20"/>
                <w:color w:val="auto"/>
              </w:rPr>
            </w:pPr>
            <w:r>
              <w:rPr>
                <w:rFonts w:ascii="Arial" w:cs="Arial" w:eastAsia="Arial" w:hAnsi="Arial"/>
                <w:sz w:val="14"/>
                <w:szCs w:val="14"/>
                <w:color w:val="auto"/>
              </w:rPr>
              <w:t>Obligations of states and political subdivisions</w:t>
            </w:r>
          </w:p>
        </w:tc>
        <w:tc>
          <w:tcPr>
            <w:tcW w:w="12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55,830</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96"/>
              <w:spacing w:after="0"/>
              <w:rPr>
                <w:sz w:val="20"/>
                <w:szCs w:val="20"/>
                <w:color w:val="auto"/>
              </w:rPr>
            </w:pPr>
            <w:r>
              <w:rPr>
                <w:rFonts w:ascii="Arial" w:cs="Arial" w:eastAsia="Arial" w:hAnsi="Arial"/>
                <w:sz w:val="14"/>
                <w:szCs w:val="14"/>
                <w:color w:val="auto"/>
              </w:rPr>
              <w:t>(112)</w:t>
            </w:r>
          </w:p>
        </w:tc>
        <w:tc>
          <w:tcPr>
            <w:tcW w:w="14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color w:val="auto"/>
              </w:rPr>
              <w:t>4,788</w:t>
            </w:r>
          </w:p>
        </w:tc>
        <w:tc>
          <w:tcPr>
            <w:tcW w:w="14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67"/>
        </w:trPr>
        <w:tc>
          <w:tcPr>
            <w:tcW w:w="5900" w:type="dxa"/>
            <w:vAlign w:val="bottom"/>
            <w:shd w:val="clear" w:color="auto" w:fill="CCEEFF"/>
          </w:tcPr>
          <w:p>
            <w:pPr>
              <w:spacing w:after="0"/>
              <w:rPr>
                <w:sz w:val="20"/>
                <w:szCs w:val="20"/>
                <w:color w:val="auto"/>
              </w:rPr>
            </w:pPr>
            <w:r>
              <w:rPr>
                <w:rFonts w:ascii="Arial" w:cs="Arial" w:eastAsia="Arial" w:hAnsi="Arial"/>
                <w:sz w:val="14"/>
                <w:szCs w:val="14"/>
                <w:color w:val="auto"/>
              </w:rPr>
              <w:t>Mortgage-backed securities:</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900" w:type="dxa"/>
            <w:vAlign w:val="bottom"/>
          </w:tcPr>
          <w:p>
            <w:pPr>
              <w:ind w:left="140"/>
              <w:spacing w:after="0"/>
              <w:rPr>
                <w:sz w:val="20"/>
                <w:szCs w:val="20"/>
                <w:color w:val="auto"/>
              </w:rPr>
            </w:pPr>
            <w:r>
              <w:rPr>
                <w:rFonts w:ascii="Arial" w:cs="Arial" w:eastAsia="Arial" w:hAnsi="Arial"/>
                <w:sz w:val="14"/>
                <w:szCs w:val="14"/>
                <w:color w:val="auto"/>
              </w:rPr>
              <w:t>Government issued or guaranteed</w:t>
            </w:r>
          </w:p>
        </w:tc>
        <w:tc>
          <w:tcPr>
            <w:tcW w:w="12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408,924</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96"/>
              <w:spacing w:after="0"/>
              <w:rPr>
                <w:sz w:val="20"/>
                <w:szCs w:val="20"/>
                <w:color w:val="auto"/>
              </w:rPr>
            </w:pPr>
            <w:r>
              <w:rPr>
                <w:rFonts w:ascii="Arial" w:cs="Arial" w:eastAsia="Arial" w:hAnsi="Arial"/>
                <w:sz w:val="14"/>
                <w:szCs w:val="14"/>
                <w:color w:val="auto"/>
              </w:rPr>
              <w:t>(7,754)</w:t>
            </w:r>
          </w:p>
        </w:tc>
        <w:tc>
          <w:tcPr>
            <w:tcW w:w="14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color w:val="auto"/>
              </w:rPr>
              <w:t>1,693,319</w:t>
            </w:r>
          </w:p>
        </w:tc>
        <w:tc>
          <w:tcPr>
            <w:tcW w:w="14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w w:val="91"/>
              </w:rPr>
              <w:t>(47,628)</w:t>
            </w:r>
          </w:p>
        </w:tc>
        <w:tc>
          <w:tcPr>
            <w:tcW w:w="0" w:type="dxa"/>
            <w:vAlign w:val="bottom"/>
          </w:tcPr>
          <w:p>
            <w:pPr>
              <w:spacing w:after="0"/>
              <w:rPr>
                <w:sz w:val="1"/>
                <w:szCs w:val="1"/>
                <w:color w:val="auto"/>
              </w:rPr>
            </w:pPr>
          </w:p>
        </w:tc>
      </w:tr>
      <w:tr>
        <w:trPr>
          <w:trHeight w:val="167"/>
        </w:trPr>
        <w:tc>
          <w:tcPr>
            <w:tcW w:w="5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Privately issued</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2,209,915</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96"/>
              <w:spacing w:after="0"/>
              <w:rPr>
                <w:sz w:val="20"/>
                <w:szCs w:val="20"/>
                <w:color w:val="auto"/>
              </w:rPr>
            </w:pPr>
            <w:r>
              <w:rPr>
                <w:rFonts w:ascii="Arial" w:cs="Arial" w:eastAsia="Arial" w:hAnsi="Arial"/>
                <w:sz w:val="14"/>
                <w:szCs w:val="14"/>
                <w:color w:val="auto"/>
                <w:w w:val="95"/>
              </w:rPr>
              <w:t>(23,252)</w:t>
            </w: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1,121,380</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1"/>
              </w:rPr>
              <w:t>(29,147)</w:t>
            </w:r>
          </w:p>
        </w:tc>
        <w:tc>
          <w:tcPr>
            <w:tcW w:w="0" w:type="dxa"/>
            <w:vAlign w:val="bottom"/>
          </w:tcPr>
          <w:p>
            <w:pPr>
              <w:spacing w:after="0"/>
              <w:rPr>
                <w:sz w:val="1"/>
                <w:szCs w:val="1"/>
                <w:color w:val="auto"/>
              </w:rPr>
            </w:pPr>
          </w:p>
        </w:tc>
      </w:tr>
      <w:tr>
        <w:trPr>
          <w:trHeight w:val="167"/>
        </w:trPr>
        <w:tc>
          <w:tcPr>
            <w:tcW w:w="5900" w:type="dxa"/>
            <w:vAlign w:val="bottom"/>
          </w:tcPr>
          <w:p>
            <w:pPr>
              <w:spacing w:after="0"/>
              <w:rPr>
                <w:sz w:val="20"/>
                <w:szCs w:val="20"/>
                <w:color w:val="auto"/>
              </w:rPr>
            </w:pPr>
            <w:r>
              <w:rPr>
                <w:rFonts w:ascii="Arial" w:cs="Arial" w:eastAsia="Arial" w:hAnsi="Arial"/>
                <w:sz w:val="14"/>
                <w:szCs w:val="14"/>
                <w:color w:val="auto"/>
              </w:rPr>
              <w:t>Other debt securities</w:t>
            </w:r>
          </w:p>
        </w:tc>
        <w:tc>
          <w:tcPr>
            <w:tcW w:w="12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16,587</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96"/>
              <w:spacing w:after="0"/>
              <w:rPr>
                <w:sz w:val="20"/>
                <w:szCs w:val="20"/>
                <w:color w:val="auto"/>
              </w:rPr>
            </w:pPr>
            <w:r>
              <w:rPr>
                <w:rFonts w:ascii="Arial" w:cs="Arial" w:eastAsia="Arial" w:hAnsi="Arial"/>
                <w:sz w:val="14"/>
                <w:szCs w:val="14"/>
                <w:color w:val="auto"/>
              </w:rPr>
              <w:t>(230)</w:t>
            </w:r>
          </w:p>
        </w:tc>
        <w:tc>
          <w:tcPr>
            <w:tcW w:w="14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color w:val="auto"/>
              </w:rPr>
              <w:t>57,684</w:t>
            </w:r>
          </w:p>
        </w:tc>
        <w:tc>
          <w:tcPr>
            <w:tcW w:w="14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(903)</w:t>
            </w:r>
          </w:p>
        </w:tc>
        <w:tc>
          <w:tcPr>
            <w:tcW w:w="0" w:type="dxa"/>
            <w:vAlign w:val="bottom"/>
          </w:tcPr>
          <w:p>
            <w:pPr>
              <w:spacing w:after="0"/>
              <w:rPr>
                <w:sz w:val="1"/>
                <w:szCs w:val="1"/>
                <w:color w:val="auto"/>
              </w:rPr>
            </w:pPr>
          </w:p>
        </w:tc>
      </w:tr>
      <w:tr>
        <w:trPr>
          <w:trHeight w:val="167"/>
        </w:trPr>
        <w:tc>
          <w:tcPr>
            <w:tcW w:w="5900" w:type="dxa"/>
            <w:vAlign w:val="bottom"/>
            <w:shd w:val="clear" w:color="auto" w:fill="CCEEFF"/>
          </w:tcPr>
          <w:p>
            <w:pPr>
              <w:spacing w:after="0"/>
              <w:rPr>
                <w:sz w:val="20"/>
                <w:szCs w:val="20"/>
                <w:color w:val="auto"/>
              </w:rPr>
            </w:pPr>
            <w:r>
              <w:rPr>
                <w:rFonts w:ascii="Arial" w:cs="Arial" w:eastAsia="Arial" w:hAnsi="Arial"/>
                <w:sz w:val="14"/>
                <w:szCs w:val="14"/>
                <w:color w:val="auto"/>
              </w:rPr>
              <w:t>Equity securities</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134,266</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96"/>
              <w:spacing w:after="0"/>
              <w:rPr>
                <w:sz w:val="20"/>
                <w:szCs w:val="20"/>
                <w:color w:val="auto"/>
              </w:rPr>
            </w:pPr>
            <w:r>
              <w:rPr>
                <w:rFonts w:ascii="Arial" w:cs="Arial" w:eastAsia="Arial" w:hAnsi="Arial"/>
                <w:sz w:val="14"/>
                <w:szCs w:val="14"/>
                <w:color w:val="auto"/>
              </w:rPr>
              <w:t>(1,991)</w:t>
            </w:r>
          </w:p>
        </w:tc>
        <w:tc>
          <w:tcPr>
            <w:tcW w:w="1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32</w:t>
            </w:r>
          </w:p>
        </w:tc>
        <w:tc>
          <w:tcPr>
            <w:tcW w:w="14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6"/>
        </w:trPr>
        <w:tc>
          <w:tcPr>
            <w:tcW w:w="5900" w:type="dxa"/>
            <w:vAlign w:val="bottom"/>
          </w:tcPr>
          <w:p>
            <w:pPr>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2,842,633</w:t>
            </w:r>
          </w:p>
        </w:tc>
        <w:tc>
          <w:tcPr>
            <w:tcW w:w="2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(33,480</w:t>
            </w:r>
          </w:p>
        </w:tc>
        <w:tc>
          <w:tcPr>
            <w:tcW w:w="380" w:type="dxa"/>
            <w:vAlign w:val="bottom"/>
          </w:tcPr>
          <w:p>
            <w:pPr>
              <w:jc w:val="right"/>
              <w:ind w:right="296"/>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3,180,145</w:t>
            </w:r>
          </w:p>
        </w:tc>
        <w:tc>
          <w:tcPr>
            <w:tcW w:w="4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8"/>
              </w:rPr>
              <w:t>(85,350</w:t>
            </w:r>
          </w:p>
        </w:tc>
        <w:tc>
          <w:tcPr>
            <w:tcW w:w="10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680" w:right="120" w:firstLine="599"/>
        <w:spacing w:after="0" w:line="273" w:lineRule="auto"/>
        <w:rPr>
          <w:sz w:val="20"/>
          <w:szCs w:val="20"/>
          <w:color w:val="auto"/>
        </w:rPr>
      </w:pPr>
      <w:r>
        <w:rPr>
          <w:rFonts w:ascii="Arial" w:cs="Arial" w:eastAsia="Arial" w:hAnsi="Arial"/>
          <w:sz w:val="13"/>
          <w:szCs w:val="13"/>
          <w:color w:val="auto"/>
        </w:rPr>
        <w:t>The Company owned approximately five hundred individual investment securities with aggregate gross unrealized losses of $88,985,000 at December 31, 2006. Those investment securities consisted predominantly of mortgage-backed securities classified as available for sale. The unrealized losses at December 31, 2006 were generally attributable to the level of interest rates and, accordingly, were considered to be temporary in nature. At December 31, 2006, the Company had not identified events or changes in circumstance which may have a significant adverse effect on the fair value of the $356,851,000 of cost method investment securities.</w:t>
      </w:r>
    </w:p>
    <w:p>
      <w:pPr>
        <w:jc w:val="both"/>
        <w:ind w:left="680" w:right="80" w:firstLine="599"/>
        <w:spacing w:after="0" w:line="249" w:lineRule="auto"/>
        <w:rPr>
          <w:sz w:val="20"/>
          <w:szCs w:val="20"/>
          <w:color w:val="auto"/>
        </w:rPr>
      </w:pPr>
      <w:r>
        <w:rPr>
          <w:rFonts w:ascii="Arial" w:cs="Arial" w:eastAsia="Arial" w:hAnsi="Arial"/>
          <w:sz w:val="14"/>
          <w:szCs w:val="14"/>
          <w:color w:val="auto"/>
        </w:rPr>
        <w:t>At December 31, 2006, investment securities with a carrying value of $4,422,316,000, including $4,158,346,000 of investment securities available for sale, were pledged to secure demand notes issued to the U.S. Treasury, borrowings from various Federal Home Loan Banks (“FHLB”), repurchase agreements, governmental deposits and interest rate swap agreements.</w:t>
      </w:r>
    </w:p>
    <w:p>
      <w:pPr>
        <w:ind w:left="680" w:right="520" w:firstLine="599"/>
        <w:spacing w:after="0" w:line="268" w:lineRule="auto"/>
        <w:rPr>
          <w:sz w:val="20"/>
          <w:szCs w:val="20"/>
          <w:color w:val="auto"/>
        </w:rPr>
      </w:pPr>
      <w:r>
        <w:rPr>
          <w:rFonts w:ascii="Arial" w:cs="Arial" w:eastAsia="Arial" w:hAnsi="Arial"/>
          <w:sz w:val="13"/>
          <w:szCs w:val="13"/>
          <w:color w:val="auto"/>
        </w:rPr>
        <w:t>Investment securities pledged by the Company to secure obligations whereby the secured party is permitted by contract or custom to sell or repledge such collateral totaled $1,300,322,000 at December 31, 2006. The pledged securities are included in mortgage-backed securities available for sale.</w:t>
      </w:r>
    </w:p>
    <w:p>
      <w:pPr>
        <w:ind w:left="680" w:right="360" w:firstLine="599"/>
        <w:spacing w:after="0" w:line="301" w:lineRule="auto"/>
        <w:rPr>
          <w:sz w:val="20"/>
          <w:szCs w:val="20"/>
          <w:color w:val="auto"/>
        </w:rPr>
      </w:pPr>
      <w:r>
        <w:rPr>
          <w:rFonts w:ascii="Arial" w:cs="Arial" w:eastAsia="Arial" w:hAnsi="Arial"/>
          <w:sz w:val="13"/>
          <w:szCs w:val="13"/>
          <w:color w:val="auto"/>
        </w:rPr>
        <w:t>At December 31, 2006, collateral accepted by the Company which by contract or custom can be sold or repledged consisted of securities with a fair value of $104,205,000 purchased under agreements to resell. Those securities have been pledged at December 31, 2006 to secure governmental deposits.</w:t>
      </w:r>
    </w:p>
    <w:p>
      <w:pPr>
        <w:spacing w:after="0" w:line="12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3" w:name="page94"/>
    <w:bookmarkEnd w:id="9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62" w:lineRule="exact"/>
        <w:rPr>
          <w:sz w:val="20"/>
          <w:szCs w:val="20"/>
          <w:color w:val="auto"/>
        </w:rPr>
      </w:pPr>
    </w:p>
    <w:p>
      <w:pPr>
        <w:ind w:left="1000" w:hanging="313"/>
        <w:spacing w:after="0"/>
        <w:tabs>
          <w:tab w:leader="none" w:pos="1000" w:val="left"/>
        </w:tabs>
        <w:numPr>
          <w:ilvl w:val="0"/>
          <w:numId w:val="26"/>
        </w:numPr>
        <w:rPr>
          <w:rFonts w:ascii="Arial" w:cs="Arial" w:eastAsia="Arial" w:hAnsi="Arial"/>
          <w:sz w:val="14"/>
          <w:szCs w:val="14"/>
          <w:b w:val="1"/>
          <w:bCs w:val="1"/>
          <w:color w:val="auto"/>
        </w:rPr>
      </w:pPr>
      <w:r>
        <w:rPr>
          <w:rFonts w:ascii="Arial" w:cs="Arial" w:eastAsia="Arial" w:hAnsi="Arial"/>
          <w:sz w:val="14"/>
          <w:szCs w:val="14"/>
          <w:b w:val="1"/>
          <w:bCs w:val="1"/>
          <w:color w:val="auto"/>
        </w:rPr>
        <w:t>Loans and leases</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Total gross loans and leases outstanding were comprised of the following:</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7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0"/>
                <w:szCs w:val="10"/>
                <w:b w:val="1"/>
                <w:bCs w:val="1"/>
                <w:color w:val="auto"/>
              </w:rPr>
              <w:t>December 31</w:t>
            </w: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272"/>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0"/>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r>
      <w:tr>
        <w:trPr>
          <w:trHeight w:val="131"/>
        </w:trPr>
        <w:tc>
          <w:tcPr>
            <w:tcW w:w="7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580" w:type="dxa"/>
            <w:vAlign w:val="bottom"/>
            <w:gridSpan w:val="2"/>
          </w:tcPr>
          <w:p>
            <w:pPr>
              <w:jc w:val="right"/>
              <w:ind w:right="9"/>
              <w:spacing w:after="0"/>
              <w:rPr>
                <w:sz w:val="20"/>
                <w:szCs w:val="20"/>
                <w:color w:val="auto"/>
              </w:rPr>
            </w:pPr>
            <w:r>
              <w:rPr>
                <w:rFonts w:ascii="Arial" w:cs="Arial" w:eastAsia="Arial" w:hAnsi="Arial"/>
                <w:sz w:val="10"/>
                <w:szCs w:val="10"/>
                <w:b w:val="1"/>
                <w:bCs w:val="1"/>
                <w:color w:val="auto"/>
                <w:w w:val="92"/>
              </w:rPr>
              <w:t>thousands)</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3"/>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Loans</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Commercial, financial, agricultural, etc</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348"/>
              <w:spacing w:after="0"/>
              <w:rPr>
                <w:sz w:val="20"/>
                <w:szCs w:val="20"/>
                <w:color w:val="auto"/>
              </w:rPr>
            </w:pPr>
            <w:r>
              <w:rPr>
                <w:rFonts w:ascii="Arial" w:cs="Arial" w:eastAsia="Arial" w:hAnsi="Arial"/>
                <w:sz w:val="14"/>
                <w:szCs w:val="14"/>
                <w:color w:val="auto"/>
              </w:rPr>
              <w:t>10,472,919</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9,818,897</w:t>
            </w: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Real estate:</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7700" w:type="dxa"/>
            <w:vAlign w:val="bottom"/>
          </w:tcPr>
          <w:p>
            <w:pPr>
              <w:ind w:left="140"/>
              <w:spacing w:after="0"/>
              <w:rPr>
                <w:sz w:val="20"/>
                <w:szCs w:val="20"/>
                <w:color w:val="auto"/>
              </w:rPr>
            </w:pPr>
            <w:r>
              <w:rPr>
                <w:rFonts w:ascii="Arial" w:cs="Arial" w:eastAsia="Arial" w:hAnsi="Arial"/>
                <w:sz w:val="14"/>
                <w:szCs w:val="14"/>
                <w:color w:val="auto"/>
              </w:rPr>
              <w:t>Residential</w:t>
            </w:r>
          </w:p>
        </w:tc>
        <w:tc>
          <w:tcPr>
            <w:tcW w:w="160" w:type="dxa"/>
            <w:vAlign w:val="bottom"/>
          </w:tcPr>
          <w:p>
            <w:pPr>
              <w:spacing w:after="0"/>
              <w:rPr>
                <w:sz w:val="14"/>
                <w:szCs w:val="14"/>
                <w:color w:val="auto"/>
              </w:rPr>
            </w:pPr>
          </w:p>
        </w:tc>
        <w:tc>
          <w:tcPr>
            <w:tcW w:w="1140" w:type="dxa"/>
            <w:vAlign w:val="bottom"/>
            <w:gridSpan w:val="2"/>
          </w:tcPr>
          <w:p>
            <w:pPr>
              <w:jc w:val="right"/>
              <w:ind w:right="348"/>
              <w:spacing w:after="0"/>
              <w:rPr>
                <w:sz w:val="20"/>
                <w:szCs w:val="20"/>
                <w:color w:val="auto"/>
              </w:rPr>
            </w:pPr>
            <w:r>
              <w:rPr>
                <w:rFonts w:ascii="Arial" w:cs="Arial" w:eastAsia="Arial" w:hAnsi="Arial"/>
                <w:sz w:val="14"/>
                <w:szCs w:val="14"/>
                <w:color w:val="auto"/>
              </w:rPr>
              <w:t>5,248,119</w:t>
            </w: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3,802,645</w:t>
            </w:r>
          </w:p>
        </w:tc>
      </w:tr>
      <w:tr>
        <w:trPr>
          <w:trHeight w:val="167"/>
        </w:trPr>
        <w:tc>
          <w:tcPr>
            <w:tcW w:w="7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Commercial</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48"/>
              <w:spacing w:after="0"/>
              <w:rPr>
                <w:sz w:val="20"/>
                <w:szCs w:val="20"/>
                <w:color w:val="auto"/>
              </w:rPr>
            </w:pPr>
            <w:r>
              <w:rPr>
                <w:rFonts w:ascii="Arial" w:cs="Arial" w:eastAsia="Arial" w:hAnsi="Arial"/>
                <w:sz w:val="14"/>
                <w:szCs w:val="14"/>
                <w:color w:val="auto"/>
              </w:rPr>
              <w:t>12,691,964</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12,833,912</w:t>
            </w:r>
          </w:p>
        </w:tc>
      </w:tr>
      <w:tr>
        <w:trPr>
          <w:trHeight w:val="167"/>
        </w:trPr>
        <w:tc>
          <w:tcPr>
            <w:tcW w:w="7700" w:type="dxa"/>
            <w:vAlign w:val="bottom"/>
          </w:tcPr>
          <w:p>
            <w:pPr>
              <w:ind w:left="140"/>
              <w:spacing w:after="0"/>
              <w:rPr>
                <w:sz w:val="20"/>
                <w:szCs w:val="20"/>
                <w:color w:val="auto"/>
              </w:rPr>
            </w:pPr>
            <w:r>
              <w:rPr>
                <w:rFonts w:ascii="Arial" w:cs="Arial" w:eastAsia="Arial" w:hAnsi="Arial"/>
                <w:sz w:val="14"/>
                <w:szCs w:val="14"/>
                <w:color w:val="auto"/>
              </w:rPr>
              <w:t>Construction</w:t>
            </w:r>
          </w:p>
        </w:tc>
        <w:tc>
          <w:tcPr>
            <w:tcW w:w="160" w:type="dxa"/>
            <w:vAlign w:val="bottom"/>
          </w:tcPr>
          <w:p>
            <w:pPr>
              <w:spacing w:after="0"/>
              <w:rPr>
                <w:sz w:val="14"/>
                <w:szCs w:val="14"/>
                <w:color w:val="auto"/>
              </w:rPr>
            </w:pPr>
          </w:p>
        </w:tc>
        <w:tc>
          <w:tcPr>
            <w:tcW w:w="1140" w:type="dxa"/>
            <w:vAlign w:val="bottom"/>
            <w:gridSpan w:val="2"/>
          </w:tcPr>
          <w:p>
            <w:pPr>
              <w:jc w:val="right"/>
              <w:ind w:right="348"/>
              <w:spacing w:after="0"/>
              <w:rPr>
                <w:sz w:val="20"/>
                <w:szCs w:val="20"/>
                <w:color w:val="auto"/>
              </w:rPr>
            </w:pPr>
            <w:r>
              <w:rPr>
                <w:rFonts w:ascii="Arial" w:cs="Arial" w:eastAsia="Arial" w:hAnsi="Arial"/>
                <w:sz w:val="14"/>
                <w:szCs w:val="14"/>
                <w:color w:val="auto"/>
              </w:rPr>
              <w:t>3,453,981</w:t>
            </w: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2,335,498</w:t>
            </w: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Consumer</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48"/>
              <w:spacing w:after="0"/>
              <w:rPr>
                <w:sz w:val="20"/>
                <w:szCs w:val="20"/>
                <w:color w:val="auto"/>
              </w:rPr>
            </w:pPr>
            <w:r>
              <w:rPr>
                <w:rFonts w:ascii="Arial" w:cs="Arial" w:eastAsia="Arial" w:hAnsi="Arial"/>
                <w:sz w:val="14"/>
                <w:szCs w:val="14"/>
                <w:color w:val="auto"/>
              </w:rPr>
              <w:t>9,885,883</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10,385,740</w:t>
            </w:r>
          </w:p>
        </w:tc>
      </w:tr>
      <w:tr>
        <w:trPr>
          <w:trHeight w:val="167"/>
        </w:trPr>
        <w:tc>
          <w:tcPr>
            <w:tcW w:w="7700" w:type="dxa"/>
            <w:vAlign w:val="bottom"/>
          </w:tcPr>
          <w:p>
            <w:pPr>
              <w:ind w:left="140"/>
              <w:spacing w:after="0"/>
              <w:rPr>
                <w:sz w:val="20"/>
                <w:szCs w:val="20"/>
                <w:color w:val="auto"/>
              </w:rPr>
            </w:pPr>
            <w:r>
              <w:rPr>
                <w:rFonts w:ascii="Arial" w:cs="Arial" w:eastAsia="Arial" w:hAnsi="Arial"/>
                <w:sz w:val="14"/>
                <w:szCs w:val="14"/>
                <w:color w:val="auto"/>
              </w:rPr>
              <w:t>Total loans</w:t>
            </w: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41,752,866</w:t>
            </w:r>
          </w:p>
        </w:tc>
        <w:tc>
          <w:tcPr>
            <w:tcW w:w="4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39,176,692</w:t>
            </w:r>
          </w:p>
        </w:tc>
        <w:tc>
          <w:tcPr>
            <w:tcW w:w="100" w:type="dxa"/>
            <w:vAlign w:val="bottom"/>
          </w:tcPr>
          <w:p>
            <w:pPr>
              <w:spacing w:after="0"/>
              <w:rPr>
                <w:sz w:val="14"/>
                <w:szCs w:val="14"/>
                <w:color w:val="auto"/>
              </w:rPr>
            </w:pP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Leases</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14"/>
                <w:szCs w:val="14"/>
                <w:color w:val="auto"/>
              </w:rPr>
            </w:pPr>
          </w:p>
        </w:tc>
        <w:tc>
          <w:tcPr>
            <w:tcW w:w="1140" w:type="dxa"/>
            <w:vAlign w:val="bottom"/>
            <w:gridSpan w:val="2"/>
          </w:tcPr>
          <w:p>
            <w:pPr>
              <w:jc w:val="right"/>
              <w:ind w:right="348"/>
              <w:spacing w:after="0"/>
              <w:rPr>
                <w:sz w:val="20"/>
                <w:szCs w:val="20"/>
                <w:color w:val="auto"/>
              </w:rPr>
            </w:pPr>
            <w:r>
              <w:rPr>
                <w:rFonts w:ascii="Arial" w:cs="Arial" w:eastAsia="Arial" w:hAnsi="Arial"/>
                <w:sz w:val="14"/>
                <w:szCs w:val="14"/>
                <w:color w:val="auto"/>
              </w:rPr>
              <w:t>1,423,637</w:t>
            </w: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1,286,930</w:t>
            </w: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Consumer</w:t>
            </w:r>
          </w:p>
        </w:tc>
        <w:tc>
          <w:tcPr>
            <w:tcW w:w="1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48"/>
              <w:spacing w:after="0"/>
              <w:rPr>
                <w:sz w:val="20"/>
                <w:szCs w:val="20"/>
                <w:color w:val="auto"/>
              </w:rPr>
            </w:pPr>
            <w:r>
              <w:rPr>
                <w:rFonts w:ascii="Arial" w:cs="Arial" w:eastAsia="Arial" w:hAnsi="Arial"/>
                <w:sz w:val="14"/>
                <w:szCs w:val="14"/>
                <w:color w:val="auto"/>
              </w:rPr>
              <w:t>30,451</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90,069</w:t>
            </w:r>
          </w:p>
        </w:tc>
      </w:tr>
      <w:tr>
        <w:trPr>
          <w:trHeight w:val="167"/>
        </w:trPr>
        <w:tc>
          <w:tcPr>
            <w:tcW w:w="7700" w:type="dxa"/>
            <w:vAlign w:val="bottom"/>
          </w:tcPr>
          <w:p>
            <w:pPr>
              <w:ind w:left="140"/>
              <w:spacing w:after="0"/>
              <w:rPr>
                <w:sz w:val="20"/>
                <w:szCs w:val="20"/>
                <w:color w:val="auto"/>
              </w:rPr>
            </w:pPr>
            <w:r>
              <w:rPr>
                <w:rFonts w:ascii="Arial" w:cs="Arial" w:eastAsia="Arial" w:hAnsi="Arial"/>
                <w:sz w:val="14"/>
                <w:szCs w:val="14"/>
                <w:color w:val="auto"/>
              </w:rPr>
              <w:t>Total leases</w:t>
            </w: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1,454,088</w:t>
            </w:r>
          </w:p>
        </w:tc>
        <w:tc>
          <w:tcPr>
            <w:tcW w:w="4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1,376,999</w:t>
            </w:r>
          </w:p>
        </w:tc>
        <w:tc>
          <w:tcPr>
            <w:tcW w:w="100" w:type="dxa"/>
            <w:vAlign w:val="bottom"/>
          </w:tcPr>
          <w:p>
            <w:pPr>
              <w:spacing w:after="0"/>
              <w:rPr>
                <w:sz w:val="14"/>
                <w:szCs w:val="14"/>
                <w:color w:val="auto"/>
              </w:rPr>
            </w:pPr>
          </w:p>
        </w:tc>
      </w:tr>
      <w:tr>
        <w:trPr>
          <w:trHeight w:val="167"/>
        </w:trPr>
        <w:tc>
          <w:tcPr>
            <w:tcW w:w="7700" w:type="dxa"/>
            <w:vAlign w:val="bottom"/>
            <w:shd w:val="clear" w:color="auto" w:fill="CCEEFF"/>
          </w:tcPr>
          <w:p>
            <w:pPr>
              <w:spacing w:after="0"/>
              <w:rPr>
                <w:sz w:val="20"/>
                <w:szCs w:val="20"/>
                <w:color w:val="auto"/>
              </w:rPr>
            </w:pPr>
            <w:r>
              <w:rPr>
                <w:rFonts w:ascii="Arial" w:cs="Arial" w:eastAsia="Arial" w:hAnsi="Arial"/>
                <w:sz w:val="14"/>
                <w:szCs w:val="14"/>
                <w:color w:val="auto"/>
              </w:rPr>
              <w:t>Total loans and leases</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43,206,954</w:t>
            </w: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40,553,691</w:t>
            </w:r>
          </w:p>
        </w:tc>
      </w:tr>
      <w:tr>
        <w:trPr>
          <w:trHeight w:val="29"/>
        </w:trPr>
        <w:tc>
          <w:tcPr>
            <w:tcW w:w="7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86" w:lineRule="exact"/>
        <w:rPr>
          <w:sz w:val="20"/>
          <w:szCs w:val="20"/>
          <w:color w:val="auto"/>
        </w:rPr>
      </w:pPr>
    </w:p>
    <w:p>
      <w:pPr>
        <w:ind w:left="680" w:right="80" w:firstLine="599"/>
        <w:spacing w:after="0" w:line="250" w:lineRule="auto"/>
        <w:rPr>
          <w:sz w:val="20"/>
          <w:szCs w:val="20"/>
          <w:color w:val="auto"/>
        </w:rPr>
      </w:pPr>
      <w:r>
        <w:rPr>
          <w:rFonts w:ascii="Arial" w:cs="Arial" w:eastAsia="Arial" w:hAnsi="Arial"/>
          <w:sz w:val="14"/>
          <w:szCs w:val="14"/>
          <w:color w:val="auto"/>
        </w:rPr>
        <w:t>One-to-four family residential mortgage loans held for sale were $1.9 billion at December 31, 2006 and $1.2 billion at December 31, 2005. One-to-four family residential mortgage loans and smaller balance commercial mortgage loans with many repayment characteristics similar to residential mortgage loans that are serviced for others totaled approximately $16.7 billion and $15.6 billion at December 31, 2006 and 2005, respectively. As of December 31, 2006, approximately $7 million of one-to-four family residential mortgage loans serviced for others had been sold with credit recourse. Commercial mortgage loans held for sale were $49 million at December 31, 2006 and $199 million at December 31, 2005. Commercial mortgage loans serviced for others totaled approximately $4.9 billion and $4.3 billion at December 31, 2006 and 2005, respectively. As of December 31, 2006, approximately $939 million of commercial mortgage loan balances serviced for others had been sold with recourse in conjunction with the Company’s participation in the FNMA Delegated Underwriting and Servicing (“DUS”) program. At December 31, 2006, the Company estimated that the recourse obligations described above were not material to the Company’s consolidated financial position. There have been no material losses incurred as a result of those recourse arrangements. Included in consumer loans were home equity loans held for sale of $65 million at December 31, 2006 and $38 million at December 31, 2005.</w:t>
      </w:r>
    </w:p>
    <w:p>
      <w:pPr>
        <w:spacing w:after="0" w:line="6" w:lineRule="exact"/>
        <w:rPr>
          <w:sz w:val="20"/>
          <w:szCs w:val="20"/>
          <w:color w:val="auto"/>
        </w:rPr>
      </w:pPr>
    </w:p>
    <w:p>
      <w:pPr>
        <w:ind w:left="680" w:right="220" w:firstLine="599"/>
        <w:spacing w:after="0" w:line="249" w:lineRule="auto"/>
        <w:rPr>
          <w:sz w:val="20"/>
          <w:szCs w:val="20"/>
          <w:color w:val="auto"/>
        </w:rPr>
      </w:pPr>
      <w:r>
        <w:rPr>
          <w:rFonts w:ascii="Arial" w:cs="Arial" w:eastAsia="Arial" w:hAnsi="Arial"/>
          <w:sz w:val="14"/>
          <w:szCs w:val="14"/>
          <w:color w:val="auto"/>
        </w:rPr>
        <w:t>Nonperforming loans (loans on which interest was not being accrued or had been renegotiated at below-market interest rates) totaled $224,228,000 at December 31, 2006 and $156,451,000 at December 31, 2005. If nonaccrual and renegotiated loans had been accruing interest at their originally contracted terms, interest income on such loans would have amounted to $17,173,000 in 2006 and $12,144,000 in 2005. The actual amounts included in interest income during 2006 and 2005 on such loans were $6,770,000 and $3,279,000, respectively.</w:t>
      </w:r>
    </w:p>
    <w:p>
      <w:pPr>
        <w:ind w:left="680" w:right="220" w:firstLine="599"/>
        <w:spacing w:after="0" w:line="274" w:lineRule="auto"/>
        <w:rPr>
          <w:sz w:val="20"/>
          <w:szCs w:val="20"/>
          <w:color w:val="auto"/>
        </w:rPr>
      </w:pPr>
      <w:r>
        <w:rPr>
          <w:rFonts w:ascii="Arial" w:cs="Arial" w:eastAsia="Arial" w:hAnsi="Arial"/>
          <w:sz w:val="13"/>
          <w:szCs w:val="13"/>
          <w:color w:val="auto"/>
        </w:rPr>
        <w:t>The recorded investment in loans considered impaired for purposes of applying SFAS No. 114 was $152,676,000 and $92,528,000 at December 31, 2006 and 2005, respectively. The recorded investment in loans considered impaired for which there was a related valuation allowance for impairment included in the allowance for credit losses and the amount of such impairment allowance were $139,021,000 and $23,388,000, respectively, at December 31, 2006 and $65,244,000 and $15,343,000, respectively, at December 31, 2005. The recorded investment in loans considered impaired for which there was no related valuation allowance for impairment was $13,655,000 and $27,284,000 at December 31, 2006 and 2005, respectively. The average recorded investment in impaired loans during 2006, 2005 and 2004 was $97,263,000, $106,603,000 and $135,431,000, respectively. Interest income recognized on impaired loans</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4" w:name="page95"/>
    <w:bookmarkEnd w:id="9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5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totaled $4,866,000, $4,522,000 and $10,546,000 for the years ended December 31, 2006, 2005 and 2004, respectively.</w:t>
      </w:r>
    </w:p>
    <w:p>
      <w:pPr>
        <w:spacing w:after="0" w:line="18"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Borrowings by directors and certain officers of M</w:t>
      </w:r>
      <w:r>
        <w:rPr>
          <w:rFonts w:ascii="Arial" w:cs="Arial" w:eastAsia="Arial" w:hAnsi="Arial"/>
          <w:sz w:val="12"/>
          <w:szCs w:val="12"/>
          <w:color w:val="auto"/>
        </w:rPr>
        <w:t>&amp;</w:t>
      </w:r>
      <w:r>
        <w:rPr>
          <w:rFonts w:ascii="Arial" w:cs="Arial" w:eastAsia="Arial" w:hAnsi="Arial"/>
          <w:sz w:val="13"/>
          <w:szCs w:val="13"/>
          <w:color w:val="auto"/>
        </w:rPr>
        <w:t>T and its banking subsidiaries, and by associates of such persons, exclusive of loans aggregating less than</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$120,000, amounted to $158,032,000 and $172,610,000 at December 31, 2006 and 2005, respectively. During 2006, new borrowings by such persons amounted to</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$61,061,000 (including borrowings of new directors or officers that were outstanding at the time of their election) and repayments and other reductions (including reductions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resulting from retirements) were $75,639,000.</w:t>
      </w:r>
    </w:p>
    <w:p>
      <w:pPr>
        <w:spacing w:after="0" w:line="6" w:lineRule="exact"/>
        <w:rPr>
          <w:sz w:val="20"/>
          <w:szCs w:val="20"/>
          <w:color w:val="auto"/>
        </w:rPr>
      </w:pPr>
    </w:p>
    <w:p>
      <w:pPr>
        <w:jc w:val="both"/>
        <w:ind w:left="680" w:right="20" w:firstLine="599"/>
        <w:spacing w:after="0" w:line="249" w:lineRule="auto"/>
        <w:rPr>
          <w:sz w:val="20"/>
          <w:szCs w:val="20"/>
          <w:color w:val="auto"/>
        </w:rPr>
      </w:pPr>
      <w:r>
        <w:rPr>
          <w:rFonts w:ascii="Arial" w:cs="Arial" w:eastAsia="Arial" w:hAnsi="Arial"/>
          <w:sz w:val="14"/>
          <w:szCs w:val="14"/>
          <w:color w:val="auto"/>
        </w:rPr>
        <w:t>At December 31, 2006, approximately $948 million of commercial mortgage loans and $2.3 billion of one-to-four family residential mortgage loans were pledged to secure outstanding borrowings. As described in note 18, as of December 31, 2006, $565 million of automobile loans and related assets were effectively pledged to secure a $500 million revolving structured borrowing.</w:t>
      </w:r>
    </w:p>
    <w:p>
      <w:pPr>
        <w:ind w:left="680" w:right="40" w:firstLine="599"/>
        <w:spacing w:after="0" w:line="256" w:lineRule="auto"/>
        <w:rPr>
          <w:sz w:val="20"/>
          <w:szCs w:val="20"/>
          <w:color w:val="auto"/>
        </w:rPr>
      </w:pPr>
      <w:r>
        <w:rPr>
          <w:rFonts w:ascii="Arial" w:cs="Arial" w:eastAsia="Arial" w:hAnsi="Arial"/>
          <w:sz w:val="14"/>
          <w:szCs w:val="14"/>
          <w:color w:val="auto"/>
        </w:rPr>
        <w:t>The Company’s loan and lease portfolio includes (i) commercial lease financing receivables consisting of direct financing and leveraged leases for machinery and equipment, railroad equipment, commercial trucks and trailers, and commercial aircraft, and (ii) consumer leases for automobiles and light trucks. A summary of lease financing receivables follows:</w:t>
      </w:r>
    </w:p>
    <w:p>
      <w:pPr>
        <w:spacing w:after="0" w:line="6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0"/>
                <w:szCs w:val="10"/>
                <w:b w:val="1"/>
                <w:bCs w:val="1"/>
                <w:color w:val="auto"/>
              </w:rPr>
              <w:t>December 31</w:t>
            </w: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9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231"/>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09"/>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r>
      <w:tr>
        <w:trPr>
          <w:trHeight w:val="131"/>
        </w:trPr>
        <w:tc>
          <w:tcPr>
            <w:tcW w:w="7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560" w:type="dxa"/>
            <w:vAlign w:val="bottom"/>
            <w:gridSpan w:val="2"/>
          </w:tcPr>
          <w:p>
            <w:pPr>
              <w:jc w:val="right"/>
              <w:spacing w:after="0"/>
              <w:rPr>
                <w:sz w:val="20"/>
                <w:szCs w:val="20"/>
                <w:color w:val="auto"/>
              </w:rPr>
            </w:pPr>
            <w:r>
              <w:rPr>
                <w:rFonts w:ascii="Arial" w:cs="Arial" w:eastAsia="Arial" w:hAnsi="Arial"/>
                <w:sz w:val="10"/>
                <w:szCs w:val="10"/>
                <w:b w:val="1"/>
                <w:bCs w:val="1"/>
                <w:color w:val="auto"/>
                <w:w w:val="92"/>
              </w:rPr>
              <w:t>thousands)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3"/>
        </w:trPr>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Commercial leases:</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7"/>
        </w:trPr>
        <w:tc>
          <w:tcPr>
            <w:tcW w:w="7900" w:type="dxa"/>
            <w:vAlign w:val="bottom"/>
          </w:tcPr>
          <w:p>
            <w:pPr>
              <w:ind w:left="140"/>
              <w:spacing w:after="0"/>
              <w:rPr>
                <w:sz w:val="20"/>
                <w:szCs w:val="20"/>
                <w:color w:val="auto"/>
              </w:rPr>
            </w:pPr>
            <w:r>
              <w:rPr>
                <w:rFonts w:ascii="Arial" w:cs="Arial" w:eastAsia="Arial" w:hAnsi="Arial"/>
                <w:sz w:val="14"/>
                <w:szCs w:val="14"/>
                <w:color w:val="auto"/>
              </w:rPr>
              <w:t>Direct financings:</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Lease payments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992,016</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875,869</w:t>
            </w:r>
          </w:p>
        </w:tc>
      </w:tr>
      <w:tr>
        <w:trPr>
          <w:trHeight w:val="167"/>
        </w:trPr>
        <w:tc>
          <w:tcPr>
            <w:tcW w:w="7900" w:type="dxa"/>
            <w:vAlign w:val="bottom"/>
          </w:tcPr>
          <w:p>
            <w:pPr>
              <w:ind w:left="280"/>
              <w:spacing w:after="0"/>
              <w:rPr>
                <w:sz w:val="20"/>
                <w:szCs w:val="20"/>
                <w:color w:val="auto"/>
              </w:rPr>
            </w:pPr>
            <w:r>
              <w:rPr>
                <w:rFonts w:ascii="Arial" w:cs="Arial" w:eastAsia="Arial" w:hAnsi="Arial"/>
                <w:sz w:val="14"/>
                <w:szCs w:val="14"/>
                <w:color w:val="auto"/>
              </w:rPr>
              <w:t>Estimated residual value of leased assets</w:t>
            </w:r>
          </w:p>
        </w:tc>
        <w:tc>
          <w:tcPr>
            <w:tcW w:w="140" w:type="dxa"/>
            <w:vAlign w:val="bottom"/>
          </w:tcPr>
          <w:p>
            <w:pPr>
              <w:spacing w:after="0"/>
              <w:rPr>
                <w:sz w:val="14"/>
                <w:szCs w:val="14"/>
                <w:color w:val="auto"/>
              </w:rPr>
            </w:pPr>
          </w:p>
        </w:tc>
        <w:tc>
          <w:tcPr>
            <w:tcW w:w="1040" w:type="dxa"/>
            <w:vAlign w:val="bottom"/>
            <w:gridSpan w:val="2"/>
          </w:tcPr>
          <w:p>
            <w:pPr>
              <w:jc w:val="right"/>
              <w:ind w:right="328"/>
              <w:spacing w:after="0"/>
              <w:rPr>
                <w:sz w:val="20"/>
                <w:szCs w:val="20"/>
                <w:color w:val="auto"/>
              </w:rPr>
            </w:pPr>
            <w:r>
              <w:rPr>
                <w:rFonts w:ascii="Arial" w:cs="Arial" w:eastAsia="Arial" w:hAnsi="Arial"/>
                <w:sz w:val="14"/>
                <w:szCs w:val="14"/>
                <w:color w:val="auto"/>
              </w:rPr>
              <w:t>99,564</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117,927</w:t>
            </w:r>
          </w:p>
        </w:tc>
      </w:tr>
      <w:tr>
        <w:trPr>
          <w:trHeight w:val="167"/>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Unearned income</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88"/>
              <w:spacing w:after="0"/>
              <w:rPr>
                <w:sz w:val="20"/>
                <w:szCs w:val="20"/>
                <w:color w:val="auto"/>
              </w:rPr>
            </w:pPr>
            <w:r>
              <w:rPr>
                <w:rFonts w:ascii="Arial" w:cs="Arial" w:eastAsia="Arial" w:hAnsi="Arial"/>
                <w:sz w:val="14"/>
                <w:szCs w:val="14"/>
                <w:color w:val="auto"/>
              </w:rPr>
              <w:t>(162,897)</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(135,789)</w:t>
            </w:r>
          </w:p>
        </w:tc>
      </w:tr>
      <w:tr>
        <w:trPr>
          <w:trHeight w:val="167"/>
        </w:trPr>
        <w:tc>
          <w:tcPr>
            <w:tcW w:w="7900" w:type="dxa"/>
            <w:vAlign w:val="bottom"/>
          </w:tcPr>
          <w:p>
            <w:pPr>
              <w:ind w:left="400"/>
              <w:spacing w:after="0"/>
              <w:rPr>
                <w:sz w:val="20"/>
                <w:szCs w:val="20"/>
                <w:color w:val="auto"/>
              </w:rPr>
            </w:pPr>
            <w:r>
              <w:rPr>
                <w:rFonts w:ascii="Arial" w:cs="Arial" w:eastAsia="Arial" w:hAnsi="Arial"/>
                <w:sz w:val="14"/>
                <w:szCs w:val="14"/>
                <w:color w:val="auto"/>
              </w:rPr>
              <w:t>Investment in direct financings</w:t>
            </w: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928,683</w:t>
            </w:r>
          </w:p>
        </w:tc>
        <w:tc>
          <w:tcPr>
            <w:tcW w:w="3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858,007</w:t>
            </w:r>
          </w:p>
        </w:tc>
        <w:tc>
          <w:tcPr>
            <w:tcW w:w="100" w:type="dxa"/>
            <w:vAlign w:val="bottom"/>
          </w:tcPr>
          <w:p>
            <w:pPr>
              <w:spacing w:after="0"/>
              <w:rPr>
                <w:sz w:val="14"/>
                <w:szCs w:val="14"/>
                <w:color w:val="auto"/>
              </w:rPr>
            </w:pPr>
          </w:p>
        </w:tc>
      </w:tr>
      <w:tr>
        <w:trPr>
          <w:trHeight w:val="167"/>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Leveraged leases:</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7900" w:type="dxa"/>
            <w:vAlign w:val="bottom"/>
          </w:tcPr>
          <w:p>
            <w:pPr>
              <w:ind w:left="280"/>
              <w:spacing w:after="0"/>
              <w:rPr>
                <w:sz w:val="20"/>
                <w:szCs w:val="20"/>
                <w:color w:val="auto"/>
              </w:rPr>
            </w:pPr>
            <w:r>
              <w:rPr>
                <w:rFonts w:ascii="Arial" w:cs="Arial" w:eastAsia="Arial" w:hAnsi="Arial"/>
                <w:sz w:val="14"/>
                <w:szCs w:val="14"/>
                <w:color w:val="auto"/>
              </w:rPr>
              <w:t>Lease payments receivable</w:t>
            </w:r>
          </w:p>
        </w:tc>
        <w:tc>
          <w:tcPr>
            <w:tcW w:w="140" w:type="dxa"/>
            <w:vAlign w:val="bottom"/>
          </w:tcPr>
          <w:p>
            <w:pPr>
              <w:spacing w:after="0"/>
              <w:rPr>
                <w:sz w:val="14"/>
                <w:szCs w:val="14"/>
                <w:color w:val="auto"/>
              </w:rPr>
            </w:pPr>
          </w:p>
        </w:tc>
        <w:tc>
          <w:tcPr>
            <w:tcW w:w="1040" w:type="dxa"/>
            <w:vAlign w:val="bottom"/>
            <w:gridSpan w:val="2"/>
          </w:tcPr>
          <w:p>
            <w:pPr>
              <w:jc w:val="right"/>
              <w:ind w:right="328"/>
              <w:spacing w:after="0"/>
              <w:rPr>
                <w:sz w:val="20"/>
                <w:szCs w:val="20"/>
                <w:color w:val="auto"/>
              </w:rPr>
            </w:pPr>
            <w:r>
              <w:rPr>
                <w:rFonts w:ascii="Arial" w:cs="Arial" w:eastAsia="Arial" w:hAnsi="Arial"/>
                <w:sz w:val="14"/>
                <w:szCs w:val="14"/>
                <w:color w:val="auto"/>
              </w:rPr>
              <w:t>157,377</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135,469</w:t>
            </w:r>
          </w:p>
        </w:tc>
      </w:tr>
      <w:tr>
        <w:trPr>
          <w:trHeight w:val="167"/>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Estimated residual value of leased assets</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174,680</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157,665</w:t>
            </w:r>
          </w:p>
        </w:tc>
      </w:tr>
      <w:tr>
        <w:trPr>
          <w:trHeight w:val="167"/>
        </w:trPr>
        <w:tc>
          <w:tcPr>
            <w:tcW w:w="7900" w:type="dxa"/>
            <w:vAlign w:val="bottom"/>
          </w:tcPr>
          <w:p>
            <w:pPr>
              <w:ind w:left="280"/>
              <w:spacing w:after="0"/>
              <w:rPr>
                <w:sz w:val="20"/>
                <w:szCs w:val="20"/>
                <w:color w:val="auto"/>
              </w:rPr>
            </w:pPr>
            <w:r>
              <w:rPr>
                <w:rFonts w:ascii="Arial" w:cs="Arial" w:eastAsia="Arial" w:hAnsi="Arial"/>
                <w:sz w:val="14"/>
                <w:szCs w:val="14"/>
                <w:color w:val="auto"/>
              </w:rPr>
              <w:t>Unearned income</w:t>
            </w:r>
          </w:p>
        </w:tc>
        <w:tc>
          <w:tcPr>
            <w:tcW w:w="140" w:type="dxa"/>
            <w:vAlign w:val="bottom"/>
          </w:tcPr>
          <w:p>
            <w:pPr>
              <w:spacing w:after="0"/>
              <w:rPr>
                <w:sz w:val="14"/>
                <w:szCs w:val="14"/>
                <w:color w:val="auto"/>
              </w:rPr>
            </w:pPr>
          </w:p>
        </w:tc>
        <w:tc>
          <w:tcPr>
            <w:tcW w:w="1040" w:type="dxa"/>
            <w:vAlign w:val="bottom"/>
            <w:gridSpan w:val="2"/>
          </w:tcPr>
          <w:p>
            <w:pPr>
              <w:jc w:val="right"/>
              <w:ind w:right="288"/>
              <w:spacing w:after="0"/>
              <w:rPr>
                <w:sz w:val="20"/>
                <w:szCs w:val="20"/>
                <w:color w:val="auto"/>
              </w:rPr>
            </w:pPr>
            <w:r>
              <w:rPr>
                <w:rFonts w:ascii="Arial" w:cs="Arial" w:eastAsia="Arial" w:hAnsi="Arial"/>
                <w:sz w:val="14"/>
                <w:szCs w:val="14"/>
                <w:color w:val="auto"/>
              </w:rPr>
              <w:t>(59,738)</w:t>
            </w:r>
          </w:p>
        </w:tc>
        <w:tc>
          <w:tcPr>
            <w:tcW w:w="1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(43,374)</w:t>
            </w:r>
          </w:p>
        </w:tc>
      </w:tr>
      <w:tr>
        <w:trPr>
          <w:trHeight w:val="20"/>
        </w:trPr>
        <w:tc>
          <w:tcPr>
            <w:tcW w:w="7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7900" w:type="dxa"/>
            <w:vAlign w:val="bottom"/>
            <w:shd w:val="clear" w:color="auto" w:fill="CCEEFF"/>
          </w:tcPr>
          <w:p>
            <w:pPr>
              <w:ind w:left="400"/>
              <w:spacing w:after="0"/>
              <w:rPr>
                <w:sz w:val="20"/>
                <w:szCs w:val="20"/>
                <w:color w:val="auto"/>
              </w:rPr>
            </w:pPr>
            <w:r>
              <w:rPr>
                <w:rFonts w:ascii="Arial" w:cs="Arial" w:eastAsia="Arial" w:hAnsi="Arial"/>
                <w:sz w:val="14"/>
                <w:szCs w:val="14"/>
                <w:color w:val="auto"/>
              </w:rPr>
              <w:t>Investment in leveraged leases</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272,319</w:t>
            </w: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249,760</w:t>
            </w:r>
          </w:p>
        </w:tc>
      </w:tr>
      <w:tr>
        <w:trPr>
          <w:trHeight w:val="167"/>
        </w:trPr>
        <w:tc>
          <w:tcPr>
            <w:tcW w:w="7900" w:type="dxa"/>
            <w:vAlign w:val="bottom"/>
          </w:tcPr>
          <w:p>
            <w:pPr>
              <w:ind w:left="400"/>
              <w:spacing w:after="0"/>
              <w:rPr>
                <w:sz w:val="20"/>
                <w:szCs w:val="20"/>
                <w:color w:val="auto"/>
              </w:rPr>
            </w:pPr>
            <w:r>
              <w:rPr>
                <w:rFonts w:ascii="Arial" w:cs="Arial" w:eastAsia="Arial" w:hAnsi="Arial"/>
                <w:sz w:val="14"/>
                <w:szCs w:val="14"/>
                <w:color w:val="auto"/>
              </w:rPr>
              <w:t>Investment in commercial leases</w:t>
            </w: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1,201,002</w:t>
            </w:r>
          </w:p>
        </w:tc>
        <w:tc>
          <w:tcPr>
            <w:tcW w:w="3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1,107,767</w:t>
            </w:r>
          </w:p>
        </w:tc>
        <w:tc>
          <w:tcPr>
            <w:tcW w:w="100" w:type="dxa"/>
            <w:vAlign w:val="bottom"/>
          </w:tcPr>
          <w:p>
            <w:pPr>
              <w:spacing w:after="0"/>
              <w:rPr>
                <w:sz w:val="14"/>
                <w:szCs w:val="14"/>
                <w:color w:val="auto"/>
              </w:rPr>
            </w:pPr>
          </w:p>
        </w:tc>
      </w:tr>
      <w:tr>
        <w:trPr>
          <w:trHeight w:val="167"/>
        </w:trPr>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Consumer automobile leases:</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7900" w:type="dxa"/>
            <w:vAlign w:val="bottom"/>
          </w:tcPr>
          <w:p>
            <w:pPr>
              <w:ind w:left="140"/>
              <w:spacing w:after="0"/>
              <w:rPr>
                <w:sz w:val="20"/>
                <w:szCs w:val="20"/>
                <w:color w:val="auto"/>
              </w:rPr>
            </w:pPr>
            <w:r>
              <w:rPr>
                <w:rFonts w:ascii="Arial" w:cs="Arial" w:eastAsia="Arial" w:hAnsi="Arial"/>
                <w:sz w:val="14"/>
                <w:szCs w:val="14"/>
                <w:color w:val="auto"/>
              </w:rPr>
              <w:t>Lease payments receivable</w:t>
            </w:r>
          </w:p>
        </w:tc>
        <w:tc>
          <w:tcPr>
            <w:tcW w:w="140" w:type="dxa"/>
            <w:vAlign w:val="bottom"/>
          </w:tcPr>
          <w:p>
            <w:pPr>
              <w:spacing w:after="0"/>
              <w:rPr>
                <w:sz w:val="14"/>
                <w:szCs w:val="14"/>
                <w:color w:val="auto"/>
              </w:rPr>
            </w:pPr>
          </w:p>
        </w:tc>
        <w:tc>
          <w:tcPr>
            <w:tcW w:w="1040" w:type="dxa"/>
            <w:vAlign w:val="bottom"/>
            <w:gridSpan w:val="2"/>
          </w:tcPr>
          <w:p>
            <w:pPr>
              <w:jc w:val="right"/>
              <w:ind w:right="328"/>
              <w:spacing w:after="0"/>
              <w:rPr>
                <w:sz w:val="20"/>
                <w:szCs w:val="20"/>
                <w:color w:val="auto"/>
              </w:rPr>
            </w:pPr>
            <w:r>
              <w:rPr>
                <w:rFonts w:ascii="Arial" w:cs="Arial" w:eastAsia="Arial" w:hAnsi="Arial"/>
                <w:sz w:val="14"/>
                <w:szCs w:val="14"/>
                <w:color w:val="auto"/>
              </w:rPr>
              <w:t>6,527</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27,649</w:t>
            </w:r>
          </w:p>
        </w:tc>
      </w:tr>
      <w:tr>
        <w:trPr>
          <w:trHeight w:val="167"/>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Estimated residual value of leased assets</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23,924</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62,420</w:t>
            </w:r>
          </w:p>
        </w:tc>
      </w:tr>
      <w:tr>
        <w:trPr>
          <w:trHeight w:val="167"/>
        </w:trPr>
        <w:tc>
          <w:tcPr>
            <w:tcW w:w="7900" w:type="dxa"/>
            <w:vAlign w:val="bottom"/>
          </w:tcPr>
          <w:p>
            <w:pPr>
              <w:ind w:left="140"/>
              <w:spacing w:after="0"/>
              <w:rPr>
                <w:sz w:val="20"/>
                <w:szCs w:val="20"/>
                <w:color w:val="auto"/>
              </w:rPr>
            </w:pPr>
            <w:r>
              <w:rPr>
                <w:rFonts w:ascii="Arial" w:cs="Arial" w:eastAsia="Arial" w:hAnsi="Arial"/>
                <w:sz w:val="14"/>
                <w:szCs w:val="14"/>
                <w:color w:val="auto"/>
              </w:rPr>
              <w:t>Unearned income</w:t>
            </w:r>
          </w:p>
        </w:tc>
        <w:tc>
          <w:tcPr>
            <w:tcW w:w="140" w:type="dxa"/>
            <w:vAlign w:val="bottom"/>
          </w:tcPr>
          <w:p>
            <w:pPr>
              <w:spacing w:after="0"/>
              <w:rPr>
                <w:sz w:val="14"/>
                <w:szCs w:val="14"/>
                <w:color w:val="auto"/>
              </w:rPr>
            </w:pPr>
          </w:p>
        </w:tc>
        <w:tc>
          <w:tcPr>
            <w:tcW w:w="1040" w:type="dxa"/>
            <w:vAlign w:val="bottom"/>
            <w:gridSpan w:val="2"/>
          </w:tcPr>
          <w:p>
            <w:pPr>
              <w:jc w:val="right"/>
              <w:ind w:right="288"/>
              <w:spacing w:after="0"/>
              <w:rPr>
                <w:sz w:val="20"/>
                <w:szCs w:val="20"/>
                <w:color w:val="auto"/>
              </w:rPr>
            </w:pPr>
            <w:r>
              <w:rPr>
                <w:rFonts w:ascii="Arial" w:cs="Arial" w:eastAsia="Arial" w:hAnsi="Arial"/>
                <w:sz w:val="14"/>
                <w:szCs w:val="14"/>
                <w:color w:val="auto"/>
              </w:rPr>
              <w:t>(1,038)</w:t>
            </w:r>
          </w:p>
        </w:tc>
        <w:tc>
          <w:tcPr>
            <w:tcW w:w="18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(4,867)</w:t>
            </w:r>
          </w:p>
        </w:tc>
      </w:tr>
      <w:tr>
        <w:trPr>
          <w:trHeight w:val="20"/>
        </w:trPr>
        <w:tc>
          <w:tcPr>
            <w:tcW w:w="7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Investment in consumer automobile leases</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29,413</w:t>
            </w: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85,202</w:t>
            </w:r>
          </w:p>
        </w:tc>
      </w:tr>
      <w:tr>
        <w:trPr>
          <w:trHeight w:val="181"/>
        </w:trPr>
        <w:tc>
          <w:tcPr>
            <w:tcW w:w="7900" w:type="dxa"/>
            <w:vAlign w:val="bottom"/>
          </w:tcPr>
          <w:p>
            <w:pPr>
              <w:spacing w:after="0"/>
              <w:rPr>
                <w:sz w:val="20"/>
                <w:szCs w:val="20"/>
                <w:color w:val="auto"/>
              </w:rPr>
            </w:pPr>
            <w:r>
              <w:rPr>
                <w:rFonts w:ascii="Arial" w:cs="Arial" w:eastAsia="Arial" w:hAnsi="Arial"/>
                <w:sz w:val="14"/>
                <w:szCs w:val="14"/>
                <w:color w:val="auto"/>
              </w:rPr>
              <w:t>Total investment in leases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1,230,415</w:t>
            </w:r>
          </w:p>
        </w:tc>
        <w:tc>
          <w:tcPr>
            <w:tcW w:w="38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1,192,969</w:t>
            </w:r>
          </w:p>
        </w:tc>
        <w:tc>
          <w:tcPr>
            <w:tcW w:w="100" w:type="dxa"/>
            <w:vAlign w:val="bottom"/>
          </w:tcPr>
          <w:p>
            <w:pPr>
              <w:spacing w:after="0"/>
              <w:rPr>
                <w:sz w:val="15"/>
                <w:szCs w:val="15"/>
                <w:color w:val="auto"/>
              </w:rPr>
            </w:pPr>
          </w:p>
        </w:tc>
      </w:tr>
      <w:tr>
        <w:trPr>
          <w:trHeight w:val="172"/>
        </w:trPr>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Deferred taxes payable arising from leveraged leases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205,619</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211,980</w:t>
            </w:r>
          </w:p>
        </w:tc>
      </w:tr>
    </w:tbl>
    <w:p>
      <w:pPr>
        <w:spacing w:after="0" w:line="76" w:lineRule="exact"/>
        <w:rPr>
          <w:sz w:val="20"/>
          <w:szCs w:val="20"/>
          <w:color w:val="auto"/>
        </w:rPr>
      </w:pPr>
    </w:p>
    <w:p>
      <w:pPr>
        <w:ind w:left="680" w:right="160" w:firstLine="599"/>
        <w:spacing w:after="0" w:line="255" w:lineRule="auto"/>
        <w:rPr>
          <w:sz w:val="20"/>
          <w:szCs w:val="20"/>
          <w:color w:val="auto"/>
        </w:rPr>
      </w:pPr>
      <w:r>
        <w:rPr>
          <w:rFonts w:ascii="Arial" w:cs="Arial" w:eastAsia="Arial" w:hAnsi="Arial"/>
          <w:sz w:val="14"/>
          <w:szCs w:val="14"/>
          <w:color w:val="auto"/>
        </w:rPr>
        <w:t>Included within the estimated residual value of leased assets at December 31, 2006 and 2005 were $51 million and $31 million, respectively, in residual value associated with direct financing leases that are guaranteed by the lessees. The Company is indemnified from loss by Allied Irish Banks, p.l.c. (“AIB”) on a portion of leveraged leases obtained in the acquisition of a former subsidiary of AIB on April 1, 2003. Amounts as of December 31, 2006 and 2005 in the leveraged lease section of the table subject to such indemnification included at each respective date lease payments receivable of $9 million, estimated residual value of leased assets of $31 million, and unearned income of $8 million. For consumer automobile leases, substantially all residual values were insured by third parties for declines in published industry-standard residual values.</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5" w:name="page96"/>
    <w:bookmarkEnd w:id="9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At December 31, 2006, the minimum future lease payments to be received from lease financings were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4"/>
          </w:tcPr>
          <w:p>
            <w:pPr>
              <w:jc w:val="right"/>
              <w:ind w:right="260"/>
              <w:spacing w:after="0"/>
              <w:rPr>
                <w:sz w:val="20"/>
                <w:szCs w:val="20"/>
                <w:color w:val="auto"/>
              </w:rPr>
            </w:pPr>
            <w:r>
              <w:rPr>
                <w:rFonts w:ascii="Arial" w:cs="Arial" w:eastAsia="Arial" w:hAnsi="Arial"/>
                <w:sz w:val="10"/>
                <w:szCs w:val="10"/>
                <w:b w:val="1"/>
                <w:bCs w:val="1"/>
                <w:color w:val="auto"/>
                <w:w w:val="97"/>
              </w:rPr>
              <w:t>Commercial</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6"/>
          </w:tcPr>
          <w:p>
            <w:pPr>
              <w:ind w:left="40"/>
              <w:spacing w:after="0"/>
              <w:rPr>
                <w:sz w:val="20"/>
                <w:szCs w:val="20"/>
                <w:color w:val="auto"/>
              </w:rPr>
            </w:pPr>
            <w:r>
              <w:rPr>
                <w:rFonts w:ascii="Arial" w:cs="Arial" w:eastAsia="Arial" w:hAnsi="Arial"/>
                <w:sz w:val="10"/>
                <w:szCs w:val="10"/>
                <w:b w:val="1"/>
                <w:bCs w:val="1"/>
                <w:color w:val="auto"/>
              </w:rPr>
              <w:t>Consumer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3"/>
          </w:tcPr>
          <w:p>
            <w:pPr>
              <w:jc w:val="right"/>
              <w:ind w:right="1180"/>
              <w:spacing w:after="0"/>
              <w:rPr>
                <w:sz w:val="20"/>
                <w:szCs w:val="20"/>
                <w:color w:val="auto"/>
              </w:rPr>
            </w:pPr>
            <w:r>
              <w:rPr>
                <w:rFonts w:ascii="Arial" w:cs="Arial" w:eastAsia="Arial" w:hAnsi="Arial"/>
                <w:sz w:val="10"/>
                <w:szCs w:val="10"/>
                <w:b w:val="1"/>
                <w:bCs w:val="1"/>
                <w:color w:val="auto"/>
                <w:w w:val="83"/>
              </w:rPr>
              <w:t>Total</w:t>
            </w:r>
          </w:p>
        </w:tc>
      </w:tr>
      <w:tr>
        <w:trPr>
          <w:trHeight w:val="131"/>
        </w:trPr>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Borders>
              <w:top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w w:val="84"/>
              </w:rPr>
              <w:t>(In thousands)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73"/>
        </w:trPr>
        <w:tc>
          <w:tcPr>
            <w:tcW w:w="680" w:type="dxa"/>
            <w:vAlign w:val="bottom"/>
          </w:tcPr>
          <w:p>
            <w:pPr>
              <w:spacing w:after="0"/>
              <w:rPr>
                <w:sz w:val="15"/>
                <w:szCs w:val="15"/>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Year ending December 31: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Pr>
          <w:p>
            <w:pPr>
              <w:spacing w:after="0"/>
              <w:rPr>
                <w:sz w:val="15"/>
                <w:szCs w:val="15"/>
                <w:color w:val="auto"/>
              </w:rPr>
            </w:pPr>
          </w:p>
        </w:tc>
      </w:tr>
      <w:tr>
        <w:trPr>
          <w:trHeight w:val="167"/>
        </w:trPr>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780" w:type="dxa"/>
            <w:vAlign w:val="bottom"/>
          </w:tcPr>
          <w:p>
            <w:pPr>
              <w:ind w:left="20"/>
              <w:spacing w:after="0"/>
              <w:rPr>
                <w:sz w:val="20"/>
                <w:szCs w:val="20"/>
                <w:color w:val="auto"/>
              </w:rPr>
            </w:pPr>
            <w:r>
              <w:rPr>
                <w:rFonts w:ascii="Arial" w:cs="Arial" w:eastAsia="Arial" w:hAnsi="Arial"/>
                <w:sz w:val="14"/>
                <w:szCs w:val="14"/>
                <w:color w:val="auto"/>
              </w:rPr>
              <w:t>2007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264,701</w:t>
            </w:r>
          </w:p>
        </w:tc>
        <w:tc>
          <w:tcPr>
            <w:tcW w:w="40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gridSpan w:val="3"/>
          </w:tcPr>
          <w:p>
            <w:pPr>
              <w:jc w:val="right"/>
              <w:ind w:right="48"/>
              <w:spacing w:after="0"/>
              <w:rPr>
                <w:sz w:val="20"/>
                <w:szCs w:val="20"/>
                <w:color w:val="auto"/>
              </w:rPr>
            </w:pPr>
            <w:r>
              <w:rPr>
                <w:rFonts w:ascii="Arial" w:cs="Arial" w:eastAsia="Arial" w:hAnsi="Arial"/>
                <w:sz w:val="14"/>
                <w:szCs w:val="14"/>
                <w:color w:val="auto"/>
              </w:rPr>
              <w:t>5,986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270,687</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2008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4"/>
              </w:rPr>
              <w:t>218,167</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541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4"/>
              </w:rPr>
              <w:t>218,708</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780" w:type="dxa"/>
            <w:vAlign w:val="bottom"/>
          </w:tcPr>
          <w:p>
            <w:pPr>
              <w:ind w:left="20"/>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w w:val="94"/>
              </w:rPr>
              <w:t>153,614</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4"/>
          </w:tcPr>
          <w:p>
            <w:pPr>
              <w:jc w:val="right"/>
              <w:ind w:right="3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153,614</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4"/>
              </w:rPr>
              <w:t>108,880</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4"/>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4"/>
              </w:rPr>
              <w:t>108,880</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780" w:type="dxa"/>
            <w:vAlign w:val="bottom"/>
          </w:tcPr>
          <w:p>
            <w:pPr>
              <w:ind w:left="20"/>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72,651</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4"/>
          </w:tcPr>
          <w:p>
            <w:pPr>
              <w:jc w:val="right"/>
              <w:ind w:right="3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72,651</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Later years</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4"/>
              </w:rPr>
              <w:t>331,380</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4"/>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4"/>
              </w:rPr>
              <w:t>331,380</w:t>
            </w:r>
          </w:p>
        </w:tc>
        <w:tc>
          <w:tcPr>
            <w:tcW w:w="800" w:type="dxa"/>
            <w:vAlign w:val="bottom"/>
          </w:tcPr>
          <w:p>
            <w:pPr>
              <w:spacing w:after="0"/>
              <w:rPr>
                <w:sz w:val="14"/>
                <w:szCs w:val="14"/>
                <w:color w:val="auto"/>
              </w:rPr>
            </w:pPr>
          </w:p>
        </w:tc>
      </w:tr>
      <w:tr>
        <w:trPr>
          <w:trHeight w:val="176"/>
        </w:trPr>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1,149,393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6,527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89"/>
              </w:rPr>
              <w:t>1,155,920</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31"/>
        </w:trPr>
        <w:tc>
          <w:tcPr>
            <w:tcW w:w="6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4"/>
                <w:szCs w:val="14"/>
                <w:b w:val="1"/>
                <w:bCs w:val="1"/>
                <w:color w:val="auto"/>
                <w:w w:val="85"/>
              </w:rPr>
              <w:t>5.</w:t>
            </w:r>
          </w:p>
        </w:tc>
        <w:tc>
          <w:tcPr>
            <w:tcW w:w="6780" w:type="dxa"/>
            <w:vAlign w:val="bottom"/>
          </w:tcPr>
          <w:p>
            <w:pPr>
              <w:ind w:left="200"/>
              <w:spacing w:after="0"/>
              <w:rPr>
                <w:sz w:val="20"/>
                <w:szCs w:val="20"/>
                <w:color w:val="auto"/>
              </w:rPr>
            </w:pPr>
            <w:r>
              <w:rPr>
                <w:rFonts w:ascii="Arial" w:cs="Arial" w:eastAsia="Arial" w:hAnsi="Arial"/>
                <w:sz w:val="14"/>
                <w:szCs w:val="14"/>
                <w:b w:val="1"/>
                <w:bCs w:val="1"/>
                <w:color w:val="auto"/>
              </w:rPr>
              <w:t>Allowance for credit losses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2"/>
        </w:trPr>
        <w:tc>
          <w:tcPr>
            <w:tcW w:w="680" w:type="dxa"/>
            <w:vAlign w:val="bottom"/>
          </w:tcPr>
          <w:p>
            <w:pPr>
              <w:spacing w:after="0"/>
              <w:rPr>
                <w:sz w:val="15"/>
                <w:szCs w:val="15"/>
                <w:color w:val="auto"/>
              </w:rPr>
            </w:pPr>
          </w:p>
        </w:tc>
        <w:tc>
          <w:tcPr>
            <w:tcW w:w="6900" w:type="dxa"/>
            <w:vAlign w:val="bottom"/>
            <w:gridSpan w:val="2"/>
          </w:tcPr>
          <w:p>
            <w:pPr>
              <w:spacing w:after="0"/>
              <w:rPr>
                <w:sz w:val="20"/>
                <w:szCs w:val="20"/>
                <w:color w:val="auto"/>
              </w:rPr>
            </w:pPr>
            <w:r>
              <w:rPr>
                <w:rFonts w:ascii="Arial" w:cs="Arial" w:eastAsia="Arial" w:hAnsi="Arial"/>
                <w:sz w:val="14"/>
                <w:szCs w:val="14"/>
                <w:color w:val="auto"/>
              </w:rPr>
              <w:t>Changes in the allowance for credit losses were as follows: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4"/>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8"/>
          </w:tcPr>
          <w:p>
            <w:pPr>
              <w:jc w:val="right"/>
              <w:spacing w:after="0"/>
              <w:rPr>
                <w:sz w:val="20"/>
                <w:szCs w:val="20"/>
                <w:color w:val="auto"/>
              </w:rPr>
            </w:pPr>
            <w:r>
              <w:rPr>
                <w:rFonts w:ascii="Arial" w:cs="Arial" w:eastAsia="Arial" w:hAnsi="Arial"/>
                <w:sz w:val="10"/>
                <w:szCs w:val="10"/>
                <w:b w:val="1"/>
                <w:bCs w:val="1"/>
                <w:color w:val="auto"/>
                <w:w w:val="99"/>
              </w:rPr>
              <w:t>Year Ended December 31</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98"/>
        </w:trPr>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29"/>
              <w:spacing w:after="0" w:line="98" w:lineRule="exact"/>
              <w:rPr>
                <w:sz w:val="20"/>
                <w:szCs w:val="20"/>
                <w:color w:val="auto"/>
              </w:rPr>
            </w:pPr>
            <w:r>
              <w:rPr>
                <w:rFonts w:ascii="Arial" w:cs="Arial" w:eastAsia="Arial" w:hAnsi="Arial"/>
                <w:sz w:val="10"/>
                <w:szCs w:val="10"/>
                <w:b w:val="1"/>
                <w:bCs w:val="1"/>
                <w:color w:val="auto"/>
              </w:rPr>
              <w:t>2006</w:t>
            </w: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jc w:val="right"/>
              <w:ind w:right="70"/>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71"/>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31"/>
        </w:trPr>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4"/>
          </w:tcPr>
          <w:p>
            <w:pPr>
              <w:ind w:left="60"/>
              <w:spacing w:after="0"/>
              <w:rPr>
                <w:sz w:val="20"/>
                <w:szCs w:val="20"/>
                <w:color w:val="auto"/>
              </w:rPr>
            </w:pPr>
            <w:r>
              <w:rPr>
                <w:rFonts w:ascii="Arial" w:cs="Arial" w:eastAsia="Arial" w:hAnsi="Arial"/>
                <w:sz w:val="10"/>
                <w:szCs w:val="10"/>
                <w:b w:val="1"/>
                <w:bCs w:val="1"/>
                <w:color w:val="auto"/>
                <w:w w:val="87"/>
              </w:rPr>
              <w:t>(In thousands)</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73"/>
        </w:trPr>
        <w:tc>
          <w:tcPr>
            <w:tcW w:w="680" w:type="dxa"/>
            <w:vAlign w:val="bottom"/>
          </w:tcPr>
          <w:p>
            <w:pPr>
              <w:spacing w:after="0"/>
              <w:rPr>
                <w:sz w:val="15"/>
                <w:szCs w:val="15"/>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Beginning balance</w:t>
            </w:r>
          </w:p>
        </w:tc>
        <w:tc>
          <w:tcPr>
            <w:tcW w:w="10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4"/>
              </w:rPr>
              <w:t>637,663</w:t>
            </w:r>
          </w:p>
        </w:tc>
        <w:tc>
          <w:tcPr>
            <w:tcW w:w="40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gridSpan w:val="4"/>
            <w:shd w:val="clear" w:color="auto" w:fill="CCEEFF"/>
          </w:tcPr>
          <w:p>
            <w:pPr>
              <w:jc w:val="right"/>
              <w:ind w:right="48"/>
              <w:spacing w:after="0"/>
              <w:rPr>
                <w:sz w:val="20"/>
                <w:szCs w:val="20"/>
                <w:color w:val="auto"/>
              </w:rPr>
            </w:pPr>
            <w:r>
              <w:rPr>
                <w:rFonts w:ascii="Arial" w:cs="Arial" w:eastAsia="Arial" w:hAnsi="Arial"/>
                <w:sz w:val="14"/>
                <w:szCs w:val="14"/>
                <w:color w:val="auto"/>
              </w:rPr>
              <w:t>626,864</w:t>
            </w:r>
          </w:p>
        </w:tc>
        <w:tc>
          <w:tcPr>
            <w:tcW w:w="18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4"/>
              </w:rPr>
              <w:t>614,058</w:t>
            </w:r>
          </w:p>
        </w:tc>
        <w:tc>
          <w:tcPr>
            <w:tcW w:w="800" w:type="dxa"/>
            <w:vAlign w:val="bottom"/>
          </w:tcPr>
          <w:p>
            <w:pPr>
              <w:spacing w:after="0"/>
              <w:rPr>
                <w:sz w:val="15"/>
                <w:szCs w:val="15"/>
                <w:color w:val="auto"/>
              </w:rPr>
            </w:pPr>
          </w:p>
        </w:tc>
      </w:tr>
      <w:tr>
        <w:trPr>
          <w:trHeight w:val="167"/>
        </w:trPr>
        <w:tc>
          <w:tcPr>
            <w:tcW w:w="680" w:type="dxa"/>
            <w:vAlign w:val="bottom"/>
          </w:tcPr>
          <w:p>
            <w:pPr>
              <w:spacing w:after="0"/>
              <w:rPr>
                <w:sz w:val="14"/>
                <w:szCs w:val="14"/>
                <w:color w:val="auto"/>
              </w:rPr>
            </w:pPr>
          </w:p>
        </w:tc>
        <w:tc>
          <w:tcPr>
            <w:tcW w:w="6900" w:type="dxa"/>
            <w:vAlign w:val="bottom"/>
            <w:gridSpan w:val="2"/>
          </w:tcPr>
          <w:p>
            <w:pPr>
              <w:spacing w:after="0"/>
              <w:rPr>
                <w:sz w:val="20"/>
                <w:szCs w:val="20"/>
                <w:color w:val="auto"/>
              </w:rPr>
            </w:pPr>
            <w:r>
              <w:rPr>
                <w:rFonts w:ascii="Arial" w:cs="Arial" w:eastAsia="Arial" w:hAnsi="Arial"/>
                <w:sz w:val="14"/>
                <w:szCs w:val="14"/>
                <w:color w:val="auto"/>
              </w:rPr>
              <w:t>Provision for credit losses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80,000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4"/>
          </w:tcPr>
          <w:p>
            <w:pPr>
              <w:jc w:val="right"/>
              <w:ind w:right="48"/>
              <w:spacing w:after="0"/>
              <w:rPr>
                <w:sz w:val="20"/>
                <w:szCs w:val="20"/>
                <w:color w:val="auto"/>
              </w:rPr>
            </w:pPr>
            <w:r>
              <w:rPr>
                <w:rFonts w:ascii="Arial" w:cs="Arial" w:eastAsia="Arial" w:hAnsi="Arial"/>
                <w:sz w:val="14"/>
                <w:szCs w:val="14"/>
                <w:color w:val="auto"/>
              </w:rPr>
              <w:t>88,000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95,000</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Allowance related to loans sold or securitized</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(501)</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6900" w:type="dxa"/>
            <w:vAlign w:val="bottom"/>
            <w:gridSpan w:val="2"/>
          </w:tcPr>
          <w:p>
            <w:pPr>
              <w:spacing w:after="0"/>
              <w:rPr>
                <w:sz w:val="20"/>
                <w:szCs w:val="20"/>
                <w:color w:val="auto"/>
              </w:rPr>
            </w:pPr>
            <w:r>
              <w:rPr>
                <w:rFonts w:ascii="Arial" w:cs="Arial" w:eastAsia="Arial" w:hAnsi="Arial"/>
                <w:sz w:val="14"/>
                <w:szCs w:val="14"/>
                <w:color w:val="auto"/>
              </w:rPr>
              <w:t>Net charge-offs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Charge-offs</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(95,606)</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(107,617)</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0"/>
              </w:rPr>
              <w:t>(119,025)</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780" w:type="dxa"/>
            <w:vAlign w:val="bottom"/>
          </w:tcPr>
          <w:p>
            <w:pPr>
              <w:ind w:left="20"/>
              <w:spacing w:after="0"/>
              <w:rPr>
                <w:sz w:val="20"/>
                <w:szCs w:val="20"/>
                <w:color w:val="auto"/>
              </w:rPr>
            </w:pPr>
            <w:r>
              <w:rPr>
                <w:rFonts w:ascii="Arial" w:cs="Arial" w:eastAsia="Arial" w:hAnsi="Arial"/>
                <w:sz w:val="14"/>
                <w:szCs w:val="14"/>
                <w:color w:val="auto"/>
              </w:rPr>
              <w:t>Recoveries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27,891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4"/>
          </w:tcPr>
          <w:p>
            <w:pPr>
              <w:jc w:val="right"/>
              <w:ind w:right="48"/>
              <w:spacing w:after="0"/>
              <w:rPr>
                <w:sz w:val="20"/>
                <w:szCs w:val="20"/>
                <w:color w:val="auto"/>
              </w:rPr>
            </w:pPr>
            <w:r>
              <w:rPr>
                <w:rFonts w:ascii="Arial" w:cs="Arial" w:eastAsia="Arial" w:hAnsi="Arial"/>
                <w:sz w:val="14"/>
                <w:szCs w:val="14"/>
                <w:color w:val="auto"/>
              </w:rPr>
              <w:t>30,730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37,332</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charge-offs</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(67,715)</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(76,887)</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(81,693)</w:t>
            </w:r>
          </w:p>
        </w:tc>
        <w:tc>
          <w:tcPr>
            <w:tcW w:w="800" w:type="dxa"/>
            <w:vAlign w:val="bottom"/>
          </w:tcPr>
          <w:p>
            <w:pPr>
              <w:spacing w:after="0"/>
              <w:rPr>
                <w:sz w:val="14"/>
                <w:szCs w:val="14"/>
                <w:color w:val="auto"/>
              </w:rPr>
            </w:pPr>
          </w:p>
        </w:tc>
      </w:tr>
      <w:tr>
        <w:trPr>
          <w:trHeight w:val="176"/>
        </w:trPr>
        <w:tc>
          <w:tcPr>
            <w:tcW w:w="680" w:type="dxa"/>
            <w:vAlign w:val="bottom"/>
          </w:tcPr>
          <w:p>
            <w:pPr>
              <w:spacing w:after="0"/>
              <w:rPr>
                <w:sz w:val="15"/>
                <w:szCs w:val="15"/>
                <w:color w:val="auto"/>
              </w:rPr>
            </w:pPr>
          </w:p>
        </w:tc>
        <w:tc>
          <w:tcPr>
            <w:tcW w:w="6900" w:type="dxa"/>
            <w:vAlign w:val="bottom"/>
            <w:gridSpan w:val="2"/>
          </w:tcPr>
          <w:p>
            <w:pPr>
              <w:spacing w:after="0"/>
              <w:rPr>
                <w:sz w:val="20"/>
                <w:szCs w:val="20"/>
                <w:color w:val="auto"/>
              </w:rPr>
            </w:pPr>
            <w:r>
              <w:rPr>
                <w:rFonts w:ascii="Arial" w:cs="Arial" w:eastAsia="Arial" w:hAnsi="Arial"/>
                <w:sz w:val="14"/>
                <w:szCs w:val="14"/>
                <w:color w:val="auto"/>
              </w:rPr>
              <w:t>Ending balance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649,948</w:t>
            </w:r>
          </w:p>
        </w:tc>
        <w:tc>
          <w:tcPr>
            <w:tcW w:w="12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637,663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626,864</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31"/>
        </w:trPr>
        <w:tc>
          <w:tcPr>
            <w:tcW w:w="6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4"/>
                <w:szCs w:val="14"/>
                <w:b w:val="1"/>
                <w:bCs w:val="1"/>
                <w:color w:val="auto"/>
                <w:w w:val="85"/>
              </w:rPr>
              <w:t>6.</w:t>
            </w:r>
          </w:p>
        </w:tc>
        <w:tc>
          <w:tcPr>
            <w:tcW w:w="6780" w:type="dxa"/>
            <w:vAlign w:val="bottom"/>
          </w:tcPr>
          <w:p>
            <w:pPr>
              <w:ind w:left="200"/>
              <w:spacing w:after="0"/>
              <w:rPr>
                <w:sz w:val="20"/>
                <w:szCs w:val="20"/>
                <w:color w:val="auto"/>
              </w:rPr>
            </w:pPr>
            <w:r>
              <w:rPr>
                <w:rFonts w:ascii="Arial" w:cs="Arial" w:eastAsia="Arial" w:hAnsi="Arial"/>
                <w:sz w:val="14"/>
                <w:szCs w:val="14"/>
                <w:b w:val="1"/>
                <w:bCs w:val="1"/>
                <w:color w:val="auto"/>
              </w:rPr>
              <w:t>Premises and equipment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2"/>
        </w:trPr>
        <w:tc>
          <w:tcPr>
            <w:tcW w:w="680" w:type="dxa"/>
            <w:vAlign w:val="bottom"/>
          </w:tcPr>
          <w:p>
            <w:pPr>
              <w:spacing w:after="0"/>
              <w:rPr>
                <w:sz w:val="15"/>
                <w:szCs w:val="15"/>
                <w:color w:val="auto"/>
              </w:rPr>
            </w:pPr>
          </w:p>
        </w:tc>
        <w:tc>
          <w:tcPr>
            <w:tcW w:w="6900" w:type="dxa"/>
            <w:vAlign w:val="bottom"/>
            <w:gridSpan w:val="2"/>
          </w:tcPr>
          <w:p>
            <w:pPr>
              <w:spacing w:after="0"/>
              <w:rPr>
                <w:sz w:val="20"/>
                <w:szCs w:val="20"/>
                <w:color w:val="auto"/>
              </w:rPr>
            </w:pPr>
            <w:r>
              <w:rPr>
                <w:rFonts w:ascii="Arial" w:cs="Arial" w:eastAsia="Arial" w:hAnsi="Arial"/>
                <w:sz w:val="14"/>
                <w:szCs w:val="14"/>
                <w:color w:val="auto"/>
              </w:rPr>
              <w:t>The detail of premises and equipment was as follows: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4"/>
        </w:trPr>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8"/>
          </w:tcPr>
          <w:p>
            <w:pPr>
              <w:jc w:val="right"/>
              <w:ind w:right="1400"/>
              <w:spacing w:after="0"/>
              <w:rPr>
                <w:sz w:val="20"/>
                <w:szCs w:val="20"/>
                <w:color w:val="auto"/>
              </w:rPr>
            </w:pPr>
            <w:r>
              <w:rPr>
                <w:rFonts w:ascii="Arial" w:cs="Arial" w:eastAsia="Arial" w:hAnsi="Arial"/>
                <w:sz w:val="10"/>
                <w:szCs w:val="10"/>
                <w:b w:val="1"/>
                <w:bCs w:val="1"/>
                <w:color w:val="auto"/>
                <w:w w:val="89"/>
              </w:rPr>
              <w:t>December 31</w:t>
            </w:r>
          </w:p>
        </w:tc>
      </w:tr>
      <w:tr>
        <w:trPr>
          <w:trHeight w:val="98"/>
        </w:trPr>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Borders>
              <w:top w:val="single" w:sz="8" w:color="auto"/>
              <w:bottom w:val="single" w:sz="8" w:color="auto"/>
            </w:tcBorders>
            <w:gridSpan w:val="2"/>
          </w:tcPr>
          <w:p>
            <w:pPr>
              <w:jc w:val="right"/>
              <w:ind w:right="48"/>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Borders>
              <w:top w:val="single" w:sz="8" w:color="auto"/>
              <w:bottom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11"/>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31"/>
        </w:trPr>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gridSpan w:val="2"/>
          </w:tcPr>
          <w:p>
            <w:pPr>
              <w:jc w:val="right"/>
              <w:spacing w:after="0"/>
              <w:rPr>
                <w:sz w:val="20"/>
                <w:szCs w:val="20"/>
                <w:color w:val="auto"/>
              </w:rPr>
            </w:pPr>
            <w:r>
              <w:rPr>
                <w:rFonts w:ascii="Arial" w:cs="Arial" w:eastAsia="Arial" w:hAnsi="Arial"/>
                <w:sz w:val="10"/>
                <w:szCs w:val="10"/>
                <w:b w:val="1"/>
                <w:bCs w:val="1"/>
                <w:color w:val="auto"/>
              </w:rPr>
              <w:t>(In</w:t>
            </w:r>
          </w:p>
        </w:tc>
        <w:tc>
          <w:tcPr>
            <w:tcW w:w="980" w:type="dxa"/>
            <w:vAlign w:val="bottom"/>
            <w:gridSpan w:val="5"/>
          </w:tcPr>
          <w:p>
            <w:pPr>
              <w:jc w:val="right"/>
              <w:ind w:right="391"/>
              <w:spacing w:after="0"/>
              <w:rPr>
                <w:sz w:val="20"/>
                <w:szCs w:val="20"/>
                <w:color w:val="auto"/>
              </w:rPr>
            </w:pPr>
            <w:r>
              <w:rPr>
                <w:rFonts w:ascii="Arial" w:cs="Arial" w:eastAsia="Arial" w:hAnsi="Arial"/>
                <w:sz w:val="10"/>
                <w:szCs w:val="10"/>
                <w:b w:val="1"/>
                <w:bCs w:val="1"/>
                <w:color w:val="auto"/>
                <w:w w:val="92"/>
              </w:rPr>
              <w:t>thousands)</w:t>
            </w:r>
          </w:p>
        </w:tc>
        <w:tc>
          <w:tcPr>
            <w:tcW w:w="900" w:type="dxa"/>
            <w:vAlign w:val="bottom"/>
            <w:gridSpan w:val="2"/>
          </w:tcPr>
          <w:p>
            <w:pPr>
              <w:spacing w:after="0"/>
              <w:rPr>
                <w:sz w:val="11"/>
                <w:szCs w:val="11"/>
                <w:color w:val="auto"/>
              </w:rPr>
            </w:pPr>
          </w:p>
        </w:tc>
      </w:tr>
      <w:tr>
        <w:trPr>
          <w:trHeight w:val="173"/>
        </w:trPr>
        <w:tc>
          <w:tcPr>
            <w:tcW w:w="680" w:type="dxa"/>
            <w:vAlign w:val="bottom"/>
          </w:tcPr>
          <w:p>
            <w:pPr>
              <w:spacing w:after="0"/>
              <w:rPr>
                <w:sz w:val="15"/>
                <w:szCs w:val="15"/>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Land</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5"/>
            <w:shd w:val="clear" w:color="auto" w:fill="CCEEFF"/>
          </w:tcPr>
          <w:p>
            <w:pPr>
              <w:jc w:val="right"/>
              <w:ind w:right="128"/>
              <w:spacing w:after="0"/>
              <w:rPr>
                <w:sz w:val="20"/>
                <w:szCs w:val="20"/>
                <w:color w:val="auto"/>
              </w:rPr>
            </w:pPr>
            <w:r>
              <w:rPr>
                <w:rFonts w:ascii="Arial" w:cs="Arial" w:eastAsia="Arial" w:hAnsi="Arial"/>
                <w:sz w:val="14"/>
                <w:szCs w:val="14"/>
                <w:color w:val="auto"/>
              </w:rPr>
              <w:t>$  48,833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49,191</w:t>
            </w:r>
          </w:p>
        </w:tc>
        <w:tc>
          <w:tcPr>
            <w:tcW w:w="800" w:type="dxa"/>
            <w:vAlign w:val="bottom"/>
          </w:tcPr>
          <w:p>
            <w:pPr>
              <w:spacing w:after="0"/>
              <w:rPr>
                <w:sz w:val="15"/>
                <w:szCs w:val="15"/>
                <w:color w:val="auto"/>
              </w:rPr>
            </w:pPr>
          </w:p>
        </w:tc>
      </w:tr>
      <w:tr>
        <w:trPr>
          <w:trHeight w:val="167"/>
        </w:trPr>
        <w:tc>
          <w:tcPr>
            <w:tcW w:w="680" w:type="dxa"/>
            <w:vAlign w:val="bottom"/>
          </w:tcPr>
          <w:p>
            <w:pPr>
              <w:spacing w:after="0"/>
              <w:rPr>
                <w:sz w:val="14"/>
                <w:szCs w:val="14"/>
                <w:color w:val="auto"/>
              </w:rPr>
            </w:pPr>
          </w:p>
        </w:tc>
        <w:tc>
          <w:tcPr>
            <w:tcW w:w="6900" w:type="dxa"/>
            <w:vAlign w:val="bottom"/>
            <w:gridSpan w:val="2"/>
          </w:tcPr>
          <w:p>
            <w:pPr>
              <w:spacing w:after="0"/>
              <w:rPr>
                <w:sz w:val="20"/>
                <w:szCs w:val="20"/>
                <w:color w:val="auto"/>
              </w:rPr>
            </w:pPr>
            <w:r>
              <w:rPr>
                <w:rFonts w:ascii="Arial" w:cs="Arial" w:eastAsia="Arial" w:hAnsi="Arial"/>
                <w:sz w:val="14"/>
                <w:szCs w:val="14"/>
                <w:color w:val="auto"/>
              </w:rPr>
              <w:t>Buildings — owned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5"/>
          </w:tcPr>
          <w:p>
            <w:pPr>
              <w:jc w:val="right"/>
              <w:ind w:right="128"/>
              <w:spacing w:after="0"/>
              <w:rPr>
                <w:sz w:val="20"/>
                <w:szCs w:val="20"/>
                <w:color w:val="auto"/>
              </w:rPr>
            </w:pPr>
            <w:r>
              <w:rPr>
                <w:rFonts w:ascii="Arial" w:cs="Arial" w:eastAsia="Arial" w:hAnsi="Arial"/>
                <w:sz w:val="14"/>
                <w:szCs w:val="14"/>
                <w:color w:val="auto"/>
              </w:rPr>
              <w:t>230,562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225,828</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Buildings — capital leases</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5"/>
            <w:shd w:val="clear" w:color="auto" w:fill="CCEEFF"/>
          </w:tcPr>
          <w:p>
            <w:pPr>
              <w:jc w:val="right"/>
              <w:ind w:right="128"/>
              <w:spacing w:after="0"/>
              <w:rPr>
                <w:sz w:val="20"/>
                <w:szCs w:val="20"/>
                <w:color w:val="auto"/>
              </w:rPr>
            </w:pPr>
            <w:r>
              <w:rPr>
                <w:rFonts w:ascii="Arial" w:cs="Arial" w:eastAsia="Arial" w:hAnsi="Arial"/>
                <w:sz w:val="14"/>
                <w:szCs w:val="14"/>
                <w:color w:val="auto"/>
              </w:rPr>
              <w:t>1,598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1,598</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6900" w:type="dxa"/>
            <w:vAlign w:val="bottom"/>
            <w:gridSpan w:val="2"/>
          </w:tcPr>
          <w:p>
            <w:pPr>
              <w:spacing w:after="0"/>
              <w:rPr>
                <w:sz w:val="20"/>
                <w:szCs w:val="20"/>
                <w:color w:val="auto"/>
              </w:rPr>
            </w:pPr>
            <w:r>
              <w:rPr>
                <w:rFonts w:ascii="Arial" w:cs="Arial" w:eastAsia="Arial" w:hAnsi="Arial"/>
                <w:sz w:val="14"/>
                <w:szCs w:val="14"/>
                <w:color w:val="auto"/>
              </w:rPr>
              <w:t>Leasehold improvements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5"/>
          </w:tcPr>
          <w:p>
            <w:pPr>
              <w:jc w:val="right"/>
              <w:ind w:right="128"/>
              <w:spacing w:after="0"/>
              <w:rPr>
                <w:sz w:val="20"/>
                <w:szCs w:val="20"/>
                <w:color w:val="auto"/>
              </w:rPr>
            </w:pPr>
            <w:r>
              <w:rPr>
                <w:rFonts w:ascii="Arial" w:cs="Arial" w:eastAsia="Arial" w:hAnsi="Arial"/>
                <w:sz w:val="14"/>
                <w:szCs w:val="14"/>
                <w:color w:val="auto"/>
              </w:rPr>
              <w:t>101,453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92,741</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Furniture and equipment — owned</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5"/>
            <w:shd w:val="clear" w:color="auto" w:fill="CCEEFF"/>
          </w:tcPr>
          <w:p>
            <w:pPr>
              <w:jc w:val="right"/>
              <w:ind w:right="128"/>
              <w:spacing w:after="0"/>
              <w:rPr>
                <w:sz w:val="20"/>
                <w:szCs w:val="20"/>
                <w:color w:val="auto"/>
              </w:rPr>
            </w:pPr>
            <w:r>
              <w:rPr>
                <w:rFonts w:ascii="Arial" w:cs="Arial" w:eastAsia="Arial" w:hAnsi="Arial"/>
                <w:sz w:val="14"/>
                <w:szCs w:val="14"/>
                <w:color w:val="auto"/>
              </w:rPr>
              <w:t>292,141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4"/>
              </w:rPr>
              <w:t>301,138</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6900" w:type="dxa"/>
            <w:vAlign w:val="bottom"/>
            <w:gridSpan w:val="2"/>
          </w:tcPr>
          <w:p>
            <w:pPr>
              <w:spacing w:after="0"/>
              <w:rPr>
                <w:sz w:val="20"/>
                <w:szCs w:val="20"/>
                <w:color w:val="auto"/>
              </w:rPr>
            </w:pPr>
            <w:r>
              <w:rPr>
                <w:rFonts w:ascii="Arial" w:cs="Arial" w:eastAsia="Arial" w:hAnsi="Arial"/>
                <w:sz w:val="14"/>
                <w:szCs w:val="14"/>
                <w:color w:val="auto"/>
              </w:rPr>
              <w:t>Furniture and equipment — capital leases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4"/>
          </w:tcPr>
          <w:p>
            <w:pPr>
              <w:jc w:val="right"/>
              <w:ind w:right="128"/>
              <w:spacing w:after="0"/>
              <w:rPr>
                <w:sz w:val="20"/>
                <w:szCs w:val="20"/>
                <w:color w:val="auto"/>
              </w:rPr>
            </w:pPr>
            <w:r>
              <w:rPr>
                <w:rFonts w:ascii="Arial" w:cs="Arial" w:eastAsia="Arial" w:hAnsi="Arial"/>
                <w:sz w:val="14"/>
                <w:szCs w:val="14"/>
                <w:color w:val="auto"/>
              </w:rPr>
              <w:t>2,514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2,514</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4"/>
            <w:shd w:val="clear" w:color="auto" w:fill="CCEEFF"/>
          </w:tcPr>
          <w:p>
            <w:pPr>
              <w:jc w:val="right"/>
              <w:ind w:right="128"/>
              <w:spacing w:after="0"/>
              <w:rPr>
                <w:sz w:val="20"/>
                <w:szCs w:val="20"/>
                <w:color w:val="auto"/>
              </w:rPr>
            </w:pPr>
            <w:r>
              <w:rPr>
                <w:rFonts w:ascii="Arial" w:cs="Arial" w:eastAsia="Arial" w:hAnsi="Arial"/>
                <w:sz w:val="14"/>
                <w:szCs w:val="14"/>
                <w:color w:val="auto"/>
              </w:rPr>
              <w:t>677,101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4"/>
              </w:rPr>
              <w:t>673,010</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6900" w:type="dxa"/>
            <w:vAlign w:val="bottom"/>
            <w:gridSpan w:val="2"/>
          </w:tcPr>
          <w:p>
            <w:pPr>
              <w:spacing w:after="0"/>
              <w:rPr>
                <w:sz w:val="20"/>
                <w:szCs w:val="20"/>
                <w:color w:val="auto"/>
              </w:rPr>
            </w:pPr>
            <w:r>
              <w:rPr>
                <w:rFonts w:ascii="Arial" w:cs="Arial" w:eastAsia="Arial" w:hAnsi="Arial"/>
                <w:sz w:val="14"/>
                <w:szCs w:val="14"/>
                <w:color w:val="auto"/>
              </w:rPr>
              <w:t>Less: accumulated depreciation and amortization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Owned assets</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5"/>
            <w:shd w:val="clear" w:color="auto" w:fill="CCEEFF"/>
          </w:tcPr>
          <w:p>
            <w:pPr>
              <w:jc w:val="right"/>
              <w:ind w:right="128"/>
              <w:spacing w:after="0"/>
              <w:rPr>
                <w:sz w:val="20"/>
                <w:szCs w:val="20"/>
                <w:color w:val="auto"/>
              </w:rPr>
            </w:pPr>
            <w:r>
              <w:rPr>
                <w:rFonts w:ascii="Arial" w:cs="Arial" w:eastAsia="Arial" w:hAnsi="Arial"/>
                <w:sz w:val="14"/>
                <w:szCs w:val="14"/>
                <w:color w:val="auto"/>
              </w:rPr>
              <w:t>339,643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4"/>
              </w:rPr>
              <w:t>334,024</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780" w:type="dxa"/>
            <w:vAlign w:val="bottom"/>
          </w:tcPr>
          <w:p>
            <w:pPr>
              <w:ind w:left="20"/>
              <w:spacing w:after="0"/>
              <w:rPr>
                <w:sz w:val="20"/>
                <w:szCs w:val="20"/>
                <w:color w:val="auto"/>
              </w:rPr>
            </w:pPr>
            <w:r>
              <w:rPr>
                <w:rFonts w:ascii="Arial" w:cs="Arial" w:eastAsia="Arial" w:hAnsi="Arial"/>
                <w:sz w:val="14"/>
                <w:szCs w:val="14"/>
                <w:color w:val="auto"/>
              </w:rPr>
              <w:t>Capital leases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4"/>
          </w:tcPr>
          <w:p>
            <w:pPr>
              <w:jc w:val="right"/>
              <w:ind w:right="128"/>
              <w:spacing w:after="0"/>
              <w:rPr>
                <w:sz w:val="20"/>
                <w:szCs w:val="20"/>
                <w:color w:val="auto"/>
              </w:rPr>
            </w:pPr>
            <w:r>
              <w:rPr>
                <w:rFonts w:ascii="Arial" w:cs="Arial" w:eastAsia="Arial" w:hAnsi="Arial"/>
                <w:sz w:val="14"/>
                <w:szCs w:val="14"/>
                <w:color w:val="auto"/>
              </w:rPr>
              <w:t>2,450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1,871</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4"/>
            <w:shd w:val="clear" w:color="auto" w:fill="CCEEFF"/>
          </w:tcPr>
          <w:p>
            <w:pPr>
              <w:jc w:val="right"/>
              <w:ind w:right="128"/>
              <w:spacing w:after="0"/>
              <w:rPr>
                <w:sz w:val="20"/>
                <w:szCs w:val="20"/>
                <w:color w:val="auto"/>
              </w:rPr>
            </w:pPr>
            <w:r>
              <w:rPr>
                <w:rFonts w:ascii="Arial" w:cs="Arial" w:eastAsia="Arial" w:hAnsi="Arial"/>
                <w:sz w:val="14"/>
                <w:szCs w:val="14"/>
                <w:color w:val="auto"/>
              </w:rPr>
              <w:t>342,093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4"/>
              </w:rPr>
              <w:t>335,895</w:t>
            </w:r>
          </w:p>
        </w:tc>
        <w:tc>
          <w:tcPr>
            <w:tcW w:w="800" w:type="dxa"/>
            <w:vAlign w:val="bottom"/>
          </w:tcPr>
          <w:p>
            <w:pPr>
              <w:spacing w:after="0"/>
              <w:rPr>
                <w:sz w:val="14"/>
                <w:szCs w:val="14"/>
                <w:color w:val="auto"/>
              </w:rPr>
            </w:pPr>
          </w:p>
        </w:tc>
      </w:tr>
      <w:tr>
        <w:trPr>
          <w:trHeight w:val="176"/>
        </w:trPr>
        <w:tc>
          <w:tcPr>
            <w:tcW w:w="680" w:type="dxa"/>
            <w:vAlign w:val="bottom"/>
          </w:tcPr>
          <w:p>
            <w:pPr>
              <w:spacing w:after="0"/>
              <w:rPr>
                <w:sz w:val="15"/>
                <w:szCs w:val="15"/>
                <w:color w:val="auto"/>
              </w:rPr>
            </w:pPr>
          </w:p>
        </w:tc>
        <w:tc>
          <w:tcPr>
            <w:tcW w:w="6900" w:type="dxa"/>
            <w:vAlign w:val="bottom"/>
            <w:gridSpan w:val="2"/>
          </w:tcPr>
          <w:p>
            <w:pPr>
              <w:spacing w:after="0"/>
              <w:rPr>
                <w:sz w:val="20"/>
                <w:szCs w:val="20"/>
                <w:color w:val="auto"/>
              </w:rPr>
            </w:pPr>
            <w:r>
              <w:rPr>
                <w:rFonts w:ascii="Arial" w:cs="Arial" w:eastAsia="Arial" w:hAnsi="Arial"/>
                <w:sz w:val="14"/>
                <w:szCs w:val="14"/>
                <w:color w:val="auto"/>
              </w:rPr>
              <w:t>Premises and equipment, net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w w:val="93"/>
              </w:rPr>
              <w:t>$ 335,008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337,115</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19"/>
        </w:trPr>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3"/>
          </w:tcPr>
          <w:p>
            <w:pPr>
              <w:jc w:val="right"/>
              <w:ind w:right="800"/>
              <w:spacing w:after="0"/>
              <w:rPr>
                <w:sz w:val="20"/>
                <w:szCs w:val="20"/>
                <w:color w:val="auto"/>
              </w:rPr>
            </w:pPr>
            <w:r>
              <w:rPr>
                <w:rFonts w:ascii="Arial" w:cs="Arial" w:eastAsia="Arial" w:hAnsi="Arial"/>
                <w:sz w:val="12"/>
                <w:szCs w:val="12"/>
                <w:color w:val="auto"/>
              </w:rPr>
              <w:t>95</w:t>
            </w:r>
          </w:p>
        </w:tc>
      </w:tr>
      <w:tr>
        <w:trPr>
          <w:trHeight w:val="167"/>
        </w:trPr>
        <w:tc>
          <w:tcPr>
            <w:tcW w:w="6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7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6" w:name="page97"/>
    <w:bookmarkEnd w:id="9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56" w:lineRule="exact"/>
        <w:rPr>
          <w:sz w:val="20"/>
          <w:szCs w:val="20"/>
          <w:color w:val="auto"/>
        </w:rPr>
      </w:pPr>
    </w:p>
    <w:p>
      <w:pPr>
        <w:ind w:left="680" w:right="680" w:firstLine="599"/>
        <w:spacing w:after="0" w:line="280" w:lineRule="auto"/>
        <w:rPr>
          <w:sz w:val="20"/>
          <w:szCs w:val="20"/>
          <w:color w:val="auto"/>
        </w:rPr>
      </w:pPr>
      <w:r>
        <w:rPr>
          <w:rFonts w:ascii="Arial" w:cs="Arial" w:eastAsia="Arial" w:hAnsi="Arial"/>
          <w:sz w:val="14"/>
          <w:szCs w:val="14"/>
          <w:color w:val="auto"/>
        </w:rPr>
        <w:t>Net lease expense for all operating leases totaled $60,680,000 in 2006, $57,641,000 in 2005 and $58,318,000 in 2004. Minimum lease payments under noncancelable operating leases are presented in note 20. Minimum lease payments required under capital leases are not material.</w:t>
      </w:r>
    </w:p>
    <w:p>
      <w:pPr>
        <w:spacing w:after="0" w:line="122" w:lineRule="exact"/>
        <w:rPr>
          <w:sz w:val="20"/>
          <w:szCs w:val="20"/>
          <w:color w:val="auto"/>
        </w:rPr>
      </w:pPr>
    </w:p>
    <w:p>
      <w:pPr>
        <w:ind w:left="1000" w:hanging="313"/>
        <w:spacing w:after="0"/>
        <w:tabs>
          <w:tab w:leader="none" w:pos="1000" w:val="left"/>
        </w:tabs>
        <w:numPr>
          <w:ilvl w:val="0"/>
          <w:numId w:val="27"/>
        </w:numPr>
        <w:rPr>
          <w:rFonts w:ascii="Arial" w:cs="Arial" w:eastAsia="Arial" w:hAnsi="Arial"/>
          <w:sz w:val="14"/>
          <w:szCs w:val="14"/>
          <w:b w:val="1"/>
          <w:bCs w:val="1"/>
          <w:color w:val="auto"/>
        </w:rPr>
      </w:pPr>
      <w:r>
        <w:rPr>
          <w:rFonts w:ascii="Arial" w:cs="Arial" w:eastAsia="Arial" w:hAnsi="Arial"/>
          <w:sz w:val="14"/>
          <w:szCs w:val="14"/>
          <w:b w:val="1"/>
          <w:bCs w:val="1"/>
          <w:color w:val="auto"/>
        </w:rPr>
        <w:t>Capitalized servicing assets</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Changes in capitalized servicing assets were as follows:</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0"/>
                <w:szCs w:val="10"/>
                <w:b w:val="1"/>
                <w:bCs w:val="1"/>
                <w:color w:val="auto"/>
                <w:w w:val="94"/>
              </w:rPr>
              <w:t>Year Ended December 31</w:t>
            </w: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10"/>
              <w:spacing w:after="0" w:line="98" w:lineRule="exact"/>
              <w:rPr>
                <w:sz w:val="20"/>
                <w:szCs w:val="20"/>
                <w:color w:val="auto"/>
              </w:rPr>
            </w:pPr>
            <w:r>
              <w:rPr>
                <w:rFonts w:ascii="Arial" w:cs="Arial" w:eastAsia="Arial" w:hAnsi="Arial"/>
                <w:sz w:val="10"/>
                <w:szCs w:val="10"/>
                <w:b w:val="1"/>
                <w:bCs w:val="1"/>
                <w:color w:val="auto"/>
              </w:rPr>
              <w:t>2006</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8"/>
              </w:rPr>
              <w:t>2005</w:t>
            </w:r>
          </w:p>
        </w:tc>
        <w:tc>
          <w:tcPr>
            <w:tcW w:w="400" w:type="dxa"/>
            <w:vAlign w:val="bottom"/>
          </w:tcPr>
          <w:p>
            <w:pPr>
              <w:spacing w:after="0"/>
              <w:rPr>
                <w:sz w:val="8"/>
                <w:szCs w:val="8"/>
                <w:color w:val="auto"/>
              </w:rPr>
            </w:pPr>
          </w:p>
        </w:tc>
        <w:tc>
          <w:tcPr>
            <w:tcW w:w="580" w:type="dxa"/>
            <w:vAlign w:val="bottom"/>
            <w:tcBorders>
              <w:bottom w:val="single" w:sz="8" w:color="auto"/>
            </w:tcBorders>
          </w:tcPr>
          <w:p>
            <w:pPr>
              <w:jc w:val="right"/>
              <w:ind w:right="110"/>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r>
      <w:tr>
        <w:trPr>
          <w:trHeight w:val="131"/>
        </w:trPr>
        <w:tc>
          <w:tcPr>
            <w:tcW w:w="7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left="193"/>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3"/>
        </w:trPr>
        <w:tc>
          <w:tcPr>
            <w:tcW w:w="7300" w:type="dxa"/>
            <w:vAlign w:val="bottom"/>
            <w:shd w:val="clear" w:color="auto" w:fill="CCEEFF"/>
          </w:tcPr>
          <w:p>
            <w:pPr>
              <w:spacing w:after="0"/>
              <w:rPr>
                <w:sz w:val="20"/>
                <w:szCs w:val="20"/>
                <w:color w:val="auto"/>
              </w:rPr>
            </w:pPr>
            <w:r>
              <w:rPr>
                <w:rFonts w:ascii="Arial" w:cs="Arial" w:eastAsia="Arial" w:hAnsi="Arial"/>
                <w:sz w:val="14"/>
                <w:szCs w:val="14"/>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8"/>
              </w:rPr>
              <w:t>181,233</w:t>
            </w:r>
          </w:p>
        </w:tc>
        <w:tc>
          <w:tcPr>
            <w:tcW w:w="80" w:type="dxa"/>
            <w:vAlign w:val="bottom"/>
            <w:shd w:val="clear" w:color="auto" w:fill="CCEEFF"/>
          </w:tcPr>
          <w:p>
            <w:pPr>
              <w:spacing w:after="0"/>
              <w:rPr>
                <w:sz w:val="15"/>
                <w:szCs w:val="15"/>
                <w:color w:val="auto"/>
              </w:rPr>
            </w:pP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$ 186,225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9"/>
              </w:rPr>
              <w:t>$ 185,816</w:t>
            </w:r>
          </w:p>
        </w:tc>
      </w:tr>
      <w:tr>
        <w:trPr>
          <w:trHeight w:val="167"/>
        </w:trPr>
        <w:tc>
          <w:tcPr>
            <w:tcW w:w="7300" w:type="dxa"/>
            <w:vAlign w:val="bottom"/>
          </w:tcPr>
          <w:p>
            <w:pPr>
              <w:spacing w:after="0"/>
              <w:rPr>
                <w:sz w:val="20"/>
                <w:szCs w:val="20"/>
                <w:color w:val="auto"/>
              </w:rPr>
            </w:pPr>
            <w:r>
              <w:rPr>
                <w:rFonts w:ascii="Arial" w:cs="Arial" w:eastAsia="Arial" w:hAnsi="Arial"/>
                <w:sz w:val="14"/>
                <w:szCs w:val="14"/>
                <w:color w:val="auto"/>
              </w:rPr>
              <w:t>Originations</w:t>
            </w:r>
          </w:p>
        </w:tc>
        <w:tc>
          <w:tcPr>
            <w:tcW w:w="10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12,446</w:t>
            </w:r>
          </w:p>
        </w:tc>
        <w:tc>
          <w:tcPr>
            <w:tcW w:w="80" w:type="dxa"/>
            <w:vAlign w:val="bottom"/>
          </w:tcPr>
          <w:p>
            <w:pPr>
              <w:spacing w:after="0"/>
              <w:rPr>
                <w:sz w:val="14"/>
                <w:szCs w:val="14"/>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4"/>
                <w:szCs w:val="14"/>
                <w:color w:val="auto"/>
              </w:rPr>
              <w:t>16,928</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26,285</w:t>
            </w:r>
          </w:p>
        </w:tc>
      </w:tr>
      <w:tr>
        <w:trPr>
          <w:trHeight w:val="167"/>
        </w:trPr>
        <w:tc>
          <w:tcPr>
            <w:tcW w:w="7300" w:type="dxa"/>
            <w:vAlign w:val="bottom"/>
            <w:shd w:val="clear" w:color="auto" w:fill="CCEEFF"/>
          </w:tcPr>
          <w:p>
            <w:pPr>
              <w:spacing w:after="0"/>
              <w:rPr>
                <w:sz w:val="20"/>
                <w:szCs w:val="20"/>
                <w:color w:val="auto"/>
              </w:rPr>
            </w:pPr>
            <w:r>
              <w:rPr>
                <w:rFonts w:ascii="Arial" w:cs="Arial" w:eastAsia="Arial" w:hAnsi="Arial"/>
                <w:sz w:val="14"/>
                <w:szCs w:val="14"/>
                <w:color w:val="auto"/>
              </w:rPr>
              <w:t>Purchases</w:t>
            </w: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50,841</w:t>
            </w:r>
          </w:p>
        </w:tc>
        <w:tc>
          <w:tcPr>
            <w:tcW w:w="8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35,135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32,009</w:t>
            </w:r>
          </w:p>
        </w:tc>
      </w:tr>
      <w:tr>
        <w:trPr>
          <w:trHeight w:val="167"/>
        </w:trPr>
        <w:tc>
          <w:tcPr>
            <w:tcW w:w="7300" w:type="dxa"/>
            <w:vAlign w:val="bottom"/>
          </w:tcPr>
          <w:p>
            <w:pPr>
              <w:spacing w:after="0"/>
              <w:rPr>
                <w:sz w:val="20"/>
                <w:szCs w:val="20"/>
                <w:color w:val="auto"/>
              </w:rPr>
            </w:pPr>
            <w:r>
              <w:rPr>
                <w:rFonts w:ascii="Arial" w:cs="Arial" w:eastAsia="Arial" w:hAnsi="Arial"/>
                <w:sz w:val="14"/>
                <w:szCs w:val="14"/>
                <w:color w:val="auto"/>
              </w:rPr>
              <w:t>Assumed in loan securitizations (note 18)</w:t>
            </w:r>
          </w:p>
        </w:tc>
        <w:tc>
          <w:tcPr>
            <w:tcW w:w="100" w:type="dxa"/>
            <w:vAlign w:val="bottom"/>
          </w:tcPr>
          <w:p>
            <w:pPr>
              <w:spacing w:after="0"/>
              <w:rPr>
                <w:sz w:val="14"/>
                <w:szCs w:val="14"/>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300" w:type="dxa"/>
            <w:vAlign w:val="bottom"/>
            <w:gridSpan w:val="3"/>
          </w:tcPr>
          <w:p>
            <w:pPr>
              <w:jc w:val="right"/>
              <w:ind w:right="400"/>
              <w:spacing w:after="0"/>
              <w:rPr>
                <w:sz w:val="20"/>
                <w:szCs w:val="20"/>
                <w:color w:val="auto"/>
              </w:rPr>
            </w:pPr>
            <w:r>
              <w:rPr>
                <w:rFonts w:ascii="Arial" w:cs="Arial" w:eastAsia="Arial" w:hAnsi="Arial"/>
                <w:sz w:val="14"/>
                <w:szCs w:val="14"/>
                <w:color w:val="auto"/>
              </w:rPr>
              <w:t>1,411</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67"/>
        </w:trPr>
        <w:tc>
          <w:tcPr>
            <w:tcW w:w="7300" w:type="dxa"/>
            <w:vAlign w:val="bottom"/>
            <w:shd w:val="clear" w:color="auto" w:fill="CCEEFF"/>
          </w:tcPr>
          <w:p>
            <w:pPr>
              <w:spacing w:after="0"/>
              <w:rPr>
                <w:sz w:val="20"/>
                <w:szCs w:val="20"/>
                <w:color w:val="auto"/>
              </w:rPr>
            </w:pPr>
            <w:r>
              <w:rPr>
                <w:rFonts w:ascii="Arial" w:cs="Arial" w:eastAsia="Arial" w:hAnsi="Arial"/>
                <w:sz w:val="14"/>
                <w:szCs w:val="14"/>
                <w:color w:val="auto"/>
              </w:rPr>
              <w:t>Amortization</w:t>
            </w:r>
          </w:p>
        </w:tc>
        <w:tc>
          <w:tcPr>
            <w:tcW w:w="10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(61,007)</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(58,466)</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(57,885)</w:t>
            </w:r>
          </w:p>
        </w:tc>
      </w:tr>
      <w:tr>
        <w:trPr>
          <w:trHeight w:val="167"/>
        </w:trPr>
        <w:tc>
          <w:tcPr>
            <w:tcW w:w="73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183,513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181,233</w:t>
            </w:r>
          </w:p>
        </w:tc>
        <w:tc>
          <w:tcPr>
            <w:tcW w:w="400" w:type="dxa"/>
            <w:vAlign w:val="bottom"/>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186,225</w:t>
            </w:r>
          </w:p>
        </w:tc>
        <w:tc>
          <w:tcPr>
            <w:tcW w:w="100" w:type="dxa"/>
            <w:vAlign w:val="bottom"/>
          </w:tcPr>
          <w:p>
            <w:pPr>
              <w:spacing w:after="0"/>
              <w:rPr>
                <w:sz w:val="14"/>
                <w:szCs w:val="14"/>
                <w:color w:val="auto"/>
              </w:rPr>
            </w:pPr>
          </w:p>
        </w:tc>
      </w:tr>
      <w:tr>
        <w:trPr>
          <w:trHeight w:val="167"/>
        </w:trPr>
        <w:tc>
          <w:tcPr>
            <w:tcW w:w="7300" w:type="dxa"/>
            <w:vAlign w:val="bottom"/>
            <w:shd w:val="clear" w:color="auto" w:fill="CCEEFF"/>
          </w:tcPr>
          <w:p>
            <w:pPr>
              <w:spacing w:after="0"/>
              <w:rPr>
                <w:sz w:val="20"/>
                <w:szCs w:val="20"/>
                <w:color w:val="auto"/>
              </w:rPr>
            </w:pPr>
            <w:r>
              <w:rPr>
                <w:rFonts w:ascii="Arial" w:cs="Arial" w:eastAsia="Arial" w:hAnsi="Arial"/>
                <w:sz w:val="14"/>
                <w:szCs w:val="14"/>
                <w:color w:val="auto"/>
              </w:rPr>
              <w:t>Valuation allowance</w:t>
            </w:r>
          </w:p>
        </w:tc>
        <w:tc>
          <w:tcPr>
            <w:tcW w:w="10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(10,050)</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(19,800)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(30,878)</w:t>
            </w:r>
          </w:p>
        </w:tc>
      </w:tr>
      <w:tr>
        <w:trPr>
          <w:trHeight w:val="176"/>
        </w:trPr>
        <w:tc>
          <w:tcPr>
            <w:tcW w:w="7300" w:type="dxa"/>
            <w:vAlign w:val="bottom"/>
          </w:tcPr>
          <w:p>
            <w:pPr>
              <w:spacing w:after="0"/>
              <w:rPr>
                <w:sz w:val="20"/>
                <w:szCs w:val="20"/>
                <w:color w:val="auto"/>
              </w:rPr>
            </w:pPr>
            <w:r>
              <w:rPr>
                <w:rFonts w:ascii="Arial" w:cs="Arial" w:eastAsia="Arial" w:hAnsi="Arial"/>
                <w:sz w:val="14"/>
                <w:szCs w:val="14"/>
                <w:color w:val="auto"/>
              </w:rPr>
              <w:t>Ending balance,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173,463</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$ 161,433</w:t>
            </w:r>
          </w:p>
        </w:tc>
        <w:tc>
          <w:tcPr>
            <w:tcW w:w="40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$ 155,347</w:t>
            </w:r>
          </w:p>
        </w:tc>
        <w:tc>
          <w:tcPr>
            <w:tcW w:w="100" w:type="dxa"/>
            <w:vAlign w:val="bottom"/>
          </w:tcPr>
          <w:p>
            <w:pPr>
              <w:spacing w:after="0"/>
              <w:rPr>
                <w:sz w:val="15"/>
                <w:szCs w:val="15"/>
                <w:color w:val="auto"/>
              </w:rPr>
            </w:pPr>
          </w:p>
        </w:tc>
      </w:tr>
    </w:tbl>
    <w:p>
      <w:pPr>
        <w:spacing w:after="0" w:line="86" w:lineRule="exact"/>
        <w:rPr>
          <w:sz w:val="20"/>
          <w:szCs w:val="20"/>
          <w:color w:val="auto"/>
        </w:rPr>
      </w:pPr>
    </w:p>
    <w:p>
      <w:pPr>
        <w:ind w:left="680" w:right="40" w:firstLine="599"/>
        <w:spacing w:after="0" w:line="269" w:lineRule="auto"/>
        <w:rPr>
          <w:sz w:val="20"/>
          <w:szCs w:val="20"/>
          <w:color w:val="auto"/>
        </w:rPr>
      </w:pPr>
      <w:r>
        <w:rPr>
          <w:rFonts w:ascii="Arial" w:cs="Arial" w:eastAsia="Arial" w:hAnsi="Arial"/>
          <w:sz w:val="13"/>
          <w:szCs w:val="13"/>
          <w:color w:val="auto"/>
        </w:rPr>
        <w:t>Capitalized servicing assets at December 31, 2006 and 2005 included $153 million and $140 million, respectively, of capitalized residential mortgage loan servicing rights, net of the valuation allowance for impairment, and $21 million of capitalized commercial mortgage loan servicing rights at each of those dates. During 2006, 2005 and 2004, $9,750,000, $11,078,000 and $3,622,000, respectively, of the valuation allowance was reversed because of increases in the market value of certain strata of servicing assets relative to the amortized cost basis of the servicing assets in such strata. The estimated fair value of capitalized servicing assets was approximately $214 million at December 31, 2006 and $191 million at December 31, 2005. The fair value of capitalized residential mortgage loan servicing assets was estimated using weighted-average discount rates of 17.8% and 16.6% at December 31, 2006 and 2005, respectively, and contemporaneous prepayment assumptions that vary by loan type. At December 31, 2006 and 2005, the discount rate represented a weighted-average option-adjusted spread (“OAS”) of 1,227 basis points (hundredths of one percent) and 1,073 basis points, respectively, over market implied forward London Interbank Offered Rates. The estimated market value of capitalized servicing rights may vary significantly in subsequent periods due to changing interest rates and the effect thereof on prepayment speeds. An 18% discount rate was used to estimate the fair value of capitalized commercial mortgage loan servicing rights at December 31, 2006 and 2005 with no prepayment assumptions because, in general, the servicing agreements allow the Company to share in customer loan prepayment fees and thereby recover the remaining carrying value of the capitalized servicing rights associated with such loan. The Company’s ability to realize the carrying value of capitalized commercial mortgage servicing rights is more dependent on the borrowers’ abilities to repay the underlying loans than on prepayments or changes in interest rates.</w:t>
      </w:r>
    </w:p>
    <w:p>
      <w:pPr>
        <w:spacing w:after="0" w:line="6" w:lineRule="exact"/>
        <w:rPr>
          <w:sz w:val="20"/>
          <w:szCs w:val="20"/>
          <w:color w:val="auto"/>
        </w:rPr>
      </w:pPr>
    </w:p>
    <w:p>
      <w:pPr>
        <w:ind w:left="680" w:right="60" w:firstLine="599"/>
        <w:spacing w:after="0" w:line="252" w:lineRule="auto"/>
        <w:rPr>
          <w:sz w:val="20"/>
          <w:szCs w:val="20"/>
          <w:color w:val="auto"/>
        </w:rPr>
      </w:pPr>
      <w:r>
        <w:rPr>
          <w:rFonts w:ascii="Arial" w:cs="Arial" w:eastAsia="Arial" w:hAnsi="Arial"/>
          <w:sz w:val="14"/>
          <w:szCs w:val="14"/>
          <w:color w:val="auto"/>
        </w:rPr>
        <w:t>The key economic assumptions used to determine the fair value of capitalized servicing rights at December 31, 2006 and the sensitivity of such value to changes in those assumptions are summarized in the table that follows. Those calculated sensitivities are hypothetical and actual changes in the fair value of capitalized servicing rights may differ significantly from the amounts presented herein. The effect of a variation in a particular assumption on the fair value of the servicing rights is calculated without changing any other assumption. In reality, changes in one factor may result in changes in another which may magnify or counteract the sensitivities. The changes in assumptions are presumed to be instantaneous.</w:t>
      </w:r>
    </w:p>
    <w:p>
      <w:pPr>
        <w:spacing w:after="0" w:line="23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gridSpan w:val="2"/>
          </w:tcPr>
          <w:p>
            <w:pPr>
              <w:spacing w:after="0"/>
              <w:rPr>
                <w:rFonts w:ascii="Arial" w:cs="Arial" w:eastAsia="Arial" w:hAnsi="Arial"/>
                <w:sz w:val="13"/>
                <w:szCs w:val="13"/>
                <w:b w:val="1"/>
                <w:bCs w:val="1"/>
                <w:color w:val="0000EE"/>
                <w:w w:val="87"/>
              </w:rPr>
            </w:pPr>
            <w:hyperlink w:anchor="page3">
              <w:r>
                <w:rPr>
                  <w:rFonts w:ascii="Arial" w:cs="Arial" w:eastAsia="Arial" w:hAnsi="Arial"/>
                  <w:sz w:val="13"/>
                  <w:szCs w:val="13"/>
                  <w:b w:val="1"/>
                  <w:bCs w:val="1"/>
                  <w:color w:val="0000EE"/>
                  <w:w w:val="87"/>
                </w:rPr>
                <w:t>Table of Contents</w:t>
              </w:r>
            </w:hyperlink>
          </w:p>
        </w:tc>
        <w:tc>
          <w:tcPr>
            <w:tcW w:w="64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396"/>
        </w:trPr>
        <w:tc>
          <w:tcPr>
            <w:tcW w:w="680" w:type="dxa"/>
            <w:vAlign w:val="bottom"/>
          </w:tcPr>
          <w:p>
            <w:pPr>
              <w:spacing w:after="0"/>
              <w:rPr>
                <w:sz w:val="24"/>
                <w:szCs w:val="24"/>
                <w:color w:val="auto"/>
              </w:rPr>
            </w:pPr>
          </w:p>
        </w:tc>
        <w:tc>
          <w:tcPr>
            <w:tcW w:w="6720" w:type="dxa"/>
            <w:vAlign w:val="bottom"/>
            <w:gridSpan w:val="2"/>
          </w:tcPr>
          <w:p>
            <w:pP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tc>
        <w:tc>
          <w:tcPr>
            <w:tcW w:w="2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4"/>
        </w:trPr>
        <w:tc>
          <w:tcPr>
            <w:tcW w:w="680" w:type="dxa"/>
            <w:vAlign w:val="bottom"/>
          </w:tcPr>
          <w:p>
            <w:pPr>
              <w:spacing w:after="0"/>
              <w:rPr>
                <w:sz w:val="24"/>
                <w:szCs w:val="24"/>
                <w:color w:val="auto"/>
              </w:rPr>
            </w:pPr>
          </w:p>
        </w:tc>
        <w:tc>
          <w:tcPr>
            <w:tcW w:w="6720" w:type="dxa"/>
            <w:vAlign w:val="bottom"/>
            <w:gridSpan w:val="2"/>
          </w:tcPr>
          <w:p>
            <w:pPr>
              <w:spacing w:after="0"/>
              <w:rPr>
                <w:sz w:val="20"/>
                <w:szCs w:val="20"/>
                <w:color w:val="auto"/>
              </w:rPr>
            </w:pPr>
            <w:r>
              <w:rPr>
                <w:rFonts w:ascii="Arial" w:cs="Arial" w:eastAsia="Arial" w:hAnsi="Arial"/>
                <w:sz w:val="14"/>
                <w:szCs w:val="14"/>
                <w:b w:val="1"/>
                <w:bCs w:val="1"/>
                <w:color w:val="auto"/>
              </w:rPr>
              <w:t>Notes to Financial Statements — (Continued)</w:t>
            </w:r>
          </w:p>
        </w:tc>
        <w:tc>
          <w:tcPr>
            <w:tcW w:w="23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3"/>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167"/>
        </w:trPr>
        <w:tc>
          <w:tcPr>
            <w:tcW w:w="680" w:type="dxa"/>
            <w:vAlign w:val="bottom"/>
          </w:tcPr>
          <w:p>
            <w:pPr>
              <w:spacing w:after="0"/>
              <w:rPr>
                <w:sz w:val="14"/>
                <w:szCs w:val="14"/>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Weighted-average prepayment speeds — residential (constant prepayment rate)</w:t>
            </w:r>
          </w:p>
        </w:tc>
        <w:tc>
          <w:tcPr>
            <w:tcW w:w="23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19.43%</w:t>
            </w:r>
          </w:p>
        </w:tc>
      </w:tr>
      <w:tr>
        <w:trPr>
          <w:trHeight w:val="167"/>
        </w:trPr>
        <w:tc>
          <w:tcPr>
            <w:tcW w:w="680" w:type="dxa"/>
            <w:vAlign w:val="bottom"/>
          </w:tcPr>
          <w:p>
            <w:pPr>
              <w:spacing w:after="0"/>
              <w:rPr>
                <w:sz w:val="14"/>
                <w:szCs w:val="14"/>
                <w:color w:val="auto"/>
              </w:rPr>
            </w:pPr>
          </w:p>
        </w:tc>
        <w:tc>
          <w:tcPr>
            <w:tcW w:w="6720" w:type="dxa"/>
            <w:vAlign w:val="bottom"/>
            <w:gridSpan w:val="2"/>
          </w:tcPr>
          <w:p>
            <w:pPr>
              <w:ind w:left="140"/>
              <w:spacing w:after="0"/>
              <w:rPr>
                <w:sz w:val="20"/>
                <w:szCs w:val="20"/>
                <w:color w:val="auto"/>
              </w:rPr>
            </w:pPr>
            <w:r>
              <w:rPr>
                <w:rFonts w:ascii="Arial" w:cs="Arial" w:eastAsia="Arial" w:hAnsi="Arial"/>
                <w:sz w:val="14"/>
                <w:szCs w:val="14"/>
                <w:color w:val="auto"/>
              </w:rPr>
              <w:t>Impact on fair value of 10% adverse change</w:t>
            </w:r>
          </w:p>
        </w:tc>
        <w:tc>
          <w:tcPr>
            <w:tcW w:w="2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(7,628,000)</w:t>
            </w:r>
          </w:p>
        </w:tc>
      </w:tr>
      <w:tr>
        <w:trPr>
          <w:trHeight w:val="167"/>
        </w:trPr>
        <w:tc>
          <w:tcPr>
            <w:tcW w:w="680" w:type="dxa"/>
            <w:vAlign w:val="bottom"/>
          </w:tcPr>
          <w:p>
            <w:pPr>
              <w:spacing w:after="0"/>
              <w:rPr>
                <w:sz w:val="14"/>
                <w:szCs w:val="14"/>
                <w:color w:val="auto"/>
              </w:rPr>
            </w:pPr>
          </w:p>
        </w:tc>
        <w:tc>
          <w:tcPr>
            <w:tcW w:w="67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Impact on fair value of 20% adverse change</w:t>
            </w:r>
          </w:p>
        </w:tc>
        <w:tc>
          <w:tcPr>
            <w:tcW w:w="23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(14,552,000)</w:t>
            </w:r>
          </w:p>
        </w:tc>
      </w:tr>
      <w:tr>
        <w:trPr>
          <w:trHeight w:val="167"/>
        </w:trPr>
        <w:tc>
          <w:tcPr>
            <w:tcW w:w="680" w:type="dxa"/>
            <w:vAlign w:val="bottom"/>
          </w:tcPr>
          <w:p>
            <w:pPr>
              <w:spacing w:after="0"/>
              <w:rPr>
                <w:sz w:val="14"/>
                <w:szCs w:val="14"/>
                <w:color w:val="auto"/>
              </w:rPr>
            </w:pPr>
          </w:p>
        </w:tc>
        <w:tc>
          <w:tcPr>
            <w:tcW w:w="6720" w:type="dxa"/>
            <w:vAlign w:val="bottom"/>
            <w:gridSpan w:val="2"/>
          </w:tcPr>
          <w:p>
            <w:pPr>
              <w:spacing w:after="0"/>
              <w:rPr>
                <w:sz w:val="20"/>
                <w:szCs w:val="20"/>
                <w:color w:val="auto"/>
              </w:rPr>
            </w:pPr>
            <w:r>
              <w:rPr>
                <w:rFonts w:ascii="Arial" w:cs="Arial" w:eastAsia="Arial" w:hAnsi="Arial"/>
                <w:sz w:val="14"/>
                <w:szCs w:val="14"/>
                <w:color w:val="auto"/>
              </w:rPr>
              <w:t>Weighted-average OAS — residential</w:t>
            </w:r>
          </w:p>
        </w:tc>
        <w:tc>
          <w:tcPr>
            <w:tcW w:w="2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12.27%</w:t>
            </w:r>
          </w:p>
        </w:tc>
      </w:tr>
      <w:tr>
        <w:trPr>
          <w:trHeight w:val="167"/>
        </w:trPr>
        <w:tc>
          <w:tcPr>
            <w:tcW w:w="680" w:type="dxa"/>
            <w:vAlign w:val="bottom"/>
          </w:tcPr>
          <w:p>
            <w:pPr>
              <w:spacing w:after="0"/>
              <w:rPr>
                <w:sz w:val="14"/>
                <w:szCs w:val="14"/>
                <w:color w:val="auto"/>
              </w:rPr>
            </w:pPr>
          </w:p>
        </w:tc>
        <w:tc>
          <w:tcPr>
            <w:tcW w:w="67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Impact on fair value of 10% adverse change</w:t>
            </w:r>
          </w:p>
        </w:tc>
        <w:tc>
          <w:tcPr>
            <w:tcW w:w="2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(4,242,000)</w:t>
            </w:r>
          </w:p>
        </w:tc>
      </w:tr>
      <w:tr>
        <w:trPr>
          <w:trHeight w:val="167"/>
        </w:trPr>
        <w:tc>
          <w:tcPr>
            <w:tcW w:w="680" w:type="dxa"/>
            <w:vAlign w:val="bottom"/>
          </w:tcPr>
          <w:p>
            <w:pPr>
              <w:spacing w:after="0"/>
              <w:rPr>
                <w:sz w:val="14"/>
                <w:szCs w:val="14"/>
                <w:color w:val="auto"/>
              </w:rPr>
            </w:pPr>
          </w:p>
        </w:tc>
        <w:tc>
          <w:tcPr>
            <w:tcW w:w="6720" w:type="dxa"/>
            <w:vAlign w:val="bottom"/>
            <w:gridSpan w:val="2"/>
          </w:tcPr>
          <w:p>
            <w:pPr>
              <w:ind w:left="140"/>
              <w:spacing w:after="0"/>
              <w:rPr>
                <w:sz w:val="20"/>
                <w:szCs w:val="20"/>
                <w:color w:val="auto"/>
              </w:rPr>
            </w:pPr>
            <w:r>
              <w:rPr>
                <w:rFonts w:ascii="Arial" w:cs="Arial" w:eastAsia="Arial" w:hAnsi="Arial"/>
                <w:sz w:val="14"/>
                <w:szCs w:val="14"/>
                <w:color w:val="auto"/>
              </w:rPr>
              <w:t>Impact on fair value of 20% adverse change</w:t>
            </w:r>
          </w:p>
        </w:tc>
        <w:tc>
          <w:tcPr>
            <w:tcW w:w="232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(8,246,000)</w:t>
            </w:r>
          </w:p>
        </w:tc>
      </w:tr>
      <w:tr>
        <w:trPr>
          <w:trHeight w:val="167"/>
        </w:trPr>
        <w:tc>
          <w:tcPr>
            <w:tcW w:w="680" w:type="dxa"/>
            <w:vAlign w:val="bottom"/>
          </w:tcPr>
          <w:p>
            <w:pPr>
              <w:spacing w:after="0"/>
              <w:rPr>
                <w:sz w:val="14"/>
                <w:szCs w:val="14"/>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Weighted-average discount rate — commercial</w:t>
            </w:r>
          </w:p>
        </w:tc>
        <w:tc>
          <w:tcPr>
            <w:tcW w:w="232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18.00%</w:t>
            </w:r>
          </w:p>
        </w:tc>
      </w:tr>
      <w:tr>
        <w:trPr>
          <w:trHeight w:val="167"/>
        </w:trPr>
        <w:tc>
          <w:tcPr>
            <w:tcW w:w="680" w:type="dxa"/>
            <w:vAlign w:val="bottom"/>
          </w:tcPr>
          <w:p>
            <w:pPr>
              <w:spacing w:after="0"/>
              <w:rPr>
                <w:sz w:val="14"/>
                <w:szCs w:val="14"/>
                <w:color w:val="auto"/>
              </w:rPr>
            </w:pPr>
          </w:p>
        </w:tc>
        <w:tc>
          <w:tcPr>
            <w:tcW w:w="6720" w:type="dxa"/>
            <w:vAlign w:val="bottom"/>
            <w:gridSpan w:val="2"/>
          </w:tcPr>
          <w:p>
            <w:pPr>
              <w:ind w:left="140"/>
              <w:spacing w:after="0"/>
              <w:rPr>
                <w:sz w:val="20"/>
                <w:szCs w:val="20"/>
                <w:color w:val="auto"/>
              </w:rPr>
            </w:pPr>
            <w:r>
              <w:rPr>
                <w:rFonts w:ascii="Arial" w:cs="Arial" w:eastAsia="Arial" w:hAnsi="Arial"/>
                <w:sz w:val="14"/>
                <w:szCs w:val="14"/>
                <w:color w:val="auto"/>
              </w:rPr>
              <w:t>Impact on fair value of 10% adverse change</w:t>
            </w:r>
          </w:p>
        </w:tc>
        <w:tc>
          <w:tcPr>
            <w:tcW w:w="2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(1,085,000)</w:t>
            </w:r>
          </w:p>
        </w:tc>
      </w:tr>
      <w:tr>
        <w:trPr>
          <w:trHeight w:val="167"/>
        </w:trPr>
        <w:tc>
          <w:tcPr>
            <w:tcW w:w="680" w:type="dxa"/>
            <w:vAlign w:val="bottom"/>
          </w:tcPr>
          <w:p>
            <w:pPr>
              <w:spacing w:after="0"/>
              <w:rPr>
                <w:sz w:val="14"/>
                <w:szCs w:val="14"/>
                <w:color w:val="auto"/>
              </w:rPr>
            </w:pPr>
          </w:p>
        </w:tc>
        <w:tc>
          <w:tcPr>
            <w:tcW w:w="67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Impact on fair value of 20% adverse change</w:t>
            </w:r>
          </w:p>
        </w:tc>
        <w:tc>
          <w:tcPr>
            <w:tcW w:w="23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(2,094,000)</w:t>
            </w:r>
          </w:p>
        </w:tc>
      </w:tr>
    </w:tbl>
    <w:p>
      <w:pPr>
        <w:spacing w:after="0" w:line="150" w:lineRule="exact"/>
        <w:rPr>
          <w:sz w:val="20"/>
          <w:szCs w:val="20"/>
          <w:color w:val="auto"/>
        </w:rPr>
      </w:pPr>
    </w:p>
    <w:p>
      <w:pPr>
        <w:ind w:left="1000" w:hanging="313"/>
        <w:spacing w:after="0"/>
        <w:tabs>
          <w:tab w:leader="none" w:pos="1000" w:val="left"/>
        </w:tabs>
        <w:numPr>
          <w:ilvl w:val="0"/>
          <w:numId w:val="28"/>
        </w:numPr>
        <w:rPr>
          <w:rFonts w:ascii="Arial" w:cs="Arial" w:eastAsia="Arial" w:hAnsi="Arial"/>
          <w:sz w:val="14"/>
          <w:szCs w:val="14"/>
          <w:b w:val="1"/>
          <w:bCs w:val="1"/>
          <w:color w:val="auto"/>
        </w:rPr>
      </w:pPr>
      <w:r>
        <w:rPr>
          <w:rFonts w:ascii="Arial" w:cs="Arial" w:eastAsia="Arial" w:hAnsi="Arial"/>
          <w:sz w:val="14"/>
          <w:szCs w:val="14"/>
          <w:b w:val="1"/>
          <w:bCs w:val="1"/>
          <w:color w:val="auto"/>
        </w:rPr>
        <w:t>Goodwill and other intangible assets</w:t>
      </w:r>
    </w:p>
    <w:p>
      <w:pPr>
        <w:spacing w:after="0" w:line="22" w:lineRule="exact"/>
        <w:rPr>
          <w:sz w:val="20"/>
          <w:szCs w:val="20"/>
          <w:color w:val="auto"/>
        </w:rPr>
      </w:pPr>
    </w:p>
    <w:p>
      <w:pPr>
        <w:ind w:left="680" w:right="220"/>
        <w:spacing w:after="0" w:line="263" w:lineRule="auto"/>
        <w:rPr>
          <w:sz w:val="20"/>
          <w:szCs w:val="20"/>
          <w:color w:val="auto"/>
        </w:rPr>
      </w:pPr>
      <w:r>
        <w:rPr>
          <w:rFonts w:ascii="Arial" w:cs="Arial" w:eastAsia="Arial" w:hAnsi="Arial"/>
          <w:sz w:val="14"/>
          <w:szCs w:val="14"/>
          <w:color w:val="auto"/>
        </w:rPr>
        <w:t>In accordance with SFAS No. 142, the Company does not amortize goodwill associated with corporate acquisitions, however, core deposit and other intangible assets are amortized over the estimated life of each respective asset. Total amortizing intangible assets were comprised of the following:</w:t>
      </w:r>
    </w:p>
    <w:p>
      <w:pPr>
        <w:spacing w:after="0" w:line="56"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3"/>
          </w:tcPr>
          <w:p>
            <w:pPr>
              <w:jc w:val="center"/>
              <w:ind w:right="500"/>
              <w:spacing w:after="0"/>
              <w:rPr>
                <w:sz w:val="20"/>
                <w:szCs w:val="20"/>
                <w:color w:val="auto"/>
              </w:rPr>
            </w:pPr>
            <w:r>
              <w:rPr>
                <w:rFonts w:ascii="Arial" w:cs="Arial" w:eastAsia="Arial" w:hAnsi="Arial"/>
                <w:sz w:val="10"/>
                <w:szCs w:val="10"/>
                <w:b w:val="1"/>
                <w:bCs w:val="1"/>
                <w:color w:val="auto"/>
                <w:w w:val="96"/>
              </w:rPr>
              <w:t>Gross Carrying</w:t>
            </w:r>
          </w:p>
        </w:tc>
        <w:tc>
          <w:tcPr>
            <w:tcW w:w="100" w:type="dxa"/>
            <w:vAlign w:val="bottom"/>
          </w:tcPr>
          <w:p>
            <w:pPr>
              <w:spacing w:after="0"/>
              <w:rPr>
                <w:sz w:val="10"/>
                <w:szCs w:val="10"/>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2"/>
              </w:rPr>
              <w:t>Accumulated</w:t>
            </w:r>
          </w:p>
        </w:tc>
        <w:tc>
          <w:tcPr>
            <w:tcW w:w="100" w:type="dxa"/>
            <w:vAlign w:val="bottom"/>
          </w:tcPr>
          <w:p>
            <w:pPr>
              <w:spacing w:after="0"/>
              <w:rPr>
                <w:sz w:val="10"/>
                <w:szCs w:val="1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96"/>
              </w:rPr>
              <w:t>Net Carrying</w:t>
            </w:r>
          </w:p>
        </w:tc>
      </w:tr>
      <w:tr>
        <w:trPr>
          <w:trHeight w:val="125"/>
        </w:trPr>
        <w:tc>
          <w:tcPr>
            <w:tcW w:w="6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3"/>
          </w:tcPr>
          <w:p>
            <w:pPr>
              <w:jc w:val="center"/>
              <w:ind w:right="500"/>
              <w:spacing w:after="0"/>
              <w:rPr>
                <w:sz w:val="20"/>
                <w:szCs w:val="20"/>
                <w:color w:val="auto"/>
              </w:rPr>
            </w:pPr>
            <w:r>
              <w:rPr>
                <w:rFonts w:ascii="Arial" w:cs="Arial" w:eastAsia="Arial" w:hAnsi="Arial"/>
                <w:sz w:val="10"/>
                <w:szCs w:val="10"/>
                <w:b w:val="1"/>
                <w:bCs w:val="1"/>
                <w:color w:val="auto"/>
              </w:rPr>
              <w:t>Amount</w:t>
            </w:r>
          </w:p>
        </w:tc>
        <w:tc>
          <w:tcPr>
            <w:tcW w:w="100" w:type="dxa"/>
            <w:vAlign w:val="bottom"/>
          </w:tcPr>
          <w:p>
            <w:pPr>
              <w:spacing w:after="0"/>
              <w:rPr>
                <w:sz w:val="10"/>
                <w:szCs w:val="10"/>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4"/>
              </w:rPr>
              <w:t>Amortization</w:t>
            </w:r>
          </w:p>
        </w:tc>
        <w:tc>
          <w:tcPr>
            <w:tcW w:w="100" w:type="dxa"/>
            <w:vAlign w:val="bottom"/>
          </w:tcPr>
          <w:p>
            <w:pPr>
              <w:spacing w:after="0"/>
              <w:rPr>
                <w:sz w:val="10"/>
                <w:szCs w:val="10"/>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0"/>
                <w:szCs w:val="10"/>
                <w:b w:val="1"/>
                <w:bCs w:val="1"/>
                <w:color w:val="auto"/>
              </w:rPr>
              <w:t>Amount</w:t>
            </w:r>
          </w:p>
        </w:tc>
      </w:tr>
      <w:tr>
        <w:trPr>
          <w:trHeight w:val="131"/>
        </w:trPr>
        <w:tc>
          <w:tcPr>
            <w:tcW w:w="6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35"/>
              <w:spacing w:after="0"/>
              <w:rPr>
                <w:sz w:val="20"/>
                <w:szCs w:val="20"/>
                <w:color w:val="auto"/>
              </w:rPr>
            </w:pPr>
            <w:r>
              <w:rPr>
                <w:rFonts w:ascii="Arial" w:cs="Arial" w:eastAsia="Arial" w:hAnsi="Arial"/>
                <w:sz w:val="10"/>
                <w:szCs w:val="10"/>
                <w:b w:val="1"/>
                <w:bCs w:val="1"/>
                <w:color w:val="auto"/>
                <w:w w:val="95"/>
              </w:rPr>
              <w:t>(In thousands)</w:t>
            </w: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73"/>
        </w:trPr>
        <w:tc>
          <w:tcPr>
            <w:tcW w:w="6400" w:type="dxa"/>
            <w:vAlign w:val="bottom"/>
            <w:shd w:val="clear" w:color="auto" w:fill="CCEEFF"/>
          </w:tcPr>
          <w:p>
            <w:pPr>
              <w:spacing w:after="0"/>
              <w:rPr>
                <w:sz w:val="20"/>
                <w:szCs w:val="20"/>
                <w:color w:val="auto"/>
              </w:rPr>
            </w:pPr>
            <w:r>
              <w:rPr>
                <w:rFonts w:ascii="Arial" w:cs="Arial" w:eastAsia="Arial" w:hAnsi="Arial"/>
                <w:sz w:val="14"/>
                <w:szCs w:val="14"/>
                <w:color w:val="auto"/>
              </w:rPr>
              <w:t>December 31, 2006</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7"/>
        </w:trPr>
        <w:tc>
          <w:tcPr>
            <w:tcW w:w="6400" w:type="dxa"/>
            <w:vAlign w:val="bottom"/>
          </w:tcPr>
          <w:p>
            <w:pPr>
              <w:ind w:left="140"/>
              <w:spacing w:after="0"/>
              <w:rPr>
                <w:sz w:val="20"/>
                <w:szCs w:val="20"/>
                <w:color w:val="auto"/>
              </w:rPr>
            </w:pPr>
            <w:r>
              <w:rPr>
                <w:rFonts w:ascii="Arial" w:cs="Arial" w:eastAsia="Arial" w:hAnsi="Arial"/>
                <w:sz w:val="14"/>
                <w:szCs w:val="14"/>
                <w:color w:val="auto"/>
              </w:rPr>
              <w:t>Core deposit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574,544</w:t>
            </w:r>
          </w:p>
        </w:tc>
        <w:tc>
          <w:tcPr>
            <w:tcW w:w="3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354,287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220,257</w:t>
            </w:r>
          </w:p>
        </w:tc>
      </w:tr>
      <w:tr>
        <w:trPr>
          <w:trHeight w:val="167"/>
        </w:trPr>
        <w:tc>
          <w:tcPr>
            <w:tcW w:w="6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115,250</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85,274</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29,976</w:t>
            </w:r>
          </w:p>
        </w:tc>
      </w:tr>
      <w:tr>
        <w:trPr>
          <w:trHeight w:val="181"/>
        </w:trPr>
        <w:tc>
          <w:tcPr>
            <w:tcW w:w="6400" w:type="dxa"/>
            <w:vAlign w:val="bottom"/>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689,794</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439,561</w:t>
            </w:r>
          </w:p>
        </w:tc>
        <w:tc>
          <w:tcPr>
            <w:tcW w:w="3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250,233</w:t>
            </w:r>
          </w:p>
        </w:tc>
        <w:tc>
          <w:tcPr>
            <w:tcW w:w="100" w:type="dxa"/>
            <w:vAlign w:val="bottom"/>
          </w:tcPr>
          <w:p>
            <w:pPr>
              <w:spacing w:after="0"/>
              <w:rPr>
                <w:sz w:val="15"/>
                <w:szCs w:val="15"/>
                <w:color w:val="auto"/>
              </w:rPr>
            </w:pPr>
          </w:p>
        </w:tc>
      </w:tr>
      <w:tr>
        <w:trPr>
          <w:trHeight w:val="172"/>
        </w:trPr>
        <w:tc>
          <w:tcPr>
            <w:tcW w:w="6400" w:type="dxa"/>
            <w:vAlign w:val="bottom"/>
            <w:shd w:val="clear" w:color="auto" w:fill="CCEEFF"/>
          </w:tcPr>
          <w:p>
            <w:pPr>
              <w:spacing w:after="0"/>
              <w:rPr>
                <w:sz w:val="20"/>
                <w:szCs w:val="20"/>
                <w:color w:val="auto"/>
              </w:rPr>
            </w:pPr>
            <w:r>
              <w:rPr>
                <w:rFonts w:ascii="Arial" w:cs="Arial" w:eastAsia="Arial" w:hAnsi="Arial"/>
                <w:sz w:val="14"/>
                <w:szCs w:val="14"/>
                <w:color w:val="auto"/>
              </w:rPr>
              <w:t>December 31, 2005</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6400" w:type="dxa"/>
            <w:vAlign w:val="bottom"/>
          </w:tcPr>
          <w:p>
            <w:pPr>
              <w:ind w:left="140"/>
              <w:spacing w:after="0"/>
              <w:rPr>
                <w:sz w:val="20"/>
                <w:szCs w:val="20"/>
                <w:color w:val="auto"/>
              </w:rPr>
            </w:pPr>
            <w:r>
              <w:rPr>
                <w:rFonts w:ascii="Arial" w:cs="Arial" w:eastAsia="Arial" w:hAnsi="Arial"/>
                <w:sz w:val="14"/>
                <w:szCs w:val="14"/>
                <w:color w:val="auto"/>
              </w:rPr>
              <w:t>Core deposit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385,725</w:t>
            </w:r>
          </w:p>
        </w:tc>
        <w:tc>
          <w:tcPr>
            <w:tcW w:w="3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380"/>
              <w:spacing w:after="0"/>
              <w:rPr>
                <w:sz w:val="20"/>
                <w:szCs w:val="20"/>
                <w:color w:val="auto"/>
              </w:rPr>
            </w:pPr>
            <w:r>
              <w:rPr>
                <w:rFonts w:ascii="Arial" w:cs="Arial" w:eastAsia="Arial" w:hAnsi="Arial"/>
                <w:sz w:val="14"/>
                <w:szCs w:val="14"/>
                <w:color w:val="auto"/>
              </w:rPr>
              <w:t>303,694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82,031</w:t>
            </w:r>
          </w:p>
        </w:tc>
      </w:tr>
      <w:tr>
        <w:trPr>
          <w:trHeight w:val="167"/>
        </w:trPr>
        <w:tc>
          <w:tcPr>
            <w:tcW w:w="6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99,088</w:t>
            </w:r>
          </w:p>
        </w:tc>
        <w:tc>
          <w:tcPr>
            <w:tcW w:w="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72,859</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26,229</w:t>
            </w:r>
          </w:p>
        </w:tc>
      </w:tr>
      <w:tr>
        <w:trPr>
          <w:trHeight w:val="176"/>
        </w:trPr>
        <w:tc>
          <w:tcPr>
            <w:tcW w:w="6400" w:type="dxa"/>
            <w:vAlign w:val="bottom"/>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484,813</w:t>
            </w:r>
          </w:p>
        </w:tc>
        <w:tc>
          <w:tcPr>
            <w:tcW w:w="2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376,553</w:t>
            </w:r>
          </w:p>
        </w:tc>
        <w:tc>
          <w:tcPr>
            <w:tcW w:w="3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108,260</w:t>
            </w:r>
          </w:p>
        </w:tc>
        <w:tc>
          <w:tcPr>
            <w:tcW w:w="100" w:type="dxa"/>
            <w:vAlign w:val="bottom"/>
          </w:tcPr>
          <w:p>
            <w:pPr>
              <w:spacing w:after="0"/>
              <w:rPr>
                <w:sz w:val="15"/>
                <w:szCs w:val="15"/>
                <w:color w:val="auto"/>
              </w:rPr>
            </w:pPr>
          </w:p>
        </w:tc>
      </w:tr>
    </w:tbl>
    <w:p>
      <w:pPr>
        <w:spacing w:after="0" w:line="86" w:lineRule="exact"/>
        <w:rPr>
          <w:sz w:val="20"/>
          <w:szCs w:val="20"/>
          <w:color w:val="auto"/>
        </w:rPr>
      </w:pPr>
    </w:p>
    <w:p>
      <w:pPr>
        <w:ind w:left="680" w:firstLine="599"/>
        <w:spacing w:after="0" w:line="285" w:lineRule="auto"/>
        <w:rPr>
          <w:sz w:val="20"/>
          <w:szCs w:val="20"/>
          <w:color w:val="auto"/>
        </w:rPr>
      </w:pPr>
      <w:r>
        <w:rPr>
          <w:rFonts w:ascii="Arial" w:cs="Arial" w:eastAsia="Arial" w:hAnsi="Arial"/>
          <w:sz w:val="13"/>
          <w:szCs w:val="13"/>
          <w:color w:val="auto"/>
        </w:rPr>
        <w:t>Amortization of core deposit and other intangible assets was generally computed using accelerated methods over original amortization periods of five to ten years. The weighted-average original amortization period was approximately eight years. The remaining weighted-average amortization period as of December 31, 2006 was also approximately eight years. Amortization expense for core deposit and other intangible assets was $63,008,000, $56,805,000, and $75,410,000 for the years ended December 31, 2006, 2005 and 2004, respectively. Estimated amortization expense in future years for such intangible assets is as follows:</w:t>
      </w:r>
    </w:p>
    <w:p>
      <w:pPr>
        <w:spacing w:after="0" w:line="52"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9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ind w:left="40"/>
              <w:spacing w:after="0"/>
              <w:rPr>
                <w:sz w:val="20"/>
                <w:szCs w:val="20"/>
                <w:color w:val="auto"/>
              </w:rPr>
            </w:pPr>
            <w:r>
              <w:rPr>
                <w:rFonts w:ascii="Arial" w:cs="Arial" w:eastAsia="Arial" w:hAnsi="Arial"/>
                <w:sz w:val="10"/>
                <w:szCs w:val="10"/>
                <w:b w:val="1"/>
                <w:bCs w:val="1"/>
                <w:color w:val="auto"/>
              </w:rPr>
              <w:t>(In thousands)</w:t>
            </w:r>
          </w:p>
        </w:tc>
      </w:tr>
      <w:tr>
        <w:trPr>
          <w:trHeight w:val="29"/>
        </w:trPr>
        <w:tc>
          <w:tcPr>
            <w:tcW w:w="9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7"/>
        </w:trPr>
        <w:tc>
          <w:tcPr>
            <w:tcW w:w="9000" w:type="dxa"/>
            <w:vAlign w:val="bottom"/>
            <w:shd w:val="clear" w:color="auto" w:fill="CCEEFF"/>
          </w:tcPr>
          <w:p>
            <w:pPr>
              <w:spacing w:after="0"/>
              <w:rPr>
                <w:sz w:val="20"/>
                <w:szCs w:val="20"/>
                <w:color w:val="auto"/>
              </w:rPr>
            </w:pPr>
            <w:r>
              <w:rPr>
                <w:rFonts w:ascii="Arial" w:cs="Arial" w:eastAsia="Arial" w:hAnsi="Arial"/>
                <w:sz w:val="14"/>
                <w:szCs w:val="14"/>
                <w:color w:val="auto"/>
              </w:rPr>
              <w:t>Year ending December 31:</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7"/>
        </w:trPr>
        <w:tc>
          <w:tcPr>
            <w:tcW w:w="9000" w:type="dxa"/>
            <w:vAlign w:val="bottom"/>
          </w:tcPr>
          <w:p>
            <w:pPr>
              <w:ind w:left="140"/>
              <w:spacing w:after="0"/>
              <w:rPr>
                <w:sz w:val="20"/>
                <w:szCs w:val="20"/>
                <w:color w:val="auto"/>
              </w:rPr>
            </w:pPr>
            <w:r>
              <w:rPr>
                <w:rFonts w:ascii="Arial" w:cs="Arial" w:eastAsia="Arial" w:hAnsi="Arial"/>
                <w:sz w:val="14"/>
                <w:szCs w:val="14"/>
                <w:color w:val="auto"/>
              </w:rPr>
              <w:t>2007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65,002</w:t>
            </w:r>
          </w:p>
        </w:tc>
        <w:tc>
          <w:tcPr>
            <w:tcW w:w="80" w:type="dxa"/>
            <w:vAlign w:val="bottom"/>
          </w:tcPr>
          <w:p>
            <w:pPr>
              <w:spacing w:after="0"/>
              <w:rPr>
                <w:sz w:val="14"/>
                <w:szCs w:val="14"/>
                <w:color w:val="auto"/>
              </w:rPr>
            </w:pPr>
          </w:p>
        </w:tc>
      </w:tr>
      <w:tr>
        <w:trPr>
          <w:trHeight w:val="167"/>
        </w:trPr>
        <w:tc>
          <w:tcPr>
            <w:tcW w:w="9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2008</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50,145</w:t>
            </w:r>
          </w:p>
        </w:tc>
        <w:tc>
          <w:tcPr>
            <w:tcW w:w="80" w:type="dxa"/>
            <w:vAlign w:val="bottom"/>
            <w:shd w:val="clear" w:color="auto" w:fill="CCEEFF"/>
          </w:tcPr>
          <w:p>
            <w:pPr>
              <w:spacing w:after="0"/>
              <w:rPr>
                <w:sz w:val="14"/>
                <w:szCs w:val="14"/>
                <w:color w:val="auto"/>
              </w:rPr>
            </w:pPr>
          </w:p>
        </w:tc>
      </w:tr>
      <w:tr>
        <w:trPr>
          <w:trHeight w:val="167"/>
        </w:trPr>
        <w:tc>
          <w:tcPr>
            <w:tcW w:w="9000" w:type="dxa"/>
            <w:vAlign w:val="bottom"/>
          </w:tcPr>
          <w:p>
            <w:pPr>
              <w:ind w:left="140"/>
              <w:spacing w:after="0"/>
              <w:rPr>
                <w:sz w:val="20"/>
                <w:szCs w:val="20"/>
                <w:color w:val="auto"/>
              </w:rPr>
            </w:pPr>
            <w:r>
              <w:rPr>
                <w:rFonts w:ascii="Arial" w:cs="Arial" w:eastAsia="Arial" w:hAnsi="Arial"/>
                <w:sz w:val="14"/>
                <w:szCs w:val="14"/>
                <w:color w:val="auto"/>
              </w:rPr>
              <w:t>2009</w:t>
            </w:r>
          </w:p>
        </w:tc>
        <w:tc>
          <w:tcPr>
            <w:tcW w:w="8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40,477</w:t>
            </w:r>
          </w:p>
        </w:tc>
        <w:tc>
          <w:tcPr>
            <w:tcW w:w="80" w:type="dxa"/>
            <w:vAlign w:val="bottom"/>
          </w:tcPr>
          <w:p>
            <w:pPr>
              <w:spacing w:after="0"/>
              <w:rPr>
                <w:sz w:val="14"/>
                <w:szCs w:val="14"/>
                <w:color w:val="auto"/>
              </w:rPr>
            </w:pPr>
          </w:p>
        </w:tc>
      </w:tr>
      <w:tr>
        <w:trPr>
          <w:trHeight w:val="167"/>
        </w:trPr>
        <w:tc>
          <w:tcPr>
            <w:tcW w:w="9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2010</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31,225</w:t>
            </w:r>
          </w:p>
        </w:tc>
        <w:tc>
          <w:tcPr>
            <w:tcW w:w="80" w:type="dxa"/>
            <w:vAlign w:val="bottom"/>
            <w:shd w:val="clear" w:color="auto" w:fill="CCEEFF"/>
          </w:tcPr>
          <w:p>
            <w:pPr>
              <w:spacing w:after="0"/>
              <w:rPr>
                <w:sz w:val="14"/>
                <w:szCs w:val="14"/>
                <w:color w:val="auto"/>
              </w:rPr>
            </w:pPr>
          </w:p>
        </w:tc>
      </w:tr>
      <w:tr>
        <w:trPr>
          <w:trHeight w:val="167"/>
        </w:trPr>
        <w:tc>
          <w:tcPr>
            <w:tcW w:w="9000" w:type="dxa"/>
            <w:vAlign w:val="bottom"/>
          </w:tcPr>
          <w:p>
            <w:pPr>
              <w:ind w:left="140"/>
              <w:spacing w:after="0"/>
              <w:rPr>
                <w:sz w:val="20"/>
                <w:szCs w:val="20"/>
                <w:color w:val="auto"/>
              </w:rPr>
            </w:pPr>
            <w:r>
              <w:rPr>
                <w:rFonts w:ascii="Arial" w:cs="Arial" w:eastAsia="Arial" w:hAnsi="Arial"/>
                <w:sz w:val="14"/>
                <w:szCs w:val="14"/>
                <w:color w:val="auto"/>
              </w:rPr>
              <w:t>2011</w:t>
            </w:r>
          </w:p>
        </w:tc>
        <w:tc>
          <w:tcPr>
            <w:tcW w:w="8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20,397</w:t>
            </w:r>
          </w:p>
        </w:tc>
        <w:tc>
          <w:tcPr>
            <w:tcW w:w="80" w:type="dxa"/>
            <w:vAlign w:val="bottom"/>
          </w:tcPr>
          <w:p>
            <w:pPr>
              <w:spacing w:after="0"/>
              <w:rPr>
                <w:sz w:val="14"/>
                <w:szCs w:val="14"/>
                <w:color w:val="auto"/>
              </w:rPr>
            </w:pPr>
          </w:p>
        </w:tc>
      </w:tr>
      <w:tr>
        <w:trPr>
          <w:trHeight w:val="167"/>
        </w:trPr>
        <w:tc>
          <w:tcPr>
            <w:tcW w:w="9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Later years</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42,987</w:t>
            </w:r>
          </w:p>
        </w:tc>
        <w:tc>
          <w:tcPr>
            <w:tcW w:w="80" w:type="dxa"/>
            <w:vAlign w:val="bottom"/>
            <w:shd w:val="clear" w:color="auto" w:fill="CCEEFF"/>
          </w:tcPr>
          <w:p>
            <w:pPr>
              <w:spacing w:after="0"/>
              <w:rPr>
                <w:sz w:val="14"/>
                <w:szCs w:val="14"/>
                <w:color w:val="auto"/>
              </w:rPr>
            </w:pPr>
          </w:p>
        </w:tc>
      </w:tr>
      <w:tr>
        <w:trPr>
          <w:trHeight w:val="176"/>
        </w:trPr>
        <w:tc>
          <w:tcPr>
            <w:tcW w:w="90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250,233</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bl>
    <w:p>
      <w:pPr>
        <w:spacing w:after="0" w:line="86" w:lineRule="exact"/>
        <w:rPr>
          <w:sz w:val="20"/>
          <w:szCs w:val="20"/>
          <w:color w:val="auto"/>
        </w:rPr>
      </w:pPr>
    </w:p>
    <w:p>
      <w:pPr>
        <w:ind w:left="680" w:right="180" w:firstLine="599"/>
        <w:spacing w:after="0" w:line="259" w:lineRule="auto"/>
        <w:rPr>
          <w:sz w:val="20"/>
          <w:szCs w:val="20"/>
          <w:color w:val="auto"/>
        </w:rPr>
      </w:pPr>
      <w:r>
        <w:rPr>
          <w:rFonts w:ascii="Arial" w:cs="Arial" w:eastAsia="Arial" w:hAnsi="Arial"/>
          <w:sz w:val="14"/>
          <w:szCs w:val="14"/>
          <w:color w:val="auto"/>
        </w:rPr>
        <w:t>Also in accordance with the provisions of SFAS No. 142, the Company completed annual goodwill impairment tests as of October 1, 2004, 2005 and 2006. For purposes of testing for impairment, the Company assigned all recorded goodwill to the reporting units originally intended to benefit from past business combinations. Goodwill was generally assigned based on the implied fair value of the acquired goodwill applicable to the benefited reporting units at the time of each respective acquisition. The</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98" w:name="page99"/>
    <w:bookmarkEnd w:id="9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56" w:lineRule="exact"/>
        <w:rPr>
          <w:sz w:val="20"/>
          <w:szCs w:val="20"/>
          <w:color w:val="auto"/>
        </w:rPr>
      </w:pPr>
    </w:p>
    <w:p>
      <w:pPr>
        <w:ind w:left="680" w:right="840"/>
        <w:spacing w:after="0" w:line="251" w:lineRule="auto"/>
        <w:rPr>
          <w:sz w:val="20"/>
          <w:szCs w:val="20"/>
          <w:color w:val="auto"/>
        </w:rPr>
      </w:pPr>
      <w:r>
        <w:rPr>
          <w:rFonts w:ascii="Arial" w:cs="Arial" w:eastAsia="Arial" w:hAnsi="Arial"/>
          <w:sz w:val="14"/>
          <w:szCs w:val="14"/>
          <w:color w:val="auto"/>
        </w:rPr>
        <w:t>implied fair value of the goodwill was determined as the difference between the estimated incremental overall fair value of the reporting unit and the estimated fair value of the net assets assigned to the reporting unit as of each respective acquisition date. To test for goodwill impairment at each evaluation date, the Company compared the estimated fair value of each of its reporting units to their respective carrying amounts and certain other assets and liabilities assigned to the reporting unit, including goodwill and core deposit and other intangible assets. The methodologies used to estimate fair values of reporting units as of the acquisition dates and as of the evaluation dates were similar. For the Company’s core customer relationship business reporting units, fair value was estimated as the present value of the expected future cash flows of the reporting unit. The Company’s non-relationship business reporting units were individually analyzed and fair value was largely determined by comparisons to market transactions for similar businesses. Based on the results of the goodwill impairment tests, the Company concluded that the amount of recorded goodwill was not impaired at the respective testing dates.</w:t>
      </w:r>
    </w:p>
    <w:p>
      <w:pPr>
        <w:spacing w:after="0" w:line="2"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A summary of goodwill assigned to each of the Company’s reportable segments for purposes of testing for impairment was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79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79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234"/>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10"/>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31"/>
        </w:trPr>
        <w:tc>
          <w:tcPr>
            <w:tcW w:w="680" w:type="dxa"/>
            <w:vAlign w:val="bottom"/>
          </w:tcPr>
          <w:p>
            <w:pPr>
              <w:spacing w:after="0"/>
              <w:rPr>
                <w:sz w:val="11"/>
                <w:szCs w:val="11"/>
                <w:color w:val="auto"/>
              </w:rPr>
            </w:pPr>
          </w:p>
        </w:tc>
        <w:tc>
          <w:tcPr>
            <w:tcW w:w="7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560" w:type="dxa"/>
            <w:vAlign w:val="bottom"/>
            <w:gridSpan w:val="2"/>
          </w:tcPr>
          <w:p>
            <w:pPr>
              <w:jc w:val="right"/>
              <w:spacing w:after="0"/>
              <w:rPr>
                <w:sz w:val="20"/>
                <w:szCs w:val="20"/>
                <w:color w:val="auto"/>
              </w:rPr>
            </w:pPr>
            <w:r>
              <w:rPr>
                <w:rFonts w:ascii="Arial" w:cs="Arial" w:eastAsia="Arial" w:hAnsi="Arial"/>
                <w:sz w:val="10"/>
                <w:szCs w:val="10"/>
                <w:b w:val="1"/>
                <w:bCs w:val="1"/>
                <w:color w:val="auto"/>
                <w:w w:val="92"/>
              </w:rPr>
              <w:t>thousands)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73"/>
        </w:trPr>
        <w:tc>
          <w:tcPr>
            <w:tcW w:w="680" w:type="dxa"/>
            <w:vAlign w:val="bottom"/>
          </w:tcPr>
          <w:p>
            <w:pPr>
              <w:spacing w:after="0"/>
              <w:rPr>
                <w:sz w:val="15"/>
                <w:szCs w:val="15"/>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Commercial Banking</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838,165</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838,165</w:t>
            </w:r>
          </w:p>
        </w:tc>
        <w:tc>
          <w:tcPr>
            <w:tcW w:w="800" w:type="dxa"/>
            <w:vAlign w:val="bottom"/>
          </w:tcPr>
          <w:p>
            <w:pPr>
              <w:spacing w:after="0"/>
              <w:rPr>
                <w:sz w:val="15"/>
                <w:szCs w:val="15"/>
                <w:color w:val="auto"/>
              </w:rPr>
            </w:pPr>
          </w:p>
        </w:tc>
      </w:tr>
      <w:tr>
        <w:trPr>
          <w:trHeight w:val="167"/>
        </w:trPr>
        <w:tc>
          <w:tcPr>
            <w:tcW w:w="680" w:type="dxa"/>
            <w:vAlign w:val="bottom"/>
          </w:tcPr>
          <w:p>
            <w:pPr>
              <w:spacing w:after="0"/>
              <w:rPr>
                <w:sz w:val="14"/>
                <w:szCs w:val="14"/>
                <w:color w:val="auto"/>
              </w:rPr>
            </w:pPr>
          </w:p>
        </w:tc>
        <w:tc>
          <w:tcPr>
            <w:tcW w:w="7900" w:type="dxa"/>
            <w:vAlign w:val="bottom"/>
          </w:tcPr>
          <w:p>
            <w:pPr>
              <w:spacing w:after="0"/>
              <w:rPr>
                <w:sz w:val="20"/>
                <w:szCs w:val="20"/>
                <w:color w:val="auto"/>
              </w:rPr>
            </w:pPr>
            <w:r>
              <w:rPr>
                <w:rFonts w:ascii="Arial" w:cs="Arial" w:eastAsia="Arial" w:hAnsi="Arial"/>
                <w:sz w:val="14"/>
                <w:szCs w:val="14"/>
                <w:color w:val="auto"/>
              </w:rPr>
              <w:t>Commercial Real Estate</w:t>
            </w:r>
          </w:p>
        </w:tc>
        <w:tc>
          <w:tcPr>
            <w:tcW w:w="140" w:type="dxa"/>
            <w:vAlign w:val="bottom"/>
          </w:tcPr>
          <w:p>
            <w:pPr>
              <w:spacing w:after="0"/>
              <w:rPr>
                <w:sz w:val="14"/>
                <w:szCs w:val="14"/>
                <w:color w:val="auto"/>
              </w:rPr>
            </w:pPr>
          </w:p>
        </w:tc>
        <w:tc>
          <w:tcPr>
            <w:tcW w:w="1040" w:type="dxa"/>
            <w:vAlign w:val="bottom"/>
            <w:gridSpan w:val="2"/>
          </w:tcPr>
          <w:p>
            <w:pPr>
              <w:jc w:val="right"/>
              <w:ind w:right="328"/>
              <w:spacing w:after="0"/>
              <w:rPr>
                <w:sz w:val="20"/>
                <w:szCs w:val="20"/>
                <w:color w:val="auto"/>
              </w:rPr>
            </w:pPr>
            <w:r>
              <w:rPr>
                <w:rFonts w:ascii="Arial" w:cs="Arial" w:eastAsia="Arial" w:hAnsi="Arial"/>
                <w:sz w:val="14"/>
                <w:szCs w:val="14"/>
                <w:color w:val="auto"/>
              </w:rPr>
              <w:t>255,166</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255,166</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Discretionary Portfolio</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900" w:type="dxa"/>
            <w:vAlign w:val="bottom"/>
          </w:tcPr>
          <w:p>
            <w:pPr>
              <w:spacing w:after="0"/>
              <w:rPr>
                <w:sz w:val="20"/>
                <w:szCs w:val="20"/>
                <w:color w:val="auto"/>
              </w:rPr>
            </w:pPr>
            <w:r>
              <w:rPr>
                <w:rFonts w:ascii="Arial" w:cs="Arial" w:eastAsia="Arial" w:hAnsi="Arial"/>
                <w:sz w:val="14"/>
                <w:szCs w:val="14"/>
                <w:color w:val="auto"/>
              </w:rPr>
              <w:t>Residential Mortgage Banking</w:t>
            </w:r>
          </w:p>
        </w:tc>
        <w:tc>
          <w:tcPr>
            <w:tcW w:w="140" w:type="dxa"/>
            <w:vAlign w:val="bottom"/>
          </w:tcPr>
          <w:p>
            <w:pPr>
              <w:spacing w:after="0"/>
              <w:rPr>
                <w:sz w:val="14"/>
                <w:szCs w:val="14"/>
                <w:color w:val="auto"/>
              </w:rPr>
            </w:pPr>
          </w:p>
        </w:tc>
        <w:tc>
          <w:tcPr>
            <w:tcW w:w="104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Retail Banking</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1,440,925</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1,440,925</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900" w:type="dxa"/>
            <w:vAlign w:val="bottom"/>
          </w:tcPr>
          <w:p>
            <w:pPr>
              <w:spacing w:after="0"/>
              <w:rPr>
                <w:sz w:val="20"/>
                <w:szCs w:val="20"/>
                <w:color w:val="auto"/>
              </w:rPr>
            </w:pPr>
            <w:r>
              <w:rPr>
                <w:rFonts w:ascii="Arial" w:cs="Arial" w:eastAsia="Arial" w:hAnsi="Arial"/>
                <w:sz w:val="14"/>
                <w:szCs w:val="14"/>
                <w:color w:val="auto"/>
              </w:rPr>
              <w:t>All Other</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374,593</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369,825</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680" w:type="dxa"/>
            <w:vAlign w:val="bottom"/>
          </w:tcPr>
          <w:p>
            <w:pPr>
              <w:spacing w:after="0"/>
              <w:rPr>
                <w:sz w:val="15"/>
                <w:szCs w:val="15"/>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2,908,849</w:t>
            </w: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2,904,081</w:t>
            </w:r>
          </w:p>
        </w:tc>
        <w:tc>
          <w:tcPr>
            <w:tcW w:w="800" w:type="dxa"/>
            <w:vAlign w:val="bottom"/>
          </w:tcPr>
          <w:p>
            <w:pPr>
              <w:spacing w:after="0"/>
              <w:rPr>
                <w:sz w:val="15"/>
                <w:szCs w:val="15"/>
                <w:color w:val="auto"/>
              </w:rPr>
            </w:pPr>
          </w:p>
        </w:tc>
      </w:tr>
      <w:tr>
        <w:trPr>
          <w:trHeight w:val="319"/>
        </w:trPr>
        <w:tc>
          <w:tcPr>
            <w:tcW w:w="680" w:type="dxa"/>
            <w:vAlign w:val="bottom"/>
          </w:tcPr>
          <w:p>
            <w:pPr>
              <w:spacing w:after="0"/>
              <w:rPr>
                <w:sz w:val="24"/>
                <w:szCs w:val="24"/>
                <w:color w:val="auto"/>
              </w:rPr>
            </w:pPr>
          </w:p>
        </w:tc>
        <w:tc>
          <w:tcPr>
            <w:tcW w:w="7900" w:type="dxa"/>
            <w:vAlign w:val="bottom"/>
          </w:tcPr>
          <w:p>
            <w:pPr>
              <w:spacing w:after="0"/>
              <w:rPr>
                <w:sz w:val="20"/>
                <w:szCs w:val="20"/>
                <w:color w:val="auto"/>
              </w:rPr>
            </w:pPr>
            <w:r>
              <w:rPr>
                <w:rFonts w:ascii="Arial" w:cs="Arial" w:eastAsia="Arial" w:hAnsi="Arial"/>
                <w:sz w:val="12"/>
                <w:szCs w:val="12"/>
                <w:color w:val="auto"/>
              </w:rPr>
              <w:t>98</w:t>
            </w: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79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9" w:name="page100"/>
    <w:bookmarkEnd w:id="9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52" w:lineRule="exact"/>
        <w:rPr>
          <w:sz w:val="20"/>
          <w:szCs w:val="20"/>
          <w:color w:val="auto"/>
        </w:rPr>
      </w:pPr>
    </w:p>
    <w:p>
      <w:pPr>
        <w:ind w:left="680"/>
        <w:spacing w:after="0"/>
        <w:tabs>
          <w:tab w:leader="none" w:pos="980" w:val="left"/>
        </w:tabs>
        <w:rPr>
          <w:sz w:val="20"/>
          <w:szCs w:val="20"/>
          <w:color w:val="auto"/>
        </w:rPr>
      </w:pPr>
      <w:r>
        <w:rPr>
          <w:rFonts w:ascii="Arial" w:cs="Arial" w:eastAsia="Arial" w:hAnsi="Arial"/>
          <w:sz w:val="14"/>
          <w:szCs w:val="14"/>
          <w:b w:val="1"/>
          <w:bCs w:val="1"/>
          <w:color w:val="auto"/>
        </w:rPr>
        <w:t>9.</w:t>
        <w:tab/>
        <w:t>Borrowings</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amounts and interest rates of short-term borrowings were as follows:</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6"/>
              </w:rPr>
              <w:t>Federal Funds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89"/>
              </w:rPr>
              <w:t>Purchased</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vMerge w:val="restart"/>
          </w:tcPr>
          <w:p>
            <w:pPr>
              <w:jc w:val="center"/>
              <w:ind w:right="520"/>
              <w:spacing w:after="0"/>
              <w:rPr>
                <w:sz w:val="20"/>
                <w:szCs w:val="20"/>
                <w:color w:val="auto"/>
              </w:rPr>
            </w:pPr>
            <w:r>
              <w:rPr>
                <w:rFonts w:ascii="Arial" w:cs="Arial" w:eastAsia="Arial" w:hAnsi="Arial"/>
                <w:sz w:val="10"/>
                <w:szCs w:val="10"/>
                <w:b w:val="1"/>
                <w:bCs w:val="1"/>
                <w:color w:val="auto"/>
              </w:rPr>
              <w:t>Other</w:t>
            </w: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rPr>
              <w:t>and</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300"/>
              <w:spacing w:after="0" w:line="108" w:lineRule="exact"/>
              <w:rPr>
                <w:sz w:val="20"/>
                <w:szCs w:val="20"/>
                <w:color w:val="auto"/>
              </w:rPr>
            </w:pPr>
            <w:r>
              <w:rPr>
                <w:rFonts w:ascii="Arial" w:cs="Arial" w:eastAsia="Arial" w:hAnsi="Arial"/>
                <w:sz w:val="10"/>
                <w:szCs w:val="10"/>
                <w:b w:val="1"/>
                <w:bCs w:val="1"/>
                <w:color w:val="auto"/>
                <w:w w:val="94"/>
              </w:rPr>
              <w:t>Repurchase</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tcPr>
          <w:p>
            <w:pPr>
              <w:jc w:val="center"/>
              <w:ind w:right="500"/>
              <w:spacing w:after="0" w:line="108" w:lineRule="exact"/>
              <w:rPr>
                <w:sz w:val="20"/>
                <w:szCs w:val="20"/>
                <w:color w:val="auto"/>
              </w:rPr>
            </w:pPr>
            <w:r>
              <w:rPr>
                <w:rFonts w:ascii="Arial" w:cs="Arial" w:eastAsia="Arial" w:hAnsi="Arial"/>
                <w:sz w:val="10"/>
                <w:szCs w:val="10"/>
                <w:b w:val="1"/>
                <w:bCs w:val="1"/>
                <w:color w:val="auto"/>
                <w:w w:val="97"/>
              </w:rPr>
              <w:t>Short-term</w:t>
            </w:r>
          </w:p>
        </w:tc>
        <w:tc>
          <w:tcPr>
            <w:tcW w:w="140" w:type="dxa"/>
            <w:vAlign w:val="bottom"/>
          </w:tcPr>
          <w:p>
            <w:pPr>
              <w:spacing w:after="0"/>
              <w:rPr>
                <w:sz w:val="9"/>
                <w:szCs w:val="9"/>
                <w:color w:val="auto"/>
              </w:rPr>
            </w:pPr>
          </w:p>
        </w:tc>
        <w:tc>
          <w:tcPr>
            <w:tcW w:w="660" w:type="dxa"/>
            <w:vAlign w:val="bottom"/>
            <w:vMerge w:val="restart"/>
          </w:tcPr>
          <w:p>
            <w:pPr>
              <w:jc w:val="right"/>
              <w:ind w:right="209"/>
              <w:spacing w:after="0"/>
              <w:rPr>
                <w:sz w:val="20"/>
                <w:szCs w:val="20"/>
                <w:color w:val="auto"/>
              </w:rPr>
            </w:pPr>
            <w:r>
              <w:rPr>
                <w:rFonts w:ascii="Arial" w:cs="Arial" w:eastAsia="Arial" w:hAnsi="Arial"/>
                <w:sz w:val="10"/>
                <w:szCs w:val="10"/>
                <w:b w:val="1"/>
                <w:bCs w:val="1"/>
                <w:color w:val="auto"/>
              </w:rPr>
              <w:t>Total</w:t>
            </w:r>
          </w:p>
        </w:tc>
        <w:tc>
          <w:tcPr>
            <w:tcW w:w="1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5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33"/>
              <w:spacing w:after="0"/>
              <w:rPr>
                <w:sz w:val="20"/>
                <w:szCs w:val="20"/>
                <w:color w:val="auto"/>
              </w:rPr>
            </w:pPr>
            <w:r>
              <w:rPr>
                <w:rFonts w:ascii="Arial" w:cs="Arial" w:eastAsia="Arial" w:hAnsi="Arial"/>
                <w:sz w:val="10"/>
                <w:szCs w:val="10"/>
                <w:b w:val="1"/>
                <w:bCs w:val="1"/>
                <w:color w:val="auto"/>
                <w:w w:val="93"/>
              </w:rPr>
              <w:t>Agreements</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31"/>
              <w:spacing w:after="0"/>
              <w:rPr>
                <w:sz w:val="20"/>
                <w:szCs w:val="20"/>
                <w:color w:val="auto"/>
              </w:rPr>
            </w:pPr>
            <w:r>
              <w:rPr>
                <w:rFonts w:ascii="Arial" w:cs="Arial" w:eastAsia="Arial" w:hAnsi="Arial"/>
                <w:sz w:val="10"/>
                <w:szCs w:val="10"/>
                <w:b w:val="1"/>
                <w:bCs w:val="1"/>
                <w:color w:val="auto"/>
                <w:w w:val="93"/>
              </w:rPr>
              <w:t>Borrowings</w:t>
            </w:r>
          </w:p>
        </w:tc>
        <w:tc>
          <w:tcPr>
            <w:tcW w:w="4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3"/>
          </w:tcPr>
          <w:p>
            <w:pPr>
              <w:jc w:val="right"/>
              <w:spacing w:after="0"/>
              <w:rPr>
                <w:sz w:val="20"/>
                <w:szCs w:val="20"/>
                <w:color w:val="auto"/>
              </w:rPr>
            </w:pPr>
            <w:r>
              <w:rPr>
                <w:rFonts w:ascii="Arial" w:cs="Arial" w:eastAsia="Arial" w:hAnsi="Arial"/>
                <w:sz w:val="10"/>
                <w:szCs w:val="10"/>
                <w:b w:val="1"/>
                <w:bCs w:val="1"/>
                <w:color w:val="auto"/>
                <w:w w:val="94"/>
              </w:rPr>
              <w:t>(Dollars in thousands)</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520" w:type="dxa"/>
            <w:vAlign w:val="bottom"/>
            <w:shd w:val="clear" w:color="auto" w:fill="CCEEFF"/>
          </w:tcPr>
          <w:p>
            <w:pPr>
              <w:spacing w:after="0"/>
              <w:rPr>
                <w:sz w:val="20"/>
                <w:szCs w:val="20"/>
                <w:color w:val="auto"/>
              </w:rPr>
            </w:pPr>
            <w:r>
              <w:rPr>
                <w:rFonts w:ascii="Arial" w:cs="Arial" w:eastAsia="Arial" w:hAnsi="Arial"/>
                <w:sz w:val="14"/>
                <w:szCs w:val="14"/>
                <w:color w:val="auto"/>
              </w:rPr>
              <w:t>At December 31, 2006</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520" w:type="dxa"/>
            <w:vAlign w:val="bottom"/>
          </w:tcPr>
          <w:p>
            <w:pPr>
              <w:ind w:left="140"/>
              <w:spacing w:after="0"/>
              <w:rPr>
                <w:sz w:val="20"/>
                <w:szCs w:val="20"/>
                <w:color w:val="auto"/>
              </w:rPr>
            </w:pPr>
            <w:r>
              <w:rPr>
                <w:rFonts w:ascii="Arial" w:cs="Arial" w:eastAsia="Arial" w:hAnsi="Arial"/>
                <w:sz w:val="14"/>
                <w:szCs w:val="14"/>
                <w:color w:val="auto"/>
              </w:rPr>
              <w:t>Amount outstanding</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2,531,684</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4"/>
                <w:szCs w:val="14"/>
                <w:color w:val="auto"/>
              </w:rPr>
              <w:t>562,530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3,094,214</w:t>
            </w:r>
          </w:p>
        </w:tc>
        <w:tc>
          <w:tcPr>
            <w:tcW w:w="0" w:type="dxa"/>
            <w:vAlign w:val="bottom"/>
          </w:tcPr>
          <w:p>
            <w:pPr>
              <w:spacing w:after="0"/>
              <w:rPr>
                <w:sz w:val="1"/>
                <w:szCs w:val="1"/>
                <w:color w:val="auto"/>
              </w:rPr>
            </w:pPr>
          </w:p>
        </w:tc>
      </w:tr>
      <w:tr>
        <w:trPr>
          <w:trHeight w:val="167"/>
        </w:trPr>
        <w:tc>
          <w:tcPr>
            <w:tcW w:w="6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Weighted-average interest rate</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5.14%</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5.30%</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167"/>
        </w:trPr>
        <w:tc>
          <w:tcPr>
            <w:tcW w:w="6520" w:type="dxa"/>
            <w:vAlign w:val="bottom"/>
          </w:tcPr>
          <w:p>
            <w:pPr>
              <w:spacing w:after="0"/>
              <w:rPr>
                <w:sz w:val="20"/>
                <w:szCs w:val="20"/>
                <w:color w:val="auto"/>
              </w:rPr>
            </w:pPr>
            <w:r>
              <w:rPr>
                <w:rFonts w:ascii="Arial" w:cs="Arial" w:eastAsia="Arial" w:hAnsi="Arial"/>
                <w:sz w:val="14"/>
                <w:szCs w:val="14"/>
                <w:color w:val="auto"/>
              </w:rPr>
              <w:t>For the year ended December 31, 2006</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Highest amount at a month-end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4,533,796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980,361</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520" w:type="dxa"/>
            <w:vAlign w:val="bottom"/>
          </w:tcPr>
          <w:p>
            <w:pPr>
              <w:ind w:left="140"/>
              <w:spacing w:after="0"/>
              <w:rPr>
                <w:sz w:val="20"/>
                <w:szCs w:val="20"/>
                <w:color w:val="auto"/>
              </w:rPr>
            </w:pPr>
            <w:r>
              <w:rPr>
                <w:rFonts w:ascii="Arial" w:cs="Arial" w:eastAsia="Arial" w:hAnsi="Arial"/>
                <w:sz w:val="14"/>
                <w:szCs w:val="14"/>
                <w:color w:val="auto"/>
              </w:rPr>
              <w:t>Daily-average amount outstanding</w:t>
            </w:r>
          </w:p>
        </w:tc>
        <w:tc>
          <w:tcPr>
            <w:tcW w:w="1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3,888,739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color w:val="auto"/>
              </w:rPr>
              <w:t>640,893</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4,529,632</w:t>
            </w:r>
          </w:p>
        </w:tc>
        <w:tc>
          <w:tcPr>
            <w:tcW w:w="0" w:type="dxa"/>
            <w:vAlign w:val="bottom"/>
          </w:tcPr>
          <w:p>
            <w:pPr>
              <w:spacing w:after="0"/>
              <w:rPr>
                <w:sz w:val="1"/>
                <w:szCs w:val="1"/>
                <w:color w:val="auto"/>
              </w:rPr>
            </w:pPr>
          </w:p>
        </w:tc>
      </w:tr>
      <w:tr>
        <w:trPr>
          <w:trHeight w:val="167"/>
        </w:trPr>
        <w:tc>
          <w:tcPr>
            <w:tcW w:w="6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Weighted-average interest rate</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5.01%</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5.18%</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167"/>
        </w:trPr>
        <w:tc>
          <w:tcPr>
            <w:tcW w:w="6520" w:type="dxa"/>
            <w:vAlign w:val="bottom"/>
          </w:tcPr>
          <w:p>
            <w:pPr>
              <w:spacing w:after="0"/>
              <w:rPr>
                <w:sz w:val="20"/>
                <w:szCs w:val="20"/>
                <w:color w:val="auto"/>
              </w:rPr>
            </w:pPr>
            <w:r>
              <w:rPr>
                <w:rFonts w:ascii="Arial" w:cs="Arial" w:eastAsia="Arial" w:hAnsi="Arial"/>
                <w:sz w:val="14"/>
                <w:szCs w:val="14"/>
                <w:color w:val="auto"/>
              </w:rPr>
              <w:t>At December 31, 2005</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Amount outstanding</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4,211,978</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940,894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5,152,872</w:t>
            </w:r>
          </w:p>
        </w:tc>
        <w:tc>
          <w:tcPr>
            <w:tcW w:w="0" w:type="dxa"/>
            <w:vAlign w:val="bottom"/>
          </w:tcPr>
          <w:p>
            <w:pPr>
              <w:spacing w:after="0"/>
              <w:rPr>
                <w:sz w:val="1"/>
                <w:szCs w:val="1"/>
                <w:color w:val="auto"/>
              </w:rPr>
            </w:pPr>
          </w:p>
        </w:tc>
      </w:tr>
      <w:tr>
        <w:trPr>
          <w:trHeight w:val="167"/>
        </w:trPr>
        <w:tc>
          <w:tcPr>
            <w:tcW w:w="6520" w:type="dxa"/>
            <w:vAlign w:val="bottom"/>
          </w:tcPr>
          <w:p>
            <w:pPr>
              <w:ind w:left="140"/>
              <w:spacing w:after="0"/>
              <w:rPr>
                <w:sz w:val="20"/>
                <w:szCs w:val="20"/>
                <w:color w:val="auto"/>
              </w:rPr>
            </w:pPr>
            <w:r>
              <w:rPr>
                <w:rFonts w:ascii="Arial" w:cs="Arial" w:eastAsia="Arial" w:hAnsi="Arial"/>
                <w:sz w:val="14"/>
                <w:szCs w:val="14"/>
                <w:color w:val="auto"/>
              </w:rPr>
              <w:t>Weighted-average interest rate</w:t>
            </w:r>
          </w:p>
        </w:tc>
        <w:tc>
          <w:tcPr>
            <w:tcW w:w="10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4.07%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4.26%</w:t>
            </w:r>
          </w:p>
        </w:tc>
        <w:tc>
          <w:tcPr>
            <w:tcW w:w="1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167"/>
        </w:trPr>
        <w:tc>
          <w:tcPr>
            <w:tcW w:w="6520" w:type="dxa"/>
            <w:vAlign w:val="bottom"/>
            <w:shd w:val="clear" w:color="auto" w:fill="CCEEFF"/>
          </w:tcPr>
          <w:p>
            <w:pPr>
              <w:spacing w:after="0"/>
              <w:rPr>
                <w:sz w:val="20"/>
                <w:szCs w:val="20"/>
                <w:color w:val="auto"/>
              </w:rPr>
            </w:pPr>
            <w:r>
              <w:rPr>
                <w:rFonts w:ascii="Arial" w:cs="Arial" w:eastAsia="Arial" w:hAnsi="Arial"/>
                <w:sz w:val="14"/>
                <w:szCs w:val="14"/>
                <w:color w:val="auto"/>
              </w:rPr>
              <w:t>For the year ended December 31, 2005</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520" w:type="dxa"/>
            <w:vAlign w:val="bottom"/>
          </w:tcPr>
          <w:p>
            <w:pPr>
              <w:ind w:left="140"/>
              <w:spacing w:after="0"/>
              <w:rPr>
                <w:sz w:val="20"/>
                <w:szCs w:val="20"/>
                <w:color w:val="auto"/>
              </w:rPr>
            </w:pPr>
            <w:r>
              <w:rPr>
                <w:rFonts w:ascii="Arial" w:cs="Arial" w:eastAsia="Arial" w:hAnsi="Arial"/>
                <w:sz w:val="14"/>
                <w:szCs w:val="14"/>
                <w:color w:val="auto"/>
              </w:rPr>
              <w:t>Highest amount at a month-end</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4,547,239</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4"/>
                <w:szCs w:val="14"/>
                <w:color w:val="auto"/>
              </w:rPr>
              <w:t>1,136,923</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Daily-average amount outstanding</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4,232,002</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658,229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4,890,231</w:t>
            </w:r>
          </w:p>
        </w:tc>
        <w:tc>
          <w:tcPr>
            <w:tcW w:w="0" w:type="dxa"/>
            <w:vAlign w:val="bottom"/>
          </w:tcPr>
          <w:p>
            <w:pPr>
              <w:spacing w:after="0"/>
              <w:rPr>
                <w:sz w:val="1"/>
                <w:szCs w:val="1"/>
                <w:color w:val="auto"/>
              </w:rPr>
            </w:pPr>
          </w:p>
        </w:tc>
      </w:tr>
      <w:tr>
        <w:trPr>
          <w:trHeight w:val="167"/>
        </w:trPr>
        <w:tc>
          <w:tcPr>
            <w:tcW w:w="6520" w:type="dxa"/>
            <w:vAlign w:val="bottom"/>
          </w:tcPr>
          <w:p>
            <w:pPr>
              <w:ind w:left="140"/>
              <w:spacing w:after="0"/>
              <w:rPr>
                <w:sz w:val="20"/>
                <w:szCs w:val="20"/>
                <w:color w:val="auto"/>
              </w:rPr>
            </w:pPr>
            <w:r>
              <w:rPr>
                <w:rFonts w:ascii="Arial" w:cs="Arial" w:eastAsia="Arial" w:hAnsi="Arial"/>
                <w:sz w:val="14"/>
                <w:szCs w:val="14"/>
                <w:color w:val="auto"/>
              </w:rPr>
              <w:t>Weighted-average interest rate</w:t>
            </w:r>
          </w:p>
        </w:tc>
        <w:tc>
          <w:tcPr>
            <w:tcW w:w="10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3.20%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3.40%</w:t>
            </w:r>
          </w:p>
        </w:tc>
        <w:tc>
          <w:tcPr>
            <w:tcW w:w="14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167"/>
        </w:trPr>
        <w:tc>
          <w:tcPr>
            <w:tcW w:w="6520" w:type="dxa"/>
            <w:vAlign w:val="bottom"/>
            <w:shd w:val="clear" w:color="auto" w:fill="CCEEFF"/>
          </w:tcPr>
          <w:p>
            <w:pPr>
              <w:spacing w:after="0"/>
              <w:rPr>
                <w:sz w:val="20"/>
                <w:szCs w:val="20"/>
                <w:color w:val="auto"/>
              </w:rPr>
            </w:pPr>
            <w:r>
              <w:rPr>
                <w:rFonts w:ascii="Arial" w:cs="Arial" w:eastAsia="Arial" w:hAnsi="Arial"/>
                <w:sz w:val="14"/>
                <w:szCs w:val="14"/>
                <w:color w:val="auto"/>
              </w:rPr>
              <w:t>At December 31, 2004</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520" w:type="dxa"/>
            <w:vAlign w:val="bottom"/>
          </w:tcPr>
          <w:p>
            <w:pPr>
              <w:ind w:left="140"/>
              <w:spacing w:after="0"/>
              <w:rPr>
                <w:sz w:val="20"/>
                <w:szCs w:val="20"/>
                <w:color w:val="auto"/>
              </w:rPr>
            </w:pPr>
            <w:r>
              <w:rPr>
                <w:rFonts w:ascii="Arial" w:cs="Arial" w:eastAsia="Arial" w:hAnsi="Arial"/>
                <w:sz w:val="14"/>
                <w:szCs w:val="14"/>
                <w:color w:val="auto"/>
              </w:rPr>
              <w:t>Amount outstanding</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3,924,576</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4"/>
                <w:szCs w:val="14"/>
                <w:color w:val="auto"/>
              </w:rPr>
              <w:t>779,088</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4,703,664</w:t>
            </w:r>
          </w:p>
        </w:tc>
        <w:tc>
          <w:tcPr>
            <w:tcW w:w="0" w:type="dxa"/>
            <w:vAlign w:val="bottom"/>
          </w:tcPr>
          <w:p>
            <w:pPr>
              <w:spacing w:after="0"/>
              <w:rPr>
                <w:sz w:val="1"/>
                <w:szCs w:val="1"/>
                <w:color w:val="auto"/>
              </w:rPr>
            </w:pPr>
          </w:p>
        </w:tc>
      </w:tr>
      <w:tr>
        <w:trPr>
          <w:trHeight w:val="167"/>
        </w:trPr>
        <w:tc>
          <w:tcPr>
            <w:tcW w:w="6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Weighted-average interest rate</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2.08%</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2.16%</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67"/>
        </w:trPr>
        <w:tc>
          <w:tcPr>
            <w:tcW w:w="6520" w:type="dxa"/>
            <w:vAlign w:val="bottom"/>
          </w:tcPr>
          <w:p>
            <w:pPr>
              <w:spacing w:after="0"/>
              <w:rPr>
                <w:sz w:val="20"/>
                <w:szCs w:val="20"/>
                <w:color w:val="auto"/>
              </w:rPr>
            </w:pPr>
            <w:r>
              <w:rPr>
                <w:rFonts w:ascii="Arial" w:cs="Arial" w:eastAsia="Arial" w:hAnsi="Arial"/>
                <w:sz w:val="14"/>
                <w:szCs w:val="14"/>
                <w:color w:val="auto"/>
              </w:rPr>
              <w:t>For the year ended December 31, 2004</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Highest amount at a month-end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5,039,431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779,088</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520" w:type="dxa"/>
            <w:vAlign w:val="bottom"/>
          </w:tcPr>
          <w:p>
            <w:pPr>
              <w:ind w:left="140"/>
              <w:spacing w:after="0"/>
              <w:rPr>
                <w:sz w:val="20"/>
                <w:szCs w:val="20"/>
                <w:color w:val="auto"/>
              </w:rPr>
            </w:pPr>
            <w:r>
              <w:rPr>
                <w:rFonts w:ascii="Arial" w:cs="Arial" w:eastAsia="Arial" w:hAnsi="Arial"/>
                <w:sz w:val="14"/>
                <w:szCs w:val="14"/>
                <w:color w:val="auto"/>
              </w:rPr>
              <w:t>Daily-average amount outstanding</w:t>
            </w:r>
          </w:p>
        </w:tc>
        <w:tc>
          <w:tcPr>
            <w:tcW w:w="1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4,575,951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color w:val="auto"/>
              </w:rPr>
              <w:t>565,685</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5,141,636</w:t>
            </w:r>
          </w:p>
        </w:tc>
        <w:tc>
          <w:tcPr>
            <w:tcW w:w="0" w:type="dxa"/>
            <w:vAlign w:val="bottom"/>
          </w:tcPr>
          <w:p>
            <w:pPr>
              <w:spacing w:after="0"/>
              <w:rPr>
                <w:sz w:val="1"/>
                <w:szCs w:val="1"/>
                <w:color w:val="auto"/>
              </w:rPr>
            </w:pPr>
          </w:p>
        </w:tc>
      </w:tr>
      <w:tr>
        <w:trPr>
          <w:trHeight w:val="167"/>
        </w:trPr>
        <w:tc>
          <w:tcPr>
            <w:tcW w:w="6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Weighted-average interest rate</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1.36%</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1.59%</w:t>
            </w:r>
          </w:p>
        </w:tc>
        <w:tc>
          <w:tcPr>
            <w:tcW w:w="1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80" w:firstLine="599"/>
        <w:spacing w:after="0" w:line="253" w:lineRule="auto"/>
        <w:rPr>
          <w:sz w:val="20"/>
          <w:szCs w:val="20"/>
          <w:color w:val="auto"/>
        </w:rPr>
      </w:pPr>
      <w:r>
        <w:rPr>
          <w:rFonts w:ascii="Arial" w:cs="Arial" w:eastAsia="Arial" w:hAnsi="Arial"/>
          <w:sz w:val="14"/>
          <w:szCs w:val="14"/>
          <w:color w:val="auto"/>
        </w:rPr>
        <w:t>In general, federal funds purchased and short-term repurchase agreements outstanding at December 31, 2006 matured on the next business day following year-end. Other short-term borrowings included a $500 million revolving asset-backed structured borrowing with an unaffiliated conduit lender. Further information related to the revolving asset-backed structured borrowing is provided in note 18. The remaining balance of other short-term borrowings included borrowings from the U.S. Treasury and have original maturities of one year or less.</w:t>
      </w:r>
    </w:p>
    <w:p>
      <w:pPr>
        <w:spacing w:after="0" w:line="2"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At December 31, 2006, the Company had lines of credit under formal agreements as follows:</w:t>
      </w:r>
    </w:p>
    <w:p>
      <w:pPr>
        <w:spacing w:after="0" w:line="92"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6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ind w:right="211"/>
              <w:spacing w:after="0"/>
              <w:rPr>
                <w:sz w:val="20"/>
                <w:szCs w:val="20"/>
                <w:color w:val="auto"/>
              </w:rPr>
            </w:pPr>
            <w:r>
              <w:rPr>
                <w:rFonts w:ascii="Arial" w:cs="Arial" w:eastAsia="Arial" w:hAnsi="Arial"/>
                <w:sz w:val="13"/>
                <w:szCs w:val="13"/>
                <w:b w:val="1"/>
                <w:bCs w:val="1"/>
                <w:color w:val="auto"/>
              </w:rPr>
              <w:t>M&amp;T</w:t>
            </w:r>
          </w:p>
        </w:tc>
      </w:tr>
      <w:tr>
        <w:trPr>
          <w:trHeight w:val="169"/>
        </w:trPr>
        <w:tc>
          <w:tcPr>
            <w:tcW w:w="680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M&amp;T</w:t>
            </w:r>
          </w:p>
        </w:tc>
        <w:tc>
          <w:tcPr>
            <w:tcW w:w="1300" w:type="dxa"/>
            <w:vAlign w:val="bottom"/>
            <w:gridSpan w:val="2"/>
          </w:tcPr>
          <w:p>
            <w:pPr>
              <w:ind w:left="120"/>
              <w:spacing w:after="0"/>
              <w:rPr>
                <w:sz w:val="20"/>
                <w:szCs w:val="20"/>
                <w:color w:val="auto"/>
              </w:rPr>
            </w:pPr>
            <w:r>
              <w:rPr>
                <w:rFonts w:ascii="Arial" w:cs="Arial" w:eastAsia="Arial" w:hAnsi="Arial"/>
                <w:sz w:val="13"/>
                <w:szCs w:val="13"/>
                <w:b w:val="1"/>
                <w:bCs w:val="1"/>
                <w:color w:val="auto"/>
              </w:rPr>
              <w:t>M&amp;T Bank</w:t>
            </w:r>
          </w:p>
        </w:tc>
        <w:tc>
          <w:tcPr>
            <w:tcW w:w="100" w:type="dxa"/>
            <w:vAlign w:val="bottom"/>
          </w:tcPr>
          <w:p>
            <w:pPr>
              <w:spacing w:after="0"/>
              <w:rPr>
                <w:sz w:val="14"/>
                <w:szCs w:val="14"/>
                <w:color w:val="auto"/>
              </w:rPr>
            </w:pPr>
          </w:p>
        </w:tc>
        <w:tc>
          <w:tcPr>
            <w:tcW w:w="780" w:type="dxa"/>
            <w:vAlign w:val="bottom"/>
          </w:tcPr>
          <w:p>
            <w:pPr>
              <w:jc w:val="right"/>
              <w:ind w:right="71"/>
              <w:spacing w:after="0"/>
              <w:rPr>
                <w:sz w:val="20"/>
                <w:szCs w:val="20"/>
                <w:color w:val="auto"/>
              </w:rPr>
            </w:pPr>
            <w:r>
              <w:rPr>
                <w:rFonts w:ascii="Arial" w:cs="Arial" w:eastAsia="Arial" w:hAnsi="Arial"/>
                <w:sz w:val="13"/>
                <w:szCs w:val="13"/>
                <w:b w:val="1"/>
                <w:bCs w:val="1"/>
                <w:color w:val="auto"/>
                <w:w w:val="95"/>
              </w:rPr>
              <w:t>Bank, N.A.</w:t>
            </w:r>
          </w:p>
        </w:tc>
      </w:tr>
      <w:tr>
        <w:trPr>
          <w:trHeight w:val="160"/>
        </w:trPr>
        <w:tc>
          <w:tcPr>
            <w:tcW w:w="680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(In thousands)</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r>
      <w:tr>
        <w:trPr>
          <w:trHeight w:val="182"/>
        </w:trPr>
        <w:tc>
          <w:tcPr>
            <w:tcW w:w="6800" w:type="dxa"/>
            <w:vAlign w:val="bottom"/>
          </w:tcPr>
          <w:p>
            <w:pPr>
              <w:spacing w:after="0"/>
              <w:rPr>
                <w:sz w:val="20"/>
                <w:szCs w:val="20"/>
                <w:color w:val="auto"/>
              </w:rPr>
            </w:pPr>
            <w:r>
              <w:rPr>
                <w:rFonts w:ascii="Arial" w:cs="Arial" w:eastAsia="Arial" w:hAnsi="Arial"/>
                <w:sz w:val="14"/>
                <w:szCs w:val="14"/>
                <w:color w:val="auto"/>
              </w:rPr>
              <w:t>Outstanding borrowings</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400"/>
              <w:spacing w:after="0"/>
              <w:rPr>
                <w:sz w:val="20"/>
                <w:szCs w:val="20"/>
                <w:color w:val="auto"/>
              </w:rPr>
            </w:pPr>
            <w:r>
              <w:rPr>
                <w:rFonts w:ascii="Arial" w:cs="Arial" w:eastAsia="Arial" w:hAnsi="Arial"/>
                <w:sz w:val="14"/>
                <w:szCs w:val="14"/>
                <w:color w:val="auto"/>
              </w:rPr>
              <w:t>$    3,431,129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6800" w:type="dxa"/>
            <w:vAlign w:val="bottom"/>
          </w:tcPr>
          <w:p>
            <w:pPr>
              <w:spacing w:after="0"/>
              <w:rPr>
                <w:sz w:val="20"/>
                <w:szCs w:val="20"/>
                <w:color w:val="auto"/>
              </w:rPr>
            </w:pPr>
            <w:r>
              <w:rPr>
                <w:rFonts w:ascii="Arial" w:cs="Arial" w:eastAsia="Arial" w:hAnsi="Arial"/>
                <w:sz w:val="14"/>
                <w:szCs w:val="14"/>
                <w:color w:val="auto"/>
              </w:rPr>
              <w:t>Unused</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color w:val="auto"/>
              </w:rPr>
              <w:t>30,000</w:t>
            </w:r>
          </w:p>
        </w:tc>
        <w:tc>
          <w:tcPr>
            <w:tcW w:w="1300" w:type="dxa"/>
            <w:vAlign w:val="bottom"/>
            <w:gridSpan w:val="2"/>
          </w:tcPr>
          <w:p>
            <w:pPr>
              <w:jc w:val="right"/>
              <w:ind w:right="400"/>
              <w:spacing w:after="0"/>
              <w:rPr>
                <w:sz w:val="20"/>
                <w:szCs w:val="20"/>
                <w:color w:val="auto"/>
              </w:rPr>
            </w:pPr>
            <w:r>
              <w:rPr>
                <w:rFonts w:ascii="Arial" w:cs="Arial" w:eastAsia="Arial" w:hAnsi="Arial"/>
                <w:sz w:val="14"/>
                <w:szCs w:val="14"/>
                <w:color w:val="auto"/>
              </w:rPr>
              <w:t>7,634,299</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73,212</w:t>
            </w:r>
          </w:p>
        </w:tc>
      </w:tr>
    </w:tbl>
    <w:p>
      <w:pPr>
        <w:spacing w:after="0" w:line="73" w:lineRule="exact"/>
        <w:rPr>
          <w:sz w:val="20"/>
          <w:szCs w:val="20"/>
          <w:color w:val="auto"/>
        </w:rPr>
      </w:pPr>
    </w:p>
    <w:p>
      <w:pPr>
        <w:ind w:left="680" w:right="120" w:firstLine="599"/>
        <w:spacing w:after="0" w:line="257" w:lineRule="auto"/>
        <w:rPr>
          <w:sz w:val="20"/>
          <w:szCs w:val="20"/>
          <w:color w:val="auto"/>
        </w:rPr>
      </w:pPr>
      <w:r>
        <w:rPr>
          <w:rFonts w:ascii="Arial" w:cs="Arial" w:eastAsia="Arial" w:hAnsi="Arial"/>
          <w:sz w:val="14"/>
          <w:szCs w:val="14"/>
          <w:color w:val="auto"/>
        </w:rPr>
        <w:t>M</w:t>
      </w:r>
      <w:r>
        <w:rPr>
          <w:rFonts w:ascii="Arial" w:cs="Arial" w:eastAsia="Arial" w:hAnsi="Arial"/>
          <w:sz w:val="13"/>
          <w:szCs w:val="13"/>
          <w:color w:val="auto"/>
        </w:rPr>
        <w:t>&amp;</w:t>
      </w:r>
      <w:r>
        <w:rPr>
          <w:rFonts w:ascii="Arial" w:cs="Arial" w:eastAsia="Arial" w:hAnsi="Arial"/>
          <w:sz w:val="14"/>
          <w:szCs w:val="14"/>
          <w:color w:val="auto"/>
        </w:rPr>
        <w:t>T has a revolving credit agreement with an unaffiliated commercial bank whereby M</w:t>
      </w:r>
      <w:r>
        <w:rPr>
          <w:rFonts w:ascii="Arial" w:cs="Arial" w:eastAsia="Arial" w:hAnsi="Arial"/>
          <w:sz w:val="13"/>
          <w:szCs w:val="13"/>
          <w:color w:val="auto"/>
        </w:rPr>
        <w:t>&amp;</w:t>
      </w:r>
      <w:r>
        <w:rPr>
          <w:rFonts w:ascii="Arial" w:cs="Arial" w:eastAsia="Arial" w:hAnsi="Arial"/>
          <w:sz w:val="14"/>
          <w:szCs w:val="14"/>
          <w:color w:val="auto"/>
        </w:rPr>
        <w:t>T may borrow up to $30 million at its discretion through December 7, 2007. At December 31, 2006, M</w:t>
      </w:r>
      <w:r>
        <w:rPr>
          <w:rFonts w:ascii="Arial" w:cs="Arial" w:eastAsia="Arial" w:hAnsi="Arial"/>
          <w:sz w:val="13"/>
          <w:szCs w:val="13"/>
          <w:color w:val="auto"/>
        </w:rPr>
        <w:t>&amp;</w:t>
      </w:r>
      <w:r>
        <w:rPr>
          <w:rFonts w:ascii="Arial" w:cs="Arial" w:eastAsia="Arial" w:hAnsi="Arial"/>
          <w:sz w:val="14"/>
          <w:szCs w:val="14"/>
          <w:color w:val="auto"/>
        </w:rPr>
        <w:t>T Bank had borrowing facilities available with the FHLB whereby M</w:t>
      </w:r>
      <w:r>
        <w:rPr>
          <w:rFonts w:ascii="Arial" w:cs="Arial" w:eastAsia="Arial" w:hAnsi="Arial"/>
          <w:sz w:val="13"/>
          <w:szCs w:val="13"/>
          <w:color w:val="auto"/>
        </w:rPr>
        <w:t>&amp;</w:t>
      </w:r>
      <w:r>
        <w:rPr>
          <w:rFonts w:ascii="Arial" w:cs="Arial" w:eastAsia="Arial" w:hAnsi="Arial"/>
          <w:sz w:val="14"/>
          <w:szCs w:val="14"/>
          <w:color w:val="auto"/>
        </w:rPr>
        <w:t>T Bank could borrow up to approximately $6.8 billion. Additionally, M</w:t>
      </w:r>
      <w:r>
        <w:rPr>
          <w:rFonts w:ascii="Arial" w:cs="Arial" w:eastAsia="Arial" w:hAnsi="Arial"/>
          <w:sz w:val="13"/>
          <w:szCs w:val="13"/>
          <w:color w:val="auto"/>
        </w:rPr>
        <w:t>&amp;</w:t>
      </w:r>
      <w:r>
        <w:rPr>
          <w:rFonts w:ascii="Arial" w:cs="Arial" w:eastAsia="Arial" w:hAnsi="Arial"/>
          <w:sz w:val="14"/>
          <w:szCs w:val="14"/>
          <w:color w:val="auto"/>
        </w:rPr>
        <w:t>T Bank and M</w:t>
      </w:r>
      <w:r>
        <w:rPr>
          <w:rFonts w:ascii="Arial" w:cs="Arial" w:eastAsia="Arial" w:hAnsi="Arial"/>
          <w:sz w:val="13"/>
          <w:szCs w:val="13"/>
          <w:color w:val="auto"/>
        </w:rPr>
        <w:t>&amp;</w:t>
      </w:r>
      <w:r>
        <w:rPr>
          <w:rFonts w:ascii="Arial" w:cs="Arial" w:eastAsia="Arial" w:hAnsi="Arial"/>
          <w:sz w:val="14"/>
          <w:szCs w:val="14"/>
          <w:color w:val="auto"/>
        </w:rPr>
        <w:t>T Bank, National Association (“M</w:t>
      </w:r>
      <w:r>
        <w:rPr>
          <w:rFonts w:ascii="Arial" w:cs="Arial" w:eastAsia="Arial" w:hAnsi="Arial"/>
          <w:sz w:val="13"/>
          <w:szCs w:val="13"/>
          <w:color w:val="auto"/>
        </w:rPr>
        <w:t>&amp;</w:t>
      </w:r>
      <w:r>
        <w:rPr>
          <w:rFonts w:ascii="Arial" w:cs="Arial" w:eastAsia="Arial" w:hAnsi="Arial"/>
          <w:sz w:val="14"/>
          <w:szCs w:val="14"/>
          <w:color w:val="auto"/>
        </w:rPr>
        <w:t>T Bank, N.A.”), a wholly owned subsidiary of M</w:t>
      </w:r>
      <w:r>
        <w:rPr>
          <w:rFonts w:ascii="Arial" w:cs="Arial" w:eastAsia="Arial" w:hAnsi="Arial"/>
          <w:sz w:val="13"/>
          <w:szCs w:val="13"/>
          <w:color w:val="auto"/>
        </w:rPr>
        <w:t>&amp;</w:t>
      </w:r>
      <w:r>
        <w:rPr>
          <w:rFonts w:ascii="Arial" w:cs="Arial" w:eastAsia="Arial" w:hAnsi="Arial"/>
          <w:sz w:val="14"/>
          <w:szCs w:val="14"/>
          <w:color w:val="auto"/>
        </w:rPr>
        <w:t>T, had available lines of credit with the Federal Reserve Bank of New York totaling approximately $4.3 billion, under which there were no borrowings outstanding at December 31, 2006 or 2005. M</w:t>
      </w:r>
      <w:r>
        <w:rPr>
          <w:rFonts w:ascii="Arial" w:cs="Arial" w:eastAsia="Arial" w:hAnsi="Arial"/>
          <w:sz w:val="13"/>
          <w:szCs w:val="13"/>
          <w:color w:val="auto"/>
        </w:rPr>
        <w:t>&amp;</w:t>
      </w:r>
      <w:r>
        <w:rPr>
          <w:rFonts w:ascii="Arial" w:cs="Arial" w:eastAsia="Arial" w:hAnsi="Arial"/>
          <w:sz w:val="14"/>
          <w:szCs w:val="14"/>
          <w:color w:val="auto"/>
        </w:rPr>
        <w:t>T Bank and M</w:t>
      </w:r>
      <w:r>
        <w:rPr>
          <w:rFonts w:ascii="Arial" w:cs="Arial" w:eastAsia="Arial" w:hAnsi="Arial"/>
          <w:sz w:val="13"/>
          <w:szCs w:val="13"/>
          <w:color w:val="auto"/>
        </w:rPr>
        <w:t>&amp;</w:t>
      </w:r>
      <w:r>
        <w:rPr>
          <w:rFonts w:ascii="Arial" w:cs="Arial" w:eastAsia="Arial" w:hAnsi="Arial"/>
          <w:sz w:val="14"/>
          <w:szCs w:val="14"/>
          <w:color w:val="auto"/>
        </w:rPr>
        <w:t>T Bank, N.A. are required to pledge loans or investment securities as collateral for these borrowing facilities.</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0" w:name="page101"/>
    <w:bookmarkEnd w:id="10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Long-term borrowings were as follows:</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December 31,</w:t>
            </w: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9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231"/>
              <w:spacing w:after="0" w:line="98" w:lineRule="exact"/>
              <w:rPr>
                <w:sz w:val="20"/>
                <w:szCs w:val="20"/>
                <w:color w:val="auto"/>
              </w:rPr>
            </w:pPr>
            <w:r>
              <w:rPr>
                <w:rFonts w:ascii="Arial" w:cs="Arial" w:eastAsia="Arial" w:hAnsi="Arial"/>
                <w:sz w:val="10"/>
                <w:szCs w:val="10"/>
                <w:b w:val="1"/>
                <w:bCs w:val="1"/>
                <w:color w:val="auto"/>
              </w:rPr>
              <w:t>2006</w:t>
            </w: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09"/>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r>
      <w:tr>
        <w:trPr>
          <w:trHeight w:val="131"/>
        </w:trPr>
        <w:tc>
          <w:tcPr>
            <w:tcW w:w="7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20" w:type="dxa"/>
            <w:vAlign w:val="bottom"/>
          </w:tcPr>
          <w:p>
            <w:pPr>
              <w:spacing w:after="0"/>
              <w:rPr>
                <w:sz w:val="11"/>
                <w:szCs w:val="11"/>
                <w:color w:val="auto"/>
              </w:rPr>
            </w:pPr>
          </w:p>
        </w:tc>
        <w:tc>
          <w:tcPr>
            <w:tcW w:w="540" w:type="dxa"/>
            <w:vAlign w:val="bottom"/>
            <w:gridSpan w:val="2"/>
          </w:tcPr>
          <w:p>
            <w:pPr>
              <w:jc w:val="right"/>
              <w:spacing w:after="0"/>
              <w:rPr>
                <w:sz w:val="20"/>
                <w:szCs w:val="20"/>
                <w:color w:val="auto"/>
              </w:rPr>
            </w:pPr>
            <w:r>
              <w:rPr>
                <w:rFonts w:ascii="Arial" w:cs="Arial" w:eastAsia="Arial" w:hAnsi="Arial"/>
                <w:sz w:val="10"/>
                <w:szCs w:val="10"/>
                <w:b w:val="1"/>
                <w:bCs w:val="1"/>
                <w:color w:val="auto"/>
                <w:w w:val="88"/>
              </w:rPr>
              <w:t>thousands)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3"/>
        </w:trPr>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Subordinated notes of M</w:t>
            </w:r>
            <w:r>
              <w:rPr>
                <w:rFonts w:ascii="Arial" w:cs="Arial" w:eastAsia="Arial" w:hAnsi="Arial"/>
                <w:sz w:val="13"/>
                <w:szCs w:val="13"/>
                <w:color w:val="auto"/>
              </w:rPr>
              <w:t>&amp;T Bank:</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7"/>
        </w:trPr>
        <w:tc>
          <w:tcPr>
            <w:tcW w:w="7900" w:type="dxa"/>
            <w:vAlign w:val="bottom"/>
          </w:tcPr>
          <w:p>
            <w:pPr>
              <w:ind w:left="140"/>
              <w:spacing w:after="0"/>
              <w:rPr>
                <w:sz w:val="20"/>
                <w:szCs w:val="20"/>
                <w:color w:val="auto"/>
              </w:rPr>
            </w:pPr>
            <w:r>
              <w:rPr>
                <w:rFonts w:ascii="Arial" w:cs="Arial" w:eastAsia="Arial" w:hAnsi="Arial"/>
                <w:sz w:val="14"/>
                <w:szCs w:val="14"/>
                <w:color w:val="auto"/>
              </w:rPr>
              <w:t>8% due 2010</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3"/>
          </w:tcPr>
          <w:p>
            <w:pPr>
              <w:jc w:val="right"/>
              <w:ind w:right="328"/>
              <w:spacing w:after="0"/>
              <w:rPr>
                <w:sz w:val="20"/>
                <w:szCs w:val="20"/>
                <w:color w:val="auto"/>
              </w:rPr>
            </w:pPr>
            <w:r>
              <w:rPr>
                <w:rFonts w:ascii="Arial" w:cs="Arial" w:eastAsia="Arial" w:hAnsi="Arial"/>
                <w:sz w:val="14"/>
                <w:szCs w:val="14"/>
                <w:color w:val="auto"/>
              </w:rPr>
              <w:t>131,957</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132,118</w:t>
            </w:r>
          </w:p>
        </w:tc>
      </w:tr>
      <w:tr>
        <w:trPr>
          <w:trHeight w:val="167"/>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3.85% due 2013</w:t>
            </w: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328"/>
              <w:spacing w:after="0"/>
              <w:rPr>
                <w:sz w:val="20"/>
                <w:szCs w:val="20"/>
                <w:color w:val="auto"/>
              </w:rPr>
            </w:pPr>
            <w:r>
              <w:rPr>
                <w:rFonts w:ascii="Arial" w:cs="Arial" w:eastAsia="Arial" w:hAnsi="Arial"/>
                <w:sz w:val="14"/>
                <w:szCs w:val="14"/>
                <w:color w:val="auto"/>
              </w:rPr>
              <w:t>399,892</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399,806</w:t>
            </w:r>
          </w:p>
        </w:tc>
      </w:tr>
      <w:tr>
        <w:trPr>
          <w:trHeight w:val="167"/>
        </w:trPr>
        <w:tc>
          <w:tcPr>
            <w:tcW w:w="7900" w:type="dxa"/>
            <w:vAlign w:val="bottom"/>
          </w:tcPr>
          <w:p>
            <w:pPr>
              <w:ind w:left="140"/>
              <w:spacing w:after="0"/>
              <w:rPr>
                <w:sz w:val="20"/>
                <w:szCs w:val="20"/>
                <w:color w:val="auto"/>
              </w:rPr>
            </w:pPr>
            <w:r>
              <w:rPr>
                <w:rFonts w:ascii="Arial" w:cs="Arial" w:eastAsia="Arial" w:hAnsi="Arial"/>
                <w:sz w:val="14"/>
                <w:szCs w:val="14"/>
                <w:color w:val="auto"/>
              </w:rPr>
              <w:t>5.585% due 2020, variable rate commencing 2015</w:t>
            </w:r>
          </w:p>
        </w:tc>
        <w:tc>
          <w:tcPr>
            <w:tcW w:w="140" w:type="dxa"/>
            <w:vAlign w:val="bottom"/>
          </w:tcPr>
          <w:p>
            <w:pPr>
              <w:spacing w:after="0"/>
              <w:rPr>
                <w:sz w:val="14"/>
                <w:szCs w:val="14"/>
                <w:color w:val="auto"/>
              </w:rPr>
            </w:pPr>
          </w:p>
        </w:tc>
        <w:tc>
          <w:tcPr>
            <w:tcW w:w="1040" w:type="dxa"/>
            <w:vAlign w:val="bottom"/>
            <w:gridSpan w:val="3"/>
          </w:tcPr>
          <w:p>
            <w:pPr>
              <w:jc w:val="right"/>
              <w:ind w:right="328"/>
              <w:spacing w:after="0"/>
              <w:rPr>
                <w:sz w:val="20"/>
                <w:szCs w:val="20"/>
                <w:color w:val="auto"/>
              </w:rPr>
            </w:pPr>
            <w:r>
              <w:rPr>
                <w:rFonts w:ascii="Arial" w:cs="Arial" w:eastAsia="Arial" w:hAnsi="Arial"/>
                <w:sz w:val="14"/>
                <w:szCs w:val="14"/>
                <w:color w:val="auto"/>
              </w:rPr>
              <w:t>351,987</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347,742</w:t>
            </w:r>
          </w:p>
        </w:tc>
      </w:tr>
      <w:tr>
        <w:trPr>
          <w:trHeight w:val="167"/>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5.629% due 2021, variable rate commencing 2016</w:t>
            </w: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328"/>
              <w:spacing w:after="0"/>
              <w:rPr>
                <w:sz w:val="20"/>
                <w:szCs w:val="20"/>
                <w:color w:val="auto"/>
              </w:rPr>
            </w:pPr>
            <w:r>
              <w:rPr>
                <w:rFonts w:ascii="Arial" w:cs="Arial" w:eastAsia="Arial" w:hAnsi="Arial"/>
                <w:sz w:val="14"/>
                <w:szCs w:val="14"/>
                <w:color w:val="auto"/>
              </w:rPr>
              <w:t>492,945</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7"/>
        </w:trPr>
        <w:tc>
          <w:tcPr>
            <w:tcW w:w="7900" w:type="dxa"/>
            <w:vAlign w:val="bottom"/>
          </w:tcPr>
          <w:p>
            <w:pPr>
              <w:spacing w:after="0"/>
              <w:rPr>
                <w:sz w:val="20"/>
                <w:szCs w:val="20"/>
                <w:color w:val="auto"/>
              </w:rPr>
            </w:pPr>
            <w:r>
              <w:rPr>
                <w:rFonts w:ascii="Arial" w:cs="Arial" w:eastAsia="Arial" w:hAnsi="Arial"/>
                <w:sz w:val="14"/>
                <w:szCs w:val="14"/>
                <w:color w:val="auto"/>
              </w:rPr>
              <w:t>Subordinated notes of M</w:t>
            </w:r>
            <w:r>
              <w:rPr>
                <w:rFonts w:ascii="Arial" w:cs="Arial" w:eastAsia="Arial" w:hAnsi="Arial"/>
                <w:sz w:val="13"/>
                <w:szCs w:val="13"/>
                <w:color w:val="auto"/>
              </w:rPr>
              <w:t>&amp;T:</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7.2% due 2007</w:t>
            </w: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328"/>
              <w:spacing w:after="0"/>
              <w:rPr>
                <w:sz w:val="20"/>
                <w:szCs w:val="20"/>
                <w:color w:val="auto"/>
              </w:rPr>
            </w:pPr>
            <w:r>
              <w:rPr>
                <w:rFonts w:ascii="Arial" w:cs="Arial" w:eastAsia="Arial" w:hAnsi="Arial"/>
                <w:sz w:val="14"/>
                <w:szCs w:val="14"/>
                <w:color w:val="auto"/>
              </w:rPr>
              <w:t>203,193</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209,579</w:t>
            </w:r>
          </w:p>
        </w:tc>
      </w:tr>
      <w:tr>
        <w:trPr>
          <w:trHeight w:val="167"/>
        </w:trPr>
        <w:tc>
          <w:tcPr>
            <w:tcW w:w="7900" w:type="dxa"/>
            <w:vAlign w:val="bottom"/>
          </w:tcPr>
          <w:p>
            <w:pPr>
              <w:ind w:left="140"/>
              <w:spacing w:after="0"/>
              <w:rPr>
                <w:sz w:val="20"/>
                <w:szCs w:val="20"/>
                <w:color w:val="auto"/>
              </w:rPr>
            </w:pPr>
            <w:r>
              <w:rPr>
                <w:rFonts w:ascii="Arial" w:cs="Arial" w:eastAsia="Arial" w:hAnsi="Arial"/>
                <w:sz w:val="14"/>
                <w:szCs w:val="14"/>
                <w:color w:val="auto"/>
              </w:rPr>
              <w:t>6.875% due 2009</w:t>
            </w:r>
          </w:p>
        </w:tc>
        <w:tc>
          <w:tcPr>
            <w:tcW w:w="140" w:type="dxa"/>
            <w:vAlign w:val="bottom"/>
          </w:tcPr>
          <w:p>
            <w:pPr>
              <w:spacing w:after="0"/>
              <w:rPr>
                <w:sz w:val="14"/>
                <w:szCs w:val="14"/>
                <w:color w:val="auto"/>
              </w:rPr>
            </w:pPr>
          </w:p>
        </w:tc>
        <w:tc>
          <w:tcPr>
            <w:tcW w:w="1040" w:type="dxa"/>
            <w:vAlign w:val="bottom"/>
            <w:gridSpan w:val="3"/>
          </w:tcPr>
          <w:p>
            <w:pPr>
              <w:jc w:val="right"/>
              <w:ind w:right="328"/>
              <w:spacing w:after="0"/>
              <w:rPr>
                <w:sz w:val="20"/>
                <w:szCs w:val="20"/>
                <w:color w:val="auto"/>
              </w:rPr>
            </w:pPr>
            <w:r>
              <w:rPr>
                <w:rFonts w:ascii="Arial" w:cs="Arial" w:eastAsia="Arial" w:hAnsi="Arial"/>
                <w:sz w:val="14"/>
                <w:szCs w:val="14"/>
                <w:color w:val="auto"/>
              </w:rPr>
              <w:t>103,916</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105,594</w:t>
            </w:r>
          </w:p>
        </w:tc>
      </w:tr>
      <w:tr>
        <w:trPr>
          <w:trHeight w:val="167"/>
        </w:trPr>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Senior medium term notes — 6.5% due 2008</w:t>
            </w: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328"/>
              <w:spacing w:after="0"/>
              <w:rPr>
                <w:sz w:val="20"/>
                <w:szCs w:val="20"/>
                <w:color w:val="auto"/>
              </w:rPr>
            </w:pPr>
            <w:r>
              <w:rPr>
                <w:rFonts w:ascii="Arial" w:cs="Arial" w:eastAsia="Arial" w:hAnsi="Arial"/>
                <w:sz w:val="14"/>
                <w:szCs w:val="14"/>
                <w:color w:val="auto"/>
              </w:rPr>
              <w:t>29,368</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28,921</w:t>
            </w:r>
          </w:p>
        </w:tc>
      </w:tr>
      <w:tr>
        <w:trPr>
          <w:trHeight w:val="167"/>
        </w:trPr>
        <w:tc>
          <w:tcPr>
            <w:tcW w:w="7900" w:type="dxa"/>
            <w:vAlign w:val="bottom"/>
          </w:tcPr>
          <w:p>
            <w:pPr>
              <w:spacing w:after="0"/>
              <w:rPr>
                <w:sz w:val="20"/>
                <w:szCs w:val="20"/>
                <w:color w:val="auto"/>
              </w:rPr>
            </w:pPr>
            <w:r>
              <w:rPr>
                <w:rFonts w:ascii="Arial" w:cs="Arial" w:eastAsia="Arial" w:hAnsi="Arial"/>
                <w:sz w:val="14"/>
                <w:szCs w:val="14"/>
                <w:color w:val="auto"/>
              </w:rPr>
              <w:t>Advances from FHLB:</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Variable rates</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2,800,000</w:t>
            </w: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2,850,000</w:t>
            </w:r>
          </w:p>
        </w:tc>
      </w:tr>
      <w:tr>
        <w:trPr>
          <w:trHeight w:val="167"/>
        </w:trPr>
        <w:tc>
          <w:tcPr>
            <w:tcW w:w="7900" w:type="dxa"/>
            <w:vAlign w:val="bottom"/>
          </w:tcPr>
          <w:p>
            <w:pPr>
              <w:ind w:left="140"/>
              <w:spacing w:after="0"/>
              <w:rPr>
                <w:sz w:val="20"/>
                <w:szCs w:val="20"/>
                <w:color w:val="auto"/>
              </w:rPr>
            </w:pPr>
            <w:r>
              <w:rPr>
                <w:rFonts w:ascii="Arial" w:cs="Arial" w:eastAsia="Arial" w:hAnsi="Arial"/>
                <w:sz w:val="14"/>
                <w:szCs w:val="14"/>
                <w:color w:val="auto"/>
              </w:rPr>
              <w:t>Fixed rates</w:t>
            </w:r>
          </w:p>
        </w:tc>
        <w:tc>
          <w:tcPr>
            <w:tcW w:w="140" w:type="dxa"/>
            <w:vAlign w:val="bottom"/>
          </w:tcPr>
          <w:p>
            <w:pPr>
              <w:spacing w:after="0"/>
              <w:rPr>
                <w:sz w:val="14"/>
                <w:szCs w:val="14"/>
                <w:color w:val="auto"/>
              </w:rPr>
            </w:pPr>
          </w:p>
        </w:tc>
        <w:tc>
          <w:tcPr>
            <w:tcW w:w="1040" w:type="dxa"/>
            <w:vAlign w:val="bottom"/>
            <w:gridSpan w:val="3"/>
          </w:tcPr>
          <w:p>
            <w:pPr>
              <w:jc w:val="right"/>
              <w:ind w:right="328"/>
              <w:spacing w:after="0"/>
              <w:rPr>
                <w:sz w:val="20"/>
                <w:szCs w:val="20"/>
                <w:color w:val="auto"/>
              </w:rPr>
            </w:pPr>
            <w:r>
              <w:rPr>
                <w:rFonts w:ascii="Arial" w:cs="Arial" w:eastAsia="Arial" w:hAnsi="Arial"/>
                <w:sz w:val="14"/>
                <w:szCs w:val="14"/>
                <w:color w:val="auto"/>
              </w:rPr>
              <w:t>629,438</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1,025,145</w:t>
            </w:r>
          </w:p>
        </w:tc>
      </w:tr>
      <w:tr>
        <w:trPr>
          <w:trHeight w:val="167"/>
        </w:trPr>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Junior subordinated debentures associated with preferred capital securities of:</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7900" w:type="dxa"/>
            <w:vAlign w:val="bottom"/>
          </w:tcPr>
          <w:p>
            <w:pPr>
              <w:ind w:left="140"/>
              <w:spacing w:after="0"/>
              <w:rPr>
                <w:sz w:val="20"/>
                <w:szCs w:val="20"/>
                <w:color w:val="auto"/>
              </w:rPr>
            </w:pPr>
            <w:r>
              <w:rPr>
                <w:rFonts w:ascii="Arial" w:cs="Arial" w:eastAsia="Arial" w:hAnsi="Arial"/>
                <w:sz w:val="14"/>
                <w:szCs w:val="14"/>
                <w:color w:val="auto"/>
              </w:rPr>
              <w:t>M</w:t>
            </w:r>
            <w:r>
              <w:rPr>
                <w:rFonts w:ascii="Arial" w:cs="Arial" w:eastAsia="Arial" w:hAnsi="Arial"/>
                <w:sz w:val="13"/>
                <w:szCs w:val="13"/>
                <w:color w:val="auto"/>
              </w:rPr>
              <w:t>&amp;T Capital Trust I — 8.234%</w:t>
            </w:r>
          </w:p>
        </w:tc>
        <w:tc>
          <w:tcPr>
            <w:tcW w:w="140" w:type="dxa"/>
            <w:vAlign w:val="bottom"/>
          </w:tcPr>
          <w:p>
            <w:pPr>
              <w:spacing w:after="0"/>
              <w:rPr>
                <w:sz w:val="14"/>
                <w:szCs w:val="14"/>
                <w:color w:val="auto"/>
              </w:rPr>
            </w:pPr>
          </w:p>
        </w:tc>
        <w:tc>
          <w:tcPr>
            <w:tcW w:w="1040" w:type="dxa"/>
            <w:vAlign w:val="bottom"/>
            <w:gridSpan w:val="3"/>
          </w:tcPr>
          <w:p>
            <w:pPr>
              <w:jc w:val="right"/>
              <w:ind w:right="328"/>
              <w:spacing w:after="0"/>
              <w:rPr>
                <w:sz w:val="20"/>
                <w:szCs w:val="20"/>
                <w:color w:val="auto"/>
              </w:rPr>
            </w:pPr>
            <w:r>
              <w:rPr>
                <w:rFonts w:ascii="Arial" w:cs="Arial" w:eastAsia="Arial" w:hAnsi="Arial"/>
                <w:sz w:val="14"/>
                <w:szCs w:val="14"/>
                <w:color w:val="auto"/>
              </w:rPr>
              <w:t>154,640</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154,640</w:t>
            </w:r>
          </w:p>
        </w:tc>
      </w:tr>
      <w:tr>
        <w:trPr>
          <w:trHeight w:val="167"/>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w:t>
            </w:r>
            <w:r>
              <w:rPr>
                <w:rFonts w:ascii="Arial" w:cs="Arial" w:eastAsia="Arial" w:hAnsi="Arial"/>
                <w:sz w:val="13"/>
                <w:szCs w:val="13"/>
                <w:color w:val="auto"/>
              </w:rPr>
              <w:t>&amp;T Capital Trust II — 8.277%</w:t>
            </w: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328"/>
              <w:spacing w:after="0"/>
              <w:rPr>
                <w:sz w:val="20"/>
                <w:szCs w:val="20"/>
                <w:color w:val="auto"/>
              </w:rPr>
            </w:pPr>
            <w:r>
              <w:rPr>
                <w:rFonts w:ascii="Arial" w:cs="Arial" w:eastAsia="Arial" w:hAnsi="Arial"/>
                <w:sz w:val="14"/>
                <w:szCs w:val="14"/>
                <w:color w:val="auto"/>
              </w:rPr>
              <w:t>103,093</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103,093</w:t>
            </w:r>
          </w:p>
        </w:tc>
      </w:tr>
      <w:tr>
        <w:trPr>
          <w:trHeight w:val="167"/>
        </w:trPr>
        <w:tc>
          <w:tcPr>
            <w:tcW w:w="7900" w:type="dxa"/>
            <w:vAlign w:val="bottom"/>
          </w:tcPr>
          <w:p>
            <w:pPr>
              <w:ind w:left="140"/>
              <w:spacing w:after="0"/>
              <w:rPr>
                <w:sz w:val="20"/>
                <w:szCs w:val="20"/>
                <w:color w:val="auto"/>
              </w:rPr>
            </w:pPr>
            <w:r>
              <w:rPr>
                <w:rFonts w:ascii="Arial" w:cs="Arial" w:eastAsia="Arial" w:hAnsi="Arial"/>
                <w:sz w:val="14"/>
                <w:szCs w:val="14"/>
                <w:color w:val="auto"/>
              </w:rPr>
              <w:t>M</w:t>
            </w:r>
            <w:r>
              <w:rPr>
                <w:rFonts w:ascii="Arial" w:cs="Arial" w:eastAsia="Arial" w:hAnsi="Arial"/>
                <w:sz w:val="13"/>
                <w:szCs w:val="13"/>
                <w:color w:val="auto"/>
              </w:rPr>
              <w:t>&amp;T Capital Trust III — 9.25%</w:t>
            </w:r>
          </w:p>
        </w:tc>
        <w:tc>
          <w:tcPr>
            <w:tcW w:w="140" w:type="dxa"/>
            <w:vAlign w:val="bottom"/>
          </w:tcPr>
          <w:p>
            <w:pPr>
              <w:spacing w:after="0"/>
              <w:rPr>
                <w:sz w:val="14"/>
                <w:szCs w:val="14"/>
                <w:color w:val="auto"/>
              </w:rPr>
            </w:pPr>
          </w:p>
        </w:tc>
        <w:tc>
          <w:tcPr>
            <w:tcW w:w="1040" w:type="dxa"/>
            <w:vAlign w:val="bottom"/>
            <w:gridSpan w:val="3"/>
          </w:tcPr>
          <w:p>
            <w:pPr>
              <w:jc w:val="right"/>
              <w:ind w:right="328"/>
              <w:spacing w:after="0"/>
              <w:rPr>
                <w:sz w:val="20"/>
                <w:szCs w:val="20"/>
                <w:color w:val="auto"/>
              </w:rPr>
            </w:pPr>
            <w:r>
              <w:rPr>
                <w:rFonts w:ascii="Arial" w:cs="Arial" w:eastAsia="Arial" w:hAnsi="Arial"/>
                <w:sz w:val="14"/>
                <w:szCs w:val="14"/>
                <w:color w:val="auto"/>
              </w:rPr>
              <w:t>68,384</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68,709</w:t>
            </w:r>
          </w:p>
        </w:tc>
      </w:tr>
      <w:tr>
        <w:trPr>
          <w:trHeight w:val="167"/>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First Maryland Capital I — Variable rate</w:t>
            </w: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328"/>
              <w:spacing w:after="0"/>
              <w:rPr>
                <w:sz w:val="20"/>
                <w:szCs w:val="20"/>
                <w:color w:val="auto"/>
              </w:rPr>
            </w:pPr>
            <w:r>
              <w:rPr>
                <w:rFonts w:ascii="Arial" w:cs="Arial" w:eastAsia="Arial" w:hAnsi="Arial"/>
                <w:sz w:val="14"/>
                <w:szCs w:val="14"/>
                <w:color w:val="auto"/>
              </w:rPr>
              <w:t>143,652</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143,102</w:t>
            </w:r>
          </w:p>
        </w:tc>
      </w:tr>
      <w:tr>
        <w:trPr>
          <w:trHeight w:val="167"/>
        </w:trPr>
        <w:tc>
          <w:tcPr>
            <w:tcW w:w="7900" w:type="dxa"/>
            <w:vAlign w:val="bottom"/>
          </w:tcPr>
          <w:p>
            <w:pPr>
              <w:ind w:left="140"/>
              <w:spacing w:after="0"/>
              <w:rPr>
                <w:sz w:val="20"/>
                <w:szCs w:val="20"/>
                <w:color w:val="auto"/>
              </w:rPr>
            </w:pPr>
            <w:r>
              <w:rPr>
                <w:rFonts w:ascii="Arial" w:cs="Arial" w:eastAsia="Arial" w:hAnsi="Arial"/>
                <w:sz w:val="14"/>
                <w:szCs w:val="14"/>
                <w:color w:val="auto"/>
              </w:rPr>
              <w:t>First Maryland Capital II — Variable rate</w:t>
            </w:r>
          </w:p>
        </w:tc>
        <w:tc>
          <w:tcPr>
            <w:tcW w:w="140" w:type="dxa"/>
            <w:vAlign w:val="bottom"/>
          </w:tcPr>
          <w:p>
            <w:pPr>
              <w:spacing w:after="0"/>
              <w:rPr>
                <w:sz w:val="14"/>
                <w:szCs w:val="14"/>
                <w:color w:val="auto"/>
              </w:rPr>
            </w:pPr>
          </w:p>
        </w:tc>
        <w:tc>
          <w:tcPr>
            <w:tcW w:w="1040" w:type="dxa"/>
            <w:vAlign w:val="bottom"/>
            <w:gridSpan w:val="3"/>
          </w:tcPr>
          <w:p>
            <w:pPr>
              <w:jc w:val="right"/>
              <w:ind w:right="328"/>
              <w:spacing w:after="0"/>
              <w:rPr>
                <w:sz w:val="20"/>
                <w:szCs w:val="20"/>
                <w:color w:val="auto"/>
              </w:rPr>
            </w:pPr>
            <w:r>
              <w:rPr>
                <w:rFonts w:ascii="Arial" w:cs="Arial" w:eastAsia="Arial" w:hAnsi="Arial"/>
                <w:sz w:val="14"/>
                <w:szCs w:val="14"/>
                <w:color w:val="auto"/>
              </w:rPr>
              <w:t>141,322</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140,660</w:t>
            </w:r>
          </w:p>
        </w:tc>
      </w:tr>
      <w:tr>
        <w:trPr>
          <w:trHeight w:val="167"/>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Allfirst Asset Trust — Variable rate</w:t>
            </w: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328"/>
              <w:spacing w:after="0"/>
              <w:rPr>
                <w:sz w:val="20"/>
                <w:szCs w:val="20"/>
                <w:color w:val="auto"/>
              </w:rPr>
            </w:pPr>
            <w:r>
              <w:rPr>
                <w:rFonts w:ascii="Arial" w:cs="Arial" w:eastAsia="Arial" w:hAnsi="Arial"/>
                <w:sz w:val="14"/>
                <w:szCs w:val="14"/>
                <w:color w:val="auto"/>
              </w:rPr>
              <w:t>101,796</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101,640</w:t>
            </w:r>
          </w:p>
        </w:tc>
      </w:tr>
      <w:tr>
        <w:trPr>
          <w:trHeight w:val="167"/>
        </w:trPr>
        <w:tc>
          <w:tcPr>
            <w:tcW w:w="7900" w:type="dxa"/>
            <w:vAlign w:val="bottom"/>
          </w:tcPr>
          <w:p>
            <w:pPr>
              <w:spacing w:after="0"/>
              <w:rPr>
                <w:sz w:val="20"/>
                <w:szCs w:val="20"/>
                <w:color w:val="auto"/>
              </w:rPr>
            </w:pPr>
            <w:r>
              <w:rPr>
                <w:rFonts w:ascii="Arial" w:cs="Arial" w:eastAsia="Arial" w:hAnsi="Arial"/>
                <w:sz w:val="14"/>
                <w:szCs w:val="14"/>
                <w:color w:val="auto"/>
              </w:rPr>
              <w:t>Agreements to repurchase securities</w:t>
            </w:r>
          </w:p>
        </w:tc>
        <w:tc>
          <w:tcPr>
            <w:tcW w:w="14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1,025,001</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375,001</w:t>
            </w:r>
          </w:p>
        </w:tc>
      </w:tr>
      <w:tr>
        <w:trPr>
          <w:trHeight w:val="167"/>
        </w:trPr>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14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328"/>
              <w:spacing w:after="0"/>
              <w:rPr>
                <w:sz w:val="20"/>
                <w:szCs w:val="20"/>
                <w:color w:val="auto"/>
              </w:rPr>
            </w:pPr>
            <w:r>
              <w:rPr>
                <w:rFonts w:ascii="Arial" w:cs="Arial" w:eastAsia="Arial" w:hAnsi="Arial"/>
                <w:sz w:val="14"/>
                <w:szCs w:val="14"/>
                <w:color w:val="auto"/>
              </w:rPr>
              <w:t>10,157</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11,244</w:t>
            </w:r>
          </w:p>
        </w:tc>
      </w:tr>
      <w:tr>
        <w:trPr>
          <w:trHeight w:val="176"/>
        </w:trPr>
        <w:tc>
          <w:tcPr>
            <w:tcW w:w="79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6,890,741</w:t>
            </w:r>
          </w:p>
        </w:tc>
        <w:tc>
          <w:tcPr>
            <w:tcW w:w="2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6,196,994</w:t>
            </w:r>
          </w:p>
        </w:tc>
        <w:tc>
          <w:tcPr>
            <w:tcW w:w="100" w:type="dxa"/>
            <w:vAlign w:val="bottom"/>
          </w:tcPr>
          <w:p>
            <w:pPr>
              <w:spacing w:after="0"/>
              <w:rPr>
                <w:sz w:val="15"/>
                <w:szCs w:val="15"/>
                <w:color w:val="auto"/>
              </w:rPr>
            </w:pPr>
          </w:p>
        </w:tc>
      </w:tr>
    </w:tbl>
    <w:p>
      <w:pPr>
        <w:spacing w:after="0" w:line="86" w:lineRule="exact"/>
        <w:rPr>
          <w:sz w:val="20"/>
          <w:szCs w:val="20"/>
          <w:color w:val="auto"/>
        </w:rPr>
      </w:pPr>
    </w:p>
    <w:p>
      <w:pPr>
        <w:ind w:left="680" w:right="20" w:firstLine="599"/>
        <w:spacing w:after="0" w:line="272" w:lineRule="auto"/>
        <w:rPr>
          <w:sz w:val="20"/>
          <w:szCs w:val="20"/>
          <w:color w:val="auto"/>
        </w:rPr>
      </w:pPr>
      <w:r>
        <w:rPr>
          <w:rFonts w:ascii="Arial" w:cs="Arial" w:eastAsia="Arial" w:hAnsi="Arial"/>
          <w:sz w:val="13"/>
          <w:szCs w:val="13"/>
          <w:color w:val="auto"/>
        </w:rPr>
        <w:t>The subordinated notes of M</w:t>
      </w:r>
      <w:r>
        <w:rPr>
          <w:rFonts w:ascii="Arial" w:cs="Arial" w:eastAsia="Arial" w:hAnsi="Arial"/>
          <w:sz w:val="12"/>
          <w:szCs w:val="12"/>
          <w:color w:val="auto"/>
        </w:rPr>
        <w:t>&amp;</w:t>
      </w:r>
      <w:r>
        <w:rPr>
          <w:rFonts w:ascii="Arial" w:cs="Arial" w:eastAsia="Arial" w:hAnsi="Arial"/>
          <w:sz w:val="13"/>
          <w:szCs w:val="13"/>
          <w:color w:val="auto"/>
        </w:rPr>
        <w:t>T Bank are unsecured and are subordinate to the claims of depositors and other creditors of M</w:t>
      </w:r>
      <w:r>
        <w:rPr>
          <w:rFonts w:ascii="Arial" w:cs="Arial" w:eastAsia="Arial" w:hAnsi="Arial"/>
          <w:sz w:val="12"/>
          <w:szCs w:val="12"/>
          <w:color w:val="auto"/>
        </w:rPr>
        <w:t>&amp;</w:t>
      </w:r>
      <w:r>
        <w:rPr>
          <w:rFonts w:ascii="Arial" w:cs="Arial" w:eastAsia="Arial" w:hAnsi="Arial"/>
          <w:sz w:val="13"/>
          <w:szCs w:val="13"/>
          <w:color w:val="auto"/>
        </w:rPr>
        <w:t>T Bank. In December 2006, M</w:t>
      </w:r>
      <w:r>
        <w:rPr>
          <w:rFonts w:ascii="Arial" w:cs="Arial" w:eastAsia="Arial" w:hAnsi="Arial"/>
          <w:sz w:val="12"/>
          <w:szCs w:val="12"/>
          <w:color w:val="auto"/>
        </w:rPr>
        <w:t>&amp;</w:t>
      </w:r>
      <w:r>
        <w:rPr>
          <w:rFonts w:ascii="Arial" w:cs="Arial" w:eastAsia="Arial" w:hAnsi="Arial"/>
          <w:sz w:val="13"/>
          <w:szCs w:val="13"/>
          <w:color w:val="auto"/>
        </w:rPr>
        <w:t>T Bank issued $500 million of subordinated notes which bear a fixed rate of interest of 5.629% until December 2016 and a floating rate thereafter until maturity in December 2021, at a rate equal to the three-month London Interbank Offered Rate (“LIBOR”) plus .64%. Beginning December 2016, M</w:t>
      </w:r>
      <w:r>
        <w:rPr>
          <w:rFonts w:ascii="Arial" w:cs="Arial" w:eastAsia="Arial" w:hAnsi="Arial"/>
          <w:sz w:val="12"/>
          <w:szCs w:val="12"/>
          <w:color w:val="auto"/>
        </w:rPr>
        <w:t>&amp;</w:t>
      </w:r>
      <w:r>
        <w:rPr>
          <w:rFonts w:ascii="Arial" w:cs="Arial" w:eastAsia="Arial" w:hAnsi="Arial"/>
          <w:sz w:val="13"/>
          <w:szCs w:val="13"/>
          <w:color w:val="auto"/>
        </w:rPr>
        <w:t>T Bank may, at its option and subject to prior regulatory approval, redeem some or all of the notes on any interest payment date. In December 2005, M</w:t>
      </w:r>
      <w:r>
        <w:rPr>
          <w:rFonts w:ascii="Arial" w:cs="Arial" w:eastAsia="Arial" w:hAnsi="Arial"/>
          <w:sz w:val="12"/>
          <w:szCs w:val="12"/>
          <w:color w:val="auto"/>
        </w:rPr>
        <w:t>&amp;</w:t>
      </w:r>
      <w:r>
        <w:rPr>
          <w:rFonts w:ascii="Arial" w:cs="Arial" w:eastAsia="Arial" w:hAnsi="Arial"/>
          <w:sz w:val="13"/>
          <w:szCs w:val="13"/>
          <w:color w:val="auto"/>
        </w:rPr>
        <w:t>T Bank completed an offer to the holders of its 8% subordinated notes due October 2010 to exchange their notes for fixed rate/floating rate subordinated notes due December 2020. Approximately $363 million of the 8% notes with a carrying value of $348 million were exchanged for new subordinated notes with a face value of $409 million. The new subordinated notes bear a fixed rate of interest of 5.585% until December 2015 and a floating rate of interest thereafter until maturity in December 2020, at a rate equal to the one-month LIBOR plus 1.215%. Beginning December 2015, M</w:t>
      </w:r>
      <w:r>
        <w:rPr>
          <w:rFonts w:ascii="Arial" w:cs="Arial" w:eastAsia="Arial" w:hAnsi="Arial"/>
          <w:sz w:val="12"/>
          <w:szCs w:val="12"/>
          <w:color w:val="auto"/>
        </w:rPr>
        <w:t>&amp;</w:t>
      </w:r>
      <w:r>
        <w:rPr>
          <w:rFonts w:ascii="Arial" w:cs="Arial" w:eastAsia="Arial" w:hAnsi="Arial"/>
          <w:sz w:val="13"/>
          <w:szCs w:val="13"/>
          <w:color w:val="auto"/>
        </w:rPr>
        <w:t>T Bank may, at its option and subject to prior regulatory approval, redeem some or all of the new notes on any interest payment date. In accordance with generally accepted accounting principles, the Company accounted for the exchange as a modification of debt terms and not as an extinguishment of debt because, among other factors, the present value of the cash flows under the terms of the new subordinated notes was not at least ten percent different from the present value of the cash flows under the original terms of the exchanged subordinated notes. Coincident with the exchange, M</w:t>
      </w:r>
      <w:r>
        <w:rPr>
          <w:rFonts w:ascii="Arial" w:cs="Arial" w:eastAsia="Arial" w:hAnsi="Arial"/>
          <w:sz w:val="12"/>
          <w:szCs w:val="12"/>
          <w:color w:val="auto"/>
        </w:rPr>
        <w:t>&amp;</w:t>
      </w:r>
      <w:r>
        <w:rPr>
          <w:rFonts w:ascii="Arial" w:cs="Arial" w:eastAsia="Arial" w:hAnsi="Arial"/>
          <w:sz w:val="13"/>
          <w:szCs w:val="13"/>
          <w:color w:val="auto"/>
        </w:rPr>
        <w:t>T Bank terminated $363 million of interest rate swap agreements that were used to hedge the 8.0% subordinated notes that were exchanged. A $15 million valuation adjustment on the previously hedged notes was included in the carrying value of the new subordinated notes. That valuation adjustment is being amortized to interest expense over the period to expected maturity of the new notes. The unamortized balance of such valuation adjustment was</w:t>
      </w:r>
    </w:p>
    <w:p>
      <w:pPr>
        <w:spacing w:after="0" w:line="14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1" w:name="page102"/>
    <w:bookmarkEnd w:id="10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5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$14 million and $15 million at December 31, 2006 and 2005, respectively. The new subordinated notes have an effective rate of 7.76%.</w:t>
      </w:r>
    </w:p>
    <w:p>
      <w:pPr>
        <w:spacing w:after="0" w:line="18" w:lineRule="exact"/>
        <w:rPr>
          <w:sz w:val="20"/>
          <w:szCs w:val="20"/>
          <w:color w:val="auto"/>
        </w:rPr>
      </w:pPr>
    </w:p>
    <w:p>
      <w:pPr>
        <w:jc w:val="both"/>
        <w:ind w:left="680" w:right="80" w:firstLine="599"/>
        <w:spacing w:after="0" w:line="249" w:lineRule="auto"/>
        <w:rPr>
          <w:sz w:val="20"/>
          <w:szCs w:val="20"/>
          <w:color w:val="auto"/>
        </w:rPr>
      </w:pPr>
      <w:r>
        <w:rPr>
          <w:rFonts w:ascii="Arial" w:cs="Arial" w:eastAsia="Arial" w:hAnsi="Arial"/>
          <w:sz w:val="14"/>
          <w:szCs w:val="14"/>
          <w:color w:val="auto"/>
        </w:rPr>
        <w:t>The subordinated notes of M</w:t>
      </w:r>
      <w:r>
        <w:rPr>
          <w:rFonts w:ascii="Arial" w:cs="Arial" w:eastAsia="Arial" w:hAnsi="Arial"/>
          <w:sz w:val="13"/>
          <w:szCs w:val="13"/>
          <w:color w:val="auto"/>
        </w:rPr>
        <w:t>&amp;</w:t>
      </w:r>
      <w:r>
        <w:rPr>
          <w:rFonts w:ascii="Arial" w:cs="Arial" w:eastAsia="Arial" w:hAnsi="Arial"/>
          <w:sz w:val="14"/>
          <w:szCs w:val="14"/>
          <w:color w:val="auto"/>
        </w:rPr>
        <w:t>T are unsecured and subordinate to the general creditors of M</w:t>
      </w:r>
      <w:r>
        <w:rPr>
          <w:rFonts w:ascii="Arial" w:cs="Arial" w:eastAsia="Arial" w:hAnsi="Arial"/>
          <w:sz w:val="13"/>
          <w:szCs w:val="13"/>
          <w:color w:val="auto"/>
        </w:rPr>
        <w:t>&amp;</w:t>
      </w:r>
      <w:r>
        <w:rPr>
          <w:rFonts w:ascii="Arial" w:cs="Arial" w:eastAsia="Arial" w:hAnsi="Arial"/>
          <w:sz w:val="14"/>
          <w:szCs w:val="14"/>
          <w:color w:val="auto"/>
        </w:rPr>
        <w:t>T. The senior medium term notes were issued in 1998 by Keystone Financial Mid-Atlantic Funding Corp., a wholly owned subsidiary of M</w:t>
      </w:r>
      <w:r>
        <w:rPr>
          <w:rFonts w:ascii="Arial" w:cs="Arial" w:eastAsia="Arial" w:hAnsi="Arial"/>
          <w:sz w:val="13"/>
          <w:szCs w:val="13"/>
          <w:color w:val="auto"/>
        </w:rPr>
        <w:t>&amp;</w:t>
      </w:r>
      <w:r>
        <w:rPr>
          <w:rFonts w:ascii="Arial" w:cs="Arial" w:eastAsia="Arial" w:hAnsi="Arial"/>
          <w:sz w:val="14"/>
          <w:szCs w:val="14"/>
          <w:color w:val="auto"/>
        </w:rPr>
        <w:t>T that was acquired in 2000. The notes provide for semi-annual interest payments at fixed rates of interest and are guaranteed by M</w:t>
      </w:r>
      <w:r>
        <w:rPr>
          <w:rFonts w:ascii="Arial" w:cs="Arial" w:eastAsia="Arial" w:hAnsi="Arial"/>
          <w:sz w:val="13"/>
          <w:szCs w:val="13"/>
          <w:color w:val="auto"/>
        </w:rPr>
        <w:t>&amp;</w:t>
      </w:r>
      <w:r>
        <w:rPr>
          <w:rFonts w:ascii="Arial" w:cs="Arial" w:eastAsia="Arial" w:hAnsi="Arial"/>
          <w:sz w:val="14"/>
          <w:szCs w:val="14"/>
          <w:color w:val="auto"/>
        </w:rPr>
        <w:t>T.</w:t>
      </w:r>
    </w:p>
    <w:p>
      <w:pPr>
        <w:ind w:left="680" w:right="20" w:firstLine="599"/>
        <w:spacing w:after="0" w:line="249" w:lineRule="auto"/>
        <w:rPr>
          <w:sz w:val="20"/>
          <w:szCs w:val="20"/>
          <w:color w:val="auto"/>
        </w:rPr>
      </w:pPr>
      <w:r>
        <w:rPr>
          <w:rFonts w:ascii="Arial" w:cs="Arial" w:eastAsia="Arial" w:hAnsi="Arial"/>
          <w:sz w:val="14"/>
          <w:szCs w:val="14"/>
          <w:color w:val="auto"/>
        </w:rPr>
        <w:t>Long-term variable rate advances from the FHLB had contractual interest rates that ranged from 5.31% to 5.37% at December 31, 2006 and from 4.16% to 4.45% at December 31, 2005. The weighted-average contractual interest rates were 5.35% and 4.32% at December 31, 2006 and 2005, respectively. Long-term fixed-rate advances from the FHLB had contractual interest rates ranging from 4.05% to 7.32% at December 31, 2006 and from 4.05% to 8.29% at December 31, 2005. The weighted-average contractual interest rates payable were 5.52% and 5.28% at December 31, 2006 and 2005, respectively. Advances from the FHLB mature at various dates through 2029 and are secured by residential real estate loans, commercial real estate loans and investment securities.</w:t>
      </w:r>
    </w:p>
    <w:p>
      <w:pPr>
        <w:ind w:left="680" w:right="60" w:firstLine="599"/>
        <w:spacing w:after="0" w:line="249" w:lineRule="auto"/>
        <w:rPr>
          <w:sz w:val="20"/>
          <w:szCs w:val="20"/>
          <w:color w:val="auto"/>
        </w:rPr>
      </w:pPr>
      <w:r>
        <w:rPr>
          <w:rFonts w:ascii="Arial" w:cs="Arial" w:eastAsia="Arial" w:hAnsi="Arial"/>
          <w:sz w:val="14"/>
          <w:szCs w:val="14"/>
          <w:color w:val="auto"/>
        </w:rPr>
        <w:t>Long-term agreements to repurchase securities had contractual interest rates that ranged from 3.91% to 5.14% at December 31, 2006 and from 3.37% to 4.80% at December 31, 2005. The weighted-average contractual interest rates were 4.24% and 3.75% at December 31, 2006 and 2005, respectively. The agreements outstanding at December 31, 2006 reflect various repurchase dates through 2016, however, the contractual maturities of the underlying investment securities extend beyond such repurchase dates.</w:t>
      </w:r>
    </w:p>
    <w:p>
      <w:pPr>
        <w:ind w:left="680" w:right="60" w:firstLine="599"/>
        <w:spacing w:after="0" w:line="249" w:lineRule="auto"/>
        <w:rPr>
          <w:sz w:val="20"/>
          <w:szCs w:val="20"/>
          <w:color w:val="auto"/>
        </w:rPr>
      </w:pPr>
      <w:r>
        <w:rPr>
          <w:rFonts w:ascii="Arial" w:cs="Arial" w:eastAsia="Arial" w:hAnsi="Arial"/>
          <w:sz w:val="14"/>
          <w:szCs w:val="14"/>
          <w:color w:val="auto"/>
        </w:rPr>
        <w:t>M</w:t>
      </w:r>
      <w:r>
        <w:rPr>
          <w:rFonts w:ascii="Arial" w:cs="Arial" w:eastAsia="Arial" w:hAnsi="Arial"/>
          <w:sz w:val="13"/>
          <w:szCs w:val="13"/>
          <w:color w:val="auto"/>
        </w:rPr>
        <w:t>&amp;</w:t>
      </w:r>
      <w:r>
        <w:rPr>
          <w:rFonts w:ascii="Arial" w:cs="Arial" w:eastAsia="Arial" w:hAnsi="Arial"/>
          <w:sz w:val="14"/>
          <w:szCs w:val="14"/>
          <w:color w:val="auto"/>
        </w:rPr>
        <w:t>T Capital Trust I (“Trust I”), M</w:t>
      </w:r>
      <w:r>
        <w:rPr>
          <w:rFonts w:ascii="Arial" w:cs="Arial" w:eastAsia="Arial" w:hAnsi="Arial"/>
          <w:sz w:val="13"/>
          <w:szCs w:val="13"/>
          <w:color w:val="auto"/>
        </w:rPr>
        <w:t>&amp;</w:t>
      </w:r>
      <w:r>
        <w:rPr>
          <w:rFonts w:ascii="Arial" w:cs="Arial" w:eastAsia="Arial" w:hAnsi="Arial"/>
          <w:sz w:val="14"/>
          <w:szCs w:val="14"/>
          <w:color w:val="auto"/>
        </w:rPr>
        <w:t>T Capital Trust II (“Trust II”), and M</w:t>
      </w:r>
      <w:r>
        <w:rPr>
          <w:rFonts w:ascii="Arial" w:cs="Arial" w:eastAsia="Arial" w:hAnsi="Arial"/>
          <w:sz w:val="13"/>
          <w:szCs w:val="13"/>
          <w:color w:val="auto"/>
        </w:rPr>
        <w:t>&amp;</w:t>
      </w:r>
      <w:r>
        <w:rPr>
          <w:rFonts w:ascii="Arial" w:cs="Arial" w:eastAsia="Arial" w:hAnsi="Arial"/>
          <w:sz w:val="14"/>
          <w:szCs w:val="14"/>
          <w:color w:val="auto"/>
        </w:rPr>
        <w:t>T Capital Trust III (“Trust III”) have issued fixed rate preferred capital securities aggregating $310 million. First Maryland Capital I (“Trust IV”) and First Maryland Capital II (“Trust V”) have issued floating rate preferred capital securities aggregating $300 million. The distribution rates on the preferred capital securities of Trust IV and Trust V adjust quarterly based on changes in the three-month LIBOR and were 6.37% and 6.22%, respectively, at December 31, 2006 and 5.15% and 5.10%, respectively, at December 31, 2005. Trust I, Trust II, Trust III, Trust IV and Trust V are referred to herein collectively as the “Trusts.”</w:t>
      </w:r>
    </w:p>
    <w:p>
      <w:pPr>
        <w:ind w:left="680" w:firstLine="599"/>
        <w:spacing w:after="0" w:line="263" w:lineRule="auto"/>
        <w:rPr>
          <w:sz w:val="20"/>
          <w:szCs w:val="20"/>
          <w:color w:val="auto"/>
        </w:rPr>
      </w:pPr>
      <w:r>
        <w:rPr>
          <w:rFonts w:ascii="Arial" w:cs="Arial" w:eastAsia="Arial" w:hAnsi="Arial"/>
          <w:sz w:val="14"/>
          <w:szCs w:val="14"/>
          <w:color w:val="auto"/>
        </w:rPr>
        <w:t>Other than the following payment terms (and the redemption terms described below), the preferred capital securities issued by the Trusts (“Capital Securities”) are substantially identical in all material respects:</w:t>
      </w:r>
    </w:p>
    <w:p>
      <w:pPr>
        <w:spacing w:after="0" w:line="63"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2480" w:type="dxa"/>
            <w:vAlign w:val="bottom"/>
          </w:tcPr>
          <w:p>
            <w:pPr>
              <w:spacing w:after="0"/>
              <w:rPr>
                <w:sz w:val="20"/>
                <w:szCs w:val="20"/>
                <w:color w:val="auto"/>
              </w:rPr>
            </w:pPr>
            <w:r>
              <w:rPr>
                <w:rFonts w:ascii="Arial" w:cs="Arial" w:eastAsia="Arial" w:hAnsi="Arial"/>
                <w:sz w:val="10"/>
                <w:szCs w:val="10"/>
                <w:b w:val="1"/>
                <w:bCs w:val="1"/>
                <w:color w:val="auto"/>
              </w:rPr>
              <w:t>Trust</w:t>
            </w:r>
          </w:p>
        </w:tc>
        <w:tc>
          <w:tcPr>
            <w:tcW w:w="4000" w:type="dxa"/>
            <w:vAlign w:val="bottom"/>
          </w:tcPr>
          <w:p>
            <w:pPr>
              <w:jc w:val="right"/>
              <w:ind w:right="631"/>
              <w:spacing w:after="0"/>
              <w:rPr>
                <w:sz w:val="20"/>
                <w:szCs w:val="20"/>
                <w:color w:val="auto"/>
              </w:rPr>
            </w:pPr>
            <w:r>
              <w:rPr>
                <w:rFonts w:ascii="Arial" w:cs="Arial" w:eastAsia="Arial" w:hAnsi="Arial"/>
                <w:sz w:val="10"/>
                <w:szCs w:val="10"/>
                <w:b w:val="1"/>
                <w:bCs w:val="1"/>
                <w:u w:val="single" w:color="auto"/>
                <w:color w:val="auto"/>
              </w:rPr>
              <w:t>D</w:t>
            </w:r>
            <w:r>
              <w:rPr>
                <w:rFonts w:ascii="Arial" w:cs="Arial" w:eastAsia="Arial" w:hAnsi="Arial"/>
                <w:sz w:val="10"/>
                <w:szCs w:val="10"/>
                <w:b w:val="1"/>
                <w:bCs w:val="1"/>
                <w:color w:val="auto"/>
              </w:rPr>
              <w:t>istribution Rate</w:t>
            </w:r>
          </w:p>
        </w:tc>
        <w:tc>
          <w:tcPr>
            <w:tcW w:w="3500" w:type="dxa"/>
            <w:vAlign w:val="bottom"/>
          </w:tcPr>
          <w:p>
            <w:pPr>
              <w:ind w:left="2080"/>
              <w:spacing w:after="0"/>
              <w:rPr>
                <w:sz w:val="20"/>
                <w:szCs w:val="20"/>
                <w:color w:val="auto"/>
              </w:rPr>
            </w:pPr>
            <w:r>
              <w:rPr>
                <w:rFonts w:ascii="Arial" w:cs="Arial" w:eastAsia="Arial" w:hAnsi="Arial"/>
                <w:sz w:val="10"/>
                <w:szCs w:val="10"/>
                <w:b w:val="1"/>
                <w:bCs w:val="1"/>
                <w:color w:val="auto"/>
              </w:rPr>
              <w:t>Distribution Dates</w:t>
            </w:r>
          </w:p>
        </w:tc>
      </w:tr>
      <w:tr>
        <w:trPr>
          <w:trHeight w:val="49"/>
        </w:trPr>
        <w:tc>
          <w:tcPr>
            <w:tcW w:w="2480" w:type="dxa"/>
            <w:vAlign w:val="bottom"/>
          </w:tcPr>
          <w:p>
            <w:pPr>
              <w:spacing w:after="0"/>
              <w:rPr>
                <w:sz w:val="4"/>
                <w:szCs w:val="4"/>
                <w:color w:val="auto"/>
              </w:rPr>
            </w:pPr>
          </w:p>
        </w:tc>
        <w:tc>
          <w:tcPr>
            <w:tcW w:w="4000" w:type="dxa"/>
            <w:vAlign w:val="bottom"/>
          </w:tcPr>
          <w:p>
            <w:pPr>
              <w:spacing w:after="0"/>
              <w:rPr>
                <w:sz w:val="4"/>
                <w:szCs w:val="4"/>
                <w:color w:val="auto"/>
              </w:rPr>
            </w:pPr>
          </w:p>
        </w:tc>
        <w:tc>
          <w:tcPr>
            <w:tcW w:w="3500" w:type="dxa"/>
            <w:vAlign w:val="bottom"/>
          </w:tcPr>
          <w:p>
            <w:pPr>
              <w:spacing w:after="0"/>
              <w:rPr>
                <w:sz w:val="4"/>
                <w:szCs w:val="4"/>
                <w:color w:val="auto"/>
              </w:rPr>
            </w:pPr>
          </w:p>
        </w:tc>
      </w:tr>
      <w:tr>
        <w:trPr>
          <w:trHeight w:val="167"/>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Trust I</w:t>
            </w:r>
          </w:p>
        </w:tc>
        <w:tc>
          <w:tcPr>
            <w:tcW w:w="4000" w:type="dxa"/>
            <w:vAlign w:val="bottom"/>
            <w:shd w:val="clear" w:color="auto" w:fill="CCEEFF"/>
          </w:tcPr>
          <w:p>
            <w:pPr>
              <w:jc w:val="right"/>
              <w:ind w:right="831"/>
              <w:spacing w:after="0"/>
              <w:rPr>
                <w:sz w:val="20"/>
                <w:szCs w:val="20"/>
                <w:color w:val="auto"/>
              </w:rPr>
            </w:pPr>
            <w:r>
              <w:rPr>
                <w:rFonts w:ascii="Arial" w:cs="Arial" w:eastAsia="Arial" w:hAnsi="Arial"/>
                <w:sz w:val="14"/>
                <w:szCs w:val="14"/>
                <w:color w:val="auto"/>
              </w:rPr>
              <w:t>8.234%</w:t>
            </w:r>
          </w:p>
        </w:tc>
        <w:tc>
          <w:tcPr>
            <w:tcW w:w="35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February 1 and August 1</w:t>
            </w: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Trust II</w:t>
            </w:r>
          </w:p>
        </w:tc>
        <w:tc>
          <w:tcPr>
            <w:tcW w:w="4000" w:type="dxa"/>
            <w:vAlign w:val="bottom"/>
          </w:tcPr>
          <w:p>
            <w:pPr>
              <w:jc w:val="right"/>
              <w:ind w:right="831"/>
              <w:spacing w:after="0"/>
              <w:rPr>
                <w:sz w:val="20"/>
                <w:szCs w:val="20"/>
                <w:color w:val="auto"/>
              </w:rPr>
            </w:pPr>
            <w:r>
              <w:rPr>
                <w:rFonts w:ascii="Arial" w:cs="Arial" w:eastAsia="Arial" w:hAnsi="Arial"/>
                <w:sz w:val="14"/>
                <w:szCs w:val="14"/>
                <w:color w:val="auto"/>
              </w:rPr>
              <w:t>8.277%</w:t>
            </w:r>
          </w:p>
        </w:tc>
        <w:tc>
          <w:tcPr>
            <w:tcW w:w="3500" w:type="dxa"/>
            <w:vAlign w:val="bottom"/>
          </w:tcPr>
          <w:p>
            <w:pPr>
              <w:ind w:left="680"/>
              <w:spacing w:after="0"/>
              <w:rPr>
                <w:sz w:val="20"/>
                <w:szCs w:val="20"/>
                <w:color w:val="auto"/>
              </w:rPr>
            </w:pPr>
            <w:r>
              <w:rPr>
                <w:rFonts w:ascii="Arial" w:cs="Arial" w:eastAsia="Arial" w:hAnsi="Arial"/>
                <w:sz w:val="14"/>
                <w:szCs w:val="14"/>
                <w:color w:val="auto"/>
              </w:rPr>
              <w:t>June 1 and December 1</w:t>
            </w:r>
          </w:p>
        </w:tc>
      </w:tr>
      <w:tr>
        <w:trPr>
          <w:trHeight w:val="167"/>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Trust III</w:t>
            </w:r>
          </w:p>
        </w:tc>
        <w:tc>
          <w:tcPr>
            <w:tcW w:w="4000" w:type="dxa"/>
            <w:vAlign w:val="bottom"/>
            <w:shd w:val="clear" w:color="auto" w:fill="CCEEFF"/>
          </w:tcPr>
          <w:p>
            <w:pPr>
              <w:jc w:val="right"/>
              <w:ind w:right="831"/>
              <w:spacing w:after="0"/>
              <w:rPr>
                <w:sz w:val="20"/>
                <w:szCs w:val="20"/>
                <w:color w:val="auto"/>
              </w:rPr>
            </w:pPr>
            <w:r>
              <w:rPr>
                <w:rFonts w:ascii="Arial" w:cs="Arial" w:eastAsia="Arial" w:hAnsi="Arial"/>
                <w:sz w:val="14"/>
                <w:szCs w:val="14"/>
                <w:color w:val="auto"/>
              </w:rPr>
              <w:t>9.25%</w:t>
            </w:r>
          </w:p>
        </w:tc>
        <w:tc>
          <w:tcPr>
            <w:tcW w:w="3500" w:type="dxa"/>
            <w:vAlign w:val="bottom"/>
            <w:shd w:val="clear" w:color="auto" w:fill="CCEEFF"/>
          </w:tcPr>
          <w:p>
            <w:pPr>
              <w:ind w:left="680"/>
              <w:spacing w:after="0"/>
              <w:rPr>
                <w:sz w:val="20"/>
                <w:szCs w:val="20"/>
                <w:color w:val="auto"/>
              </w:rPr>
            </w:pPr>
            <w:r>
              <w:rPr>
                <w:rFonts w:ascii="Arial" w:cs="Arial" w:eastAsia="Arial" w:hAnsi="Arial"/>
                <w:sz w:val="14"/>
                <w:szCs w:val="14"/>
                <w:color w:val="auto"/>
              </w:rPr>
              <w:t>February 1 and August 1</w:t>
            </w:r>
          </w:p>
        </w:tc>
      </w:tr>
      <w:tr>
        <w:trPr>
          <w:trHeight w:val="167"/>
        </w:trPr>
        <w:tc>
          <w:tcPr>
            <w:tcW w:w="2480" w:type="dxa"/>
            <w:vAlign w:val="bottom"/>
          </w:tcPr>
          <w:p>
            <w:pPr>
              <w:spacing w:after="0"/>
              <w:rPr>
                <w:sz w:val="20"/>
                <w:szCs w:val="20"/>
                <w:color w:val="auto"/>
              </w:rPr>
            </w:pPr>
            <w:r>
              <w:rPr>
                <w:rFonts w:ascii="Arial" w:cs="Arial" w:eastAsia="Arial" w:hAnsi="Arial"/>
                <w:sz w:val="14"/>
                <w:szCs w:val="14"/>
                <w:color w:val="auto"/>
              </w:rPr>
              <w:t>Trust IV</w:t>
            </w:r>
          </w:p>
        </w:tc>
        <w:tc>
          <w:tcPr>
            <w:tcW w:w="4000" w:type="dxa"/>
            <w:vAlign w:val="bottom"/>
          </w:tcPr>
          <w:p>
            <w:pPr>
              <w:jc w:val="right"/>
              <w:ind w:right="831"/>
              <w:spacing w:after="0"/>
              <w:rPr>
                <w:sz w:val="20"/>
                <w:szCs w:val="20"/>
                <w:color w:val="auto"/>
              </w:rPr>
            </w:pPr>
            <w:r>
              <w:rPr>
                <w:rFonts w:ascii="Arial" w:cs="Arial" w:eastAsia="Arial" w:hAnsi="Arial"/>
                <w:sz w:val="14"/>
                <w:szCs w:val="14"/>
                <w:color w:val="auto"/>
              </w:rPr>
              <w:t>LIBOR plus 1.00%</w:t>
            </w:r>
          </w:p>
        </w:tc>
        <w:tc>
          <w:tcPr>
            <w:tcW w:w="3500" w:type="dxa"/>
            <w:vAlign w:val="bottom"/>
          </w:tcPr>
          <w:p>
            <w:pPr>
              <w:ind w:left="680"/>
              <w:spacing w:after="0"/>
              <w:rPr>
                <w:sz w:val="20"/>
                <w:szCs w:val="20"/>
                <w:color w:val="auto"/>
              </w:rPr>
            </w:pPr>
            <w:r>
              <w:rPr>
                <w:rFonts w:ascii="Arial" w:cs="Arial" w:eastAsia="Arial" w:hAnsi="Arial"/>
                <w:sz w:val="14"/>
                <w:szCs w:val="14"/>
                <w:color w:val="auto"/>
              </w:rPr>
              <w:t>January 15, April 15, July 15 and October 15</w:t>
            </w:r>
          </w:p>
        </w:tc>
      </w:tr>
      <w:tr>
        <w:trPr>
          <w:trHeight w:val="167"/>
        </w:trPr>
        <w:tc>
          <w:tcPr>
            <w:tcW w:w="2480" w:type="dxa"/>
            <w:vAlign w:val="bottom"/>
            <w:shd w:val="clear" w:color="auto" w:fill="CCEEFF"/>
          </w:tcPr>
          <w:p>
            <w:pPr>
              <w:spacing w:after="0"/>
              <w:rPr>
                <w:sz w:val="20"/>
                <w:szCs w:val="20"/>
                <w:color w:val="auto"/>
              </w:rPr>
            </w:pPr>
            <w:r>
              <w:rPr>
                <w:rFonts w:ascii="Arial" w:cs="Arial" w:eastAsia="Arial" w:hAnsi="Arial"/>
                <w:sz w:val="14"/>
                <w:szCs w:val="14"/>
                <w:color w:val="auto"/>
              </w:rPr>
              <w:t>Trust V</w:t>
            </w:r>
          </w:p>
        </w:tc>
        <w:tc>
          <w:tcPr>
            <w:tcW w:w="4000" w:type="dxa"/>
            <w:vAlign w:val="bottom"/>
            <w:shd w:val="clear" w:color="auto" w:fill="CCEEFF"/>
          </w:tcPr>
          <w:p>
            <w:pPr>
              <w:jc w:val="right"/>
              <w:ind w:right="831"/>
              <w:spacing w:after="0"/>
              <w:rPr>
                <w:sz w:val="20"/>
                <w:szCs w:val="20"/>
                <w:color w:val="auto"/>
              </w:rPr>
            </w:pPr>
            <w:r>
              <w:rPr>
                <w:rFonts w:ascii="Arial" w:cs="Arial" w:eastAsia="Arial" w:hAnsi="Arial"/>
                <w:sz w:val="14"/>
                <w:szCs w:val="14"/>
                <w:color w:val="auto"/>
              </w:rPr>
              <w:t>LIBOR plus .85%</w:t>
            </w:r>
          </w:p>
        </w:tc>
        <w:tc>
          <w:tcPr>
            <w:tcW w:w="3500" w:type="dxa"/>
            <w:vAlign w:val="bottom"/>
            <w:shd w:val="clear" w:color="auto" w:fill="CCEEFF"/>
          </w:tcPr>
          <w:p>
            <w:pPr>
              <w:ind w:left="680"/>
              <w:spacing w:after="0"/>
              <w:rPr>
                <w:sz w:val="20"/>
                <w:szCs w:val="20"/>
                <w:color w:val="auto"/>
              </w:rPr>
            </w:pPr>
            <w:r>
              <w:rPr>
                <w:rFonts w:ascii="Arial" w:cs="Arial" w:eastAsia="Arial" w:hAnsi="Arial"/>
                <w:sz w:val="14"/>
                <w:szCs w:val="14"/>
                <w:color w:val="auto"/>
                <w:w w:val="98"/>
              </w:rPr>
              <w:t>February 1, May 1, August 1 and November 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-561340</wp:posOffset>
            </wp:positionV>
            <wp:extent cx="18415"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5866130</wp:posOffset>
            </wp:positionH>
            <wp:positionV relativeFrom="paragraph">
              <wp:posOffset>-561340</wp:posOffset>
            </wp:positionV>
            <wp:extent cx="18415" cy="6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56" w:lineRule="exact"/>
        <w:rPr>
          <w:sz w:val="20"/>
          <w:szCs w:val="20"/>
          <w:color w:val="auto"/>
        </w:rPr>
      </w:pPr>
    </w:p>
    <w:p>
      <w:pPr>
        <w:ind w:left="680" w:right="80" w:firstLine="599"/>
        <w:spacing w:after="0" w:line="265" w:lineRule="auto"/>
        <w:rPr>
          <w:sz w:val="20"/>
          <w:szCs w:val="20"/>
          <w:color w:val="auto"/>
        </w:rPr>
      </w:pPr>
      <w:r>
        <w:rPr>
          <w:rFonts w:ascii="Arial" w:cs="Arial" w:eastAsia="Arial" w:hAnsi="Arial"/>
          <w:sz w:val="14"/>
          <w:szCs w:val="14"/>
          <w:color w:val="auto"/>
        </w:rPr>
        <w:t>The common securities of each Trust (“Common Securities”) are wholly owned by M</w:t>
      </w:r>
      <w:r>
        <w:rPr>
          <w:rFonts w:ascii="Arial" w:cs="Arial" w:eastAsia="Arial" w:hAnsi="Arial"/>
          <w:sz w:val="13"/>
          <w:szCs w:val="13"/>
          <w:color w:val="auto"/>
        </w:rPr>
        <w:t>&amp;</w:t>
      </w:r>
      <w:r>
        <w:rPr>
          <w:rFonts w:ascii="Arial" w:cs="Arial" w:eastAsia="Arial" w:hAnsi="Arial"/>
          <w:sz w:val="14"/>
          <w:szCs w:val="14"/>
          <w:color w:val="auto"/>
        </w:rPr>
        <w:t>T and are the only class of each Trust’s securities possessing general voting powers. The Capital Securities represent preferred undivided interests in the assets of the corresponding Trust. Under the Federal Reserve Board’s current risk-based capital guidelines, the Capital Securities are includable in M</w:t>
      </w:r>
      <w:r>
        <w:rPr>
          <w:rFonts w:ascii="Arial" w:cs="Arial" w:eastAsia="Arial" w:hAnsi="Arial"/>
          <w:sz w:val="13"/>
          <w:szCs w:val="13"/>
          <w:color w:val="auto"/>
        </w:rPr>
        <w:t>&amp;</w:t>
      </w:r>
      <w:r>
        <w:rPr>
          <w:rFonts w:ascii="Arial" w:cs="Arial" w:eastAsia="Arial" w:hAnsi="Arial"/>
          <w:sz w:val="14"/>
          <w:szCs w:val="14"/>
          <w:color w:val="auto"/>
        </w:rPr>
        <w:t>T’s Tier 1 (core) capital.</w:t>
      </w:r>
    </w:p>
    <w:p>
      <w:pPr>
        <w:spacing w:after="0" w:line="14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2" w:name="page103"/>
    <w:bookmarkEnd w:id="10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56" w:lineRule="exact"/>
        <w:rPr>
          <w:sz w:val="20"/>
          <w:szCs w:val="20"/>
          <w:color w:val="auto"/>
        </w:rPr>
      </w:pPr>
    </w:p>
    <w:p>
      <w:pPr>
        <w:ind w:left="680" w:right="320" w:firstLine="599"/>
        <w:spacing w:after="0" w:line="280" w:lineRule="auto"/>
        <w:rPr>
          <w:sz w:val="20"/>
          <w:szCs w:val="20"/>
          <w:color w:val="auto"/>
        </w:rPr>
      </w:pPr>
      <w:r>
        <w:rPr>
          <w:rFonts w:ascii="Arial" w:cs="Arial" w:eastAsia="Arial" w:hAnsi="Arial"/>
          <w:sz w:val="14"/>
          <w:szCs w:val="14"/>
          <w:color w:val="auto"/>
        </w:rPr>
        <w:t>The proceeds from the issuances of the Capital Securities and Common Securities were used by the Trusts to purchase junior subordinated deferrable interest debentures (“Junior Subordinated Debentures”) of M</w:t>
      </w:r>
      <w:r>
        <w:rPr>
          <w:rFonts w:ascii="Arial" w:cs="Arial" w:eastAsia="Arial" w:hAnsi="Arial"/>
          <w:sz w:val="13"/>
          <w:szCs w:val="13"/>
          <w:color w:val="auto"/>
        </w:rPr>
        <w:t>&amp;</w:t>
      </w:r>
      <w:r>
        <w:rPr>
          <w:rFonts w:ascii="Arial" w:cs="Arial" w:eastAsia="Arial" w:hAnsi="Arial"/>
          <w:sz w:val="14"/>
          <w:szCs w:val="14"/>
          <w:color w:val="auto"/>
        </w:rPr>
        <w:t>T as follows:</w:t>
      </w:r>
    </w:p>
    <w:p>
      <w:pPr>
        <w:spacing w:after="0" w:line="46"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216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rust</w:t>
            </w:r>
          </w:p>
        </w:tc>
        <w:tc>
          <w:tcPr>
            <w:tcW w:w="2840" w:type="dxa"/>
            <w:vAlign w:val="bottom"/>
          </w:tcPr>
          <w:p>
            <w:pPr>
              <w:ind w:left="2040"/>
              <w:spacing w:after="0"/>
              <w:rPr>
                <w:sz w:val="20"/>
                <w:szCs w:val="20"/>
                <w:color w:val="auto"/>
              </w:rPr>
            </w:pPr>
            <w:r>
              <w:rPr>
                <w:rFonts w:ascii="Arial" w:cs="Arial" w:eastAsia="Arial" w:hAnsi="Arial"/>
                <w:sz w:val="10"/>
                <w:szCs w:val="10"/>
                <w:b w:val="1"/>
                <w:bCs w:val="1"/>
                <w:color w:val="auto"/>
              </w:rPr>
              <w:t>Capital</w:t>
            </w:r>
          </w:p>
        </w:tc>
        <w:tc>
          <w:tcPr>
            <w:tcW w:w="1380" w:type="dxa"/>
            <w:vAlign w:val="bottom"/>
          </w:tcPr>
          <w:p>
            <w:pPr>
              <w:ind w:left="220"/>
              <w:spacing w:after="0"/>
              <w:rPr>
                <w:sz w:val="20"/>
                <w:szCs w:val="20"/>
                <w:color w:val="auto"/>
              </w:rPr>
            </w:pPr>
            <w:r>
              <w:rPr>
                <w:rFonts w:ascii="Arial" w:cs="Arial" w:eastAsia="Arial" w:hAnsi="Arial"/>
                <w:sz w:val="10"/>
                <w:szCs w:val="10"/>
                <w:b w:val="1"/>
                <w:bCs w:val="1"/>
                <w:color w:val="auto"/>
              </w:rPr>
              <w:t>Common</w:t>
            </w:r>
          </w:p>
        </w:tc>
        <w:tc>
          <w:tcPr>
            <w:tcW w:w="3600" w:type="dxa"/>
            <w:vAlign w:val="bottom"/>
            <w:vMerge w:val="restart"/>
          </w:tcPr>
          <w:p>
            <w:pPr>
              <w:ind w:left="1940"/>
              <w:spacing w:after="0"/>
              <w:rPr>
                <w:sz w:val="20"/>
                <w:szCs w:val="20"/>
                <w:color w:val="auto"/>
              </w:rPr>
            </w:pPr>
            <w:r>
              <w:rPr>
                <w:rFonts w:ascii="Arial" w:cs="Arial" w:eastAsia="Arial" w:hAnsi="Arial"/>
                <w:sz w:val="10"/>
                <w:szCs w:val="10"/>
                <w:b w:val="1"/>
                <w:bCs w:val="1"/>
                <w:u w:val="single" w:color="auto"/>
                <w:color w:val="auto"/>
              </w:rPr>
              <w:t>J</w:t>
            </w:r>
            <w:r>
              <w:rPr>
                <w:rFonts w:ascii="Arial" w:cs="Arial" w:eastAsia="Arial" w:hAnsi="Arial"/>
                <w:sz w:val="10"/>
                <w:szCs w:val="10"/>
                <w:b w:val="1"/>
                <w:bCs w:val="1"/>
                <w:color w:val="auto"/>
              </w:rPr>
              <w:t>unior Subordinated Debentures</w:t>
            </w:r>
          </w:p>
        </w:tc>
        <w:tc>
          <w:tcPr>
            <w:tcW w:w="0" w:type="dxa"/>
            <w:vAlign w:val="bottom"/>
          </w:tcPr>
          <w:p>
            <w:pPr>
              <w:spacing w:after="0"/>
              <w:rPr>
                <w:sz w:val="1"/>
                <w:szCs w:val="1"/>
                <w:color w:val="auto"/>
              </w:rPr>
            </w:pPr>
          </w:p>
        </w:tc>
      </w:tr>
      <w:tr>
        <w:trPr>
          <w:trHeight w:val="135"/>
        </w:trPr>
        <w:tc>
          <w:tcPr>
            <w:tcW w:w="2160" w:type="dxa"/>
            <w:vAlign w:val="bottom"/>
            <w:vMerge w:val="continue"/>
          </w:tcPr>
          <w:p>
            <w:pPr>
              <w:spacing w:after="0"/>
              <w:rPr>
                <w:sz w:val="11"/>
                <w:szCs w:val="11"/>
                <w:color w:val="auto"/>
              </w:rPr>
            </w:pPr>
          </w:p>
        </w:tc>
        <w:tc>
          <w:tcPr>
            <w:tcW w:w="2840" w:type="dxa"/>
            <w:vAlign w:val="bottom"/>
          </w:tcPr>
          <w:p>
            <w:pPr>
              <w:ind w:left="2200"/>
              <w:spacing w:after="0"/>
              <w:rPr>
                <w:sz w:val="20"/>
                <w:szCs w:val="20"/>
                <w:color w:val="auto"/>
              </w:rPr>
            </w:pPr>
            <w:r>
              <w:rPr>
                <w:rFonts w:ascii="Arial" w:cs="Arial" w:eastAsia="Arial" w:hAnsi="Arial"/>
                <w:sz w:val="10"/>
                <w:szCs w:val="10"/>
                <w:b w:val="1"/>
                <w:bCs w:val="1"/>
                <w:color w:val="auto"/>
              </w:rPr>
              <w:t>Securities</w:t>
            </w:r>
          </w:p>
        </w:tc>
        <w:tc>
          <w:tcPr>
            <w:tcW w:w="1380" w:type="dxa"/>
            <w:vAlign w:val="bottom"/>
          </w:tcPr>
          <w:p>
            <w:pPr>
              <w:ind w:left="220"/>
              <w:spacing w:after="0"/>
              <w:rPr>
                <w:sz w:val="20"/>
                <w:szCs w:val="20"/>
                <w:color w:val="auto"/>
              </w:rPr>
            </w:pPr>
            <w:r>
              <w:rPr>
                <w:rFonts w:ascii="Arial" w:cs="Arial" w:eastAsia="Arial" w:hAnsi="Arial"/>
                <w:sz w:val="10"/>
                <w:szCs w:val="10"/>
                <w:b w:val="1"/>
                <w:bCs w:val="1"/>
                <w:color w:val="auto"/>
              </w:rPr>
              <w:t>Securities</w:t>
            </w:r>
          </w:p>
        </w:tc>
        <w:tc>
          <w:tcPr>
            <w:tcW w:w="3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2160" w:type="dxa"/>
            <w:vAlign w:val="bottom"/>
          </w:tcPr>
          <w:p>
            <w:pPr>
              <w:spacing w:after="0"/>
              <w:rPr>
                <w:sz w:val="4"/>
                <w:szCs w:val="4"/>
                <w:color w:val="auto"/>
              </w:rPr>
            </w:pPr>
          </w:p>
        </w:tc>
        <w:tc>
          <w:tcPr>
            <w:tcW w:w="28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3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1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Trust I</w:t>
            </w:r>
          </w:p>
        </w:tc>
        <w:tc>
          <w:tcPr>
            <w:tcW w:w="2840" w:type="dxa"/>
            <w:vAlign w:val="bottom"/>
            <w:shd w:val="clear" w:color="auto" w:fill="CCEEFF"/>
          </w:tcPr>
          <w:p>
            <w:pPr>
              <w:ind w:left="1660"/>
              <w:spacing w:after="0" w:line="155" w:lineRule="exact"/>
              <w:rPr>
                <w:sz w:val="20"/>
                <w:szCs w:val="20"/>
                <w:color w:val="auto"/>
              </w:rPr>
            </w:pPr>
            <w:r>
              <w:rPr>
                <w:rFonts w:ascii="Arial" w:cs="Arial" w:eastAsia="Arial" w:hAnsi="Arial"/>
                <w:sz w:val="14"/>
                <w:szCs w:val="14"/>
                <w:color w:val="auto"/>
              </w:rPr>
              <w:t>$150 million</w:t>
            </w:r>
          </w:p>
        </w:tc>
        <w:tc>
          <w:tcPr>
            <w:tcW w:w="138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$4.64 million</w:t>
            </w:r>
          </w:p>
        </w:tc>
        <w:tc>
          <w:tcPr>
            <w:tcW w:w="3600" w:type="dxa"/>
            <w:vAlign w:val="bottom"/>
            <w:shd w:val="clear" w:color="auto" w:fill="CCEEFF"/>
          </w:tcPr>
          <w:p>
            <w:pPr>
              <w:ind w:left="320"/>
              <w:spacing w:after="0" w:line="155" w:lineRule="exact"/>
              <w:rPr>
                <w:sz w:val="20"/>
                <w:szCs w:val="20"/>
                <w:color w:val="auto"/>
              </w:rPr>
            </w:pPr>
            <w:r>
              <w:rPr>
                <w:rFonts w:ascii="Arial" w:cs="Arial" w:eastAsia="Arial" w:hAnsi="Arial"/>
                <w:sz w:val="14"/>
                <w:szCs w:val="14"/>
                <w:color w:val="auto"/>
                <w:w w:val="94"/>
              </w:rPr>
              <w:t>$154.64 million aggregate liquidation amount of 8.234%</w:t>
            </w:r>
          </w:p>
        </w:tc>
        <w:tc>
          <w:tcPr>
            <w:tcW w:w="0" w:type="dxa"/>
            <w:vAlign w:val="bottom"/>
          </w:tcPr>
          <w:p>
            <w:pPr>
              <w:spacing w:after="0"/>
              <w:rPr>
                <w:sz w:val="1"/>
                <w:szCs w:val="1"/>
                <w:color w:val="auto"/>
              </w:rPr>
            </w:pPr>
          </w:p>
        </w:tc>
      </w:tr>
      <w:tr>
        <w:trPr>
          <w:trHeight w:val="180"/>
        </w:trPr>
        <w:tc>
          <w:tcPr>
            <w:tcW w:w="216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3600" w:type="dxa"/>
            <w:vAlign w:val="bottom"/>
            <w:shd w:val="clear" w:color="auto" w:fill="CCEEFF"/>
          </w:tcPr>
          <w:p>
            <w:pPr>
              <w:ind w:left="320"/>
              <w:spacing w:after="0"/>
              <w:rPr>
                <w:sz w:val="20"/>
                <w:szCs w:val="20"/>
                <w:color w:val="auto"/>
              </w:rPr>
            </w:pPr>
            <w:r>
              <w:rPr>
                <w:rFonts w:ascii="Arial" w:cs="Arial" w:eastAsia="Arial" w:hAnsi="Arial"/>
                <w:sz w:val="14"/>
                <w:szCs w:val="14"/>
                <w:color w:val="auto"/>
                <w:w w:val="94"/>
              </w:rPr>
              <w:t>Junior Subordinated Debentures due February 1, 2027.</w:t>
            </w:r>
          </w:p>
        </w:tc>
        <w:tc>
          <w:tcPr>
            <w:tcW w:w="0" w:type="dxa"/>
            <w:vAlign w:val="bottom"/>
          </w:tcPr>
          <w:p>
            <w:pPr>
              <w:spacing w:after="0"/>
              <w:rPr>
                <w:sz w:val="1"/>
                <w:szCs w:val="1"/>
                <w:color w:val="auto"/>
              </w:rPr>
            </w:pPr>
          </w:p>
        </w:tc>
      </w:tr>
      <w:tr>
        <w:trPr>
          <w:trHeight w:val="154"/>
        </w:trPr>
        <w:tc>
          <w:tcPr>
            <w:tcW w:w="2160" w:type="dxa"/>
            <w:vAlign w:val="bottom"/>
          </w:tcPr>
          <w:p>
            <w:pPr>
              <w:spacing w:after="0" w:line="155" w:lineRule="exact"/>
              <w:rPr>
                <w:sz w:val="20"/>
                <w:szCs w:val="20"/>
                <w:color w:val="auto"/>
              </w:rPr>
            </w:pPr>
            <w:r>
              <w:rPr>
                <w:rFonts w:ascii="Arial" w:cs="Arial" w:eastAsia="Arial" w:hAnsi="Arial"/>
                <w:sz w:val="14"/>
                <w:szCs w:val="14"/>
                <w:color w:val="auto"/>
              </w:rPr>
              <w:t>Trust II</w:t>
            </w:r>
          </w:p>
        </w:tc>
        <w:tc>
          <w:tcPr>
            <w:tcW w:w="2840" w:type="dxa"/>
            <w:vAlign w:val="bottom"/>
          </w:tcPr>
          <w:p>
            <w:pPr>
              <w:ind w:left="1660"/>
              <w:spacing w:after="0" w:line="155" w:lineRule="exact"/>
              <w:rPr>
                <w:sz w:val="20"/>
                <w:szCs w:val="20"/>
                <w:color w:val="auto"/>
              </w:rPr>
            </w:pPr>
            <w:r>
              <w:rPr>
                <w:rFonts w:ascii="Arial" w:cs="Arial" w:eastAsia="Arial" w:hAnsi="Arial"/>
                <w:sz w:val="14"/>
                <w:szCs w:val="14"/>
                <w:color w:val="auto"/>
              </w:rPr>
              <w:t>$100 million</w:t>
            </w:r>
          </w:p>
        </w:tc>
        <w:tc>
          <w:tcPr>
            <w:tcW w:w="1380" w:type="dxa"/>
            <w:vAlign w:val="bottom"/>
          </w:tcPr>
          <w:p>
            <w:pPr>
              <w:ind w:left="220"/>
              <w:spacing w:after="0" w:line="155" w:lineRule="exact"/>
              <w:rPr>
                <w:sz w:val="20"/>
                <w:szCs w:val="20"/>
                <w:color w:val="auto"/>
              </w:rPr>
            </w:pPr>
            <w:r>
              <w:rPr>
                <w:rFonts w:ascii="Arial" w:cs="Arial" w:eastAsia="Arial" w:hAnsi="Arial"/>
                <w:sz w:val="14"/>
                <w:szCs w:val="14"/>
                <w:color w:val="auto"/>
              </w:rPr>
              <w:t>$3.09 million</w:t>
            </w:r>
          </w:p>
        </w:tc>
        <w:tc>
          <w:tcPr>
            <w:tcW w:w="3600" w:type="dxa"/>
            <w:vAlign w:val="bottom"/>
          </w:tcPr>
          <w:p>
            <w:pPr>
              <w:ind w:left="320"/>
              <w:spacing w:after="0" w:line="155" w:lineRule="exact"/>
              <w:rPr>
                <w:sz w:val="20"/>
                <w:szCs w:val="20"/>
                <w:color w:val="auto"/>
              </w:rPr>
            </w:pPr>
            <w:r>
              <w:rPr>
                <w:rFonts w:ascii="Arial" w:cs="Arial" w:eastAsia="Arial" w:hAnsi="Arial"/>
                <w:sz w:val="14"/>
                <w:szCs w:val="14"/>
                <w:color w:val="auto"/>
                <w:w w:val="94"/>
              </w:rPr>
              <w:t>$103.09 million aggregate liquidation amount of 8.277%</w:t>
            </w:r>
          </w:p>
        </w:tc>
        <w:tc>
          <w:tcPr>
            <w:tcW w:w="0" w:type="dxa"/>
            <w:vAlign w:val="bottom"/>
          </w:tcPr>
          <w:p>
            <w:pPr>
              <w:spacing w:after="0"/>
              <w:rPr>
                <w:sz w:val="1"/>
                <w:szCs w:val="1"/>
                <w:color w:val="auto"/>
              </w:rPr>
            </w:pPr>
          </w:p>
        </w:tc>
      </w:tr>
      <w:tr>
        <w:trPr>
          <w:trHeight w:val="180"/>
        </w:trPr>
        <w:tc>
          <w:tcPr>
            <w:tcW w:w="21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600" w:type="dxa"/>
            <w:vAlign w:val="bottom"/>
          </w:tcPr>
          <w:p>
            <w:pPr>
              <w:ind w:left="320"/>
              <w:spacing w:after="0"/>
              <w:rPr>
                <w:sz w:val="20"/>
                <w:szCs w:val="20"/>
                <w:color w:val="auto"/>
              </w:rPr>
            </w:pPr>
            <w:r>
              <w:rPr>
                <w:rFonts w:ascii="Arial" w:cs="Arial" w:eastAsia="Arial" w:hAnsi="Arial"/>
                <w:sz w:val="14"/>
                <w:szCs w:val="14"/>
                <w:color w:val="auto"/>
              </w:rPr>
              <w:t>Junior Subordinated Debentures due June 1, 2027.</w:t>
            </w:r>
          </w:p>
        </w:tc>
        <w:tc>
          <w:tcPr>
            <w:tcW w:w="0" w:type="dxa"/>
            <w:vAlign w:val="bottom"/>
          </w:tcPr>
          <w:p>
            <w:pPr>
              <w:spacing w:after="0"/>
              <w:rPr>
                <w:sz w:val="1"/>
                <w:szCs w:val="1"/>
                <w:color w:val="auto"/>
              </w:rPr>
            </w:pPr>
          </w:p>
        </w:tc>
      </w:tr>
      <w:tr>
        <w:trPr>
          <w:trHeight w:val="154"/>
        </w:trPr>
        <w:tc>
          <w:tcPr>
            <w:tcW w:w="21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Trust III</w:t>
            </w:r>
          </w:p>
        </w:tc>
        <w:tc>
          <w:tcPr>
            <w:tcW w:w="2840" w:type="dxa"/>
            <w:vAlign w:val="bottom"/>
            <w:shd w:val="clear" w:color="auto" w:fill="CCEEFF"/>
          </w:tcPr>
          <w:p>
            <w:pPr>
              <w:ind w:left="1660"/>
              <w:spacing w:after="0" w:line="155" w:lineRule="exact"/>
              <w:rPr>
                <w:sz w:val="20"/>
                <w:szCs w:val="20"/>
                <w:color w:val="auto"/>
              </w:rPr>
            </w:pPr>
            <w:r>
              <w:rPr>
                <w:rFonts w:ascii="Arial" w:cs="Arial" w:eastAsia="Arial" w:hAnsi="Arial"/>
                <w:sz w:val="14"/>
                <w:szCs w:val="14"/>
                <w:color w:val="auto"/>
              </w:rPr>
              <w:t>$60 million</w:t>
            </w:r>
          </w:p>
        </w:tc>
        <w:tc>
          <w:tcPr>
            <w:tcW w:w="138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$1.856 million</w:t>
            </w:r>
          </w:p>
        </w:tc>
        <w:tc>
          <w:tcPr>
            <w:tcW w:w="3600" w:type="dxa"/>
            <w:vAlign w:val="bottom"/>
            <w:shd w:val="clear" w:color="auto" w:fill="CCEEFF"/>
          </w:tcPr>
          <w:p>
            <w:pPr>
              <w:ind w:left="320"/>
              <w:spacing w:after="0" w:line="155" w:lineRule="exact"/>
              <w:rPr>
                <w:sz w:val="20"/>
                <w:szCs w:val="20"/>
                <w:color w:val="auto"/>
              </w:rPr>
            </w:pPr>
            <w:r>
              <w:rPr>
                <w:rFonts w:ascii="Arial" w:cs="Arial" w:eastAsia="Arial" w:hAnsi="Arial"/>
                <w:sz w:val="14"/>
                <w:szCs w:val="14"/>
                <w:color w:val="auto"/>
                <w:w w:val="96"/>
              </w:rPr>
              <w:t>$61.856 million aggregate liquidation amount of 9.25%</w:t>
            </w:r>
          </w:p>
        </w:tc>
        <w:tc>
          <w:tcPr>
            <w:tcW w:w="0" w:type="dxa"/>
            <w:vAlign w:val="bottom"/>
          </w:tcPr>
          <w:p>
            <w:pPr>
              <w:spacing w:after="0"/>
              <w:rPr>
                <w:sz w:val="1"/>
                <w:szCs w:val="1"/>
                <w:color w:val="auto"/>
              </w:rPr>
            </w:pPr>
          </w:p>
        </w:tc>
      </w:tr>
      <w:tr>
        <w:trPr>
          <w:trHeight w:val="180"/>
        </w:trPr>
        <w:tc>
          <w:tcPr>
            <w:tcW w:w="216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3600" w:type="dxa"/>
            <w:vAlign w:val="bottom"/>
            <w:shd w:val="clear" w:color="auto" w:fill="CCEEFF"/>
          </w:tcPr>
          <w:p>
            <w:pPr>
              <w:ind w:left="320"/>
              <w:spacing w:after="0"/>
              <w:rPr>
                <w:sz w:val="20"/>
                <w:szCs w:val="20"/>
                <w:color w:val="auto"/>
              </w:rPr>
            </w:pPr>
            <w:r>
              <w:rPr>
                <w:rFonts w:ascii="Arial" w:cs="Arial" w:eastAsia="Arial" w:hAnsi="Arial"/>
                <w:sz w:val="14"/>
                <w:szCs w:val="14"/>
                <w:color w:val="auto"/>
                <w:w w:val="94"/>
              </w:rPr>
              <w:t>Junior Subordinated Debentures due February 1, 2027.</w:t>
            </w:r>
          </w:p>
        </w:tc>
        <w:tc>
          <w:tcPr>
            <w:tcW w:w="0" w:type="dxa"/>
            <w:vAlign w:val="bottom"/>
          </w:tcPr>
          <w:p>
            <w:pPr>
              <w:spacing w:after="0"/>
              <w:rPr>
                <w:sz w:val="1"/>
                <w:szCs w:val="1"/>
                <w:color w:val="auto"/>
              </w:rPr>
            </w:pPr>
          </w:p>
        </w:tc>
      </w:tr>
      <w:tr>
        <w:trPr>
          <w:trHeight w:val="154"/>
        </w:trPr>
        <w:tc>
          <w:tcPr>
            <w:tcW w:w="2160" w:type="dxa"/>
            <w:vAlign w:val="bottom"/>
          </w:tcPr>
          <w:p>
            <w:pPr>
              <w:spacing w:after="0" w:line="155" w:lineRule="exact"/>
              <w:rPr>
                <w:sz w:val="20"/>
                <w:szCs w:val="20"/>
                <w:color w:val="auto"/>
              </w:rPr>
            </w:pPr>
            <w:r>
              <w:rPr>
                <w:rFonts w:ascii="Arial" w:cs="Arial" w:eastAsia="Arial" w:hAnsi="Arial"/>
                <w:sz w:val="14"/>
                <w:szCs w:val="14"/>
                <w:color w:val="auto"/>
              </w:rPr>
              <w:t>Trust IV</w:t>
            </w:r>
          </w:p>
        </w:tc>
        <w:tc>
          <w:tcPr>
            <w:tcW w:w="2840" w:type="dxa"/>
            <w:vAlign w:val="bottom"/>
          </w:tcPr>
          <w:p>
            <w:pPr>
              <w:ind w:left="1660"/>
              <w:spacing w:after="0" w:line="155" w:lineRule="exact"/>
              <w:rPr>
                <w:sz w:val="20"/>
                <w:szCs w:val="20"/>
                <w:color w:val="auto"/>
              </w:rPr>
            </w:pPr>
            <w:r>
              <w:rPr>
                <w:rFonts w:ascii="Arial" w:cs="Arial" w:eastAsia="Arial" w:hAnsi="Arial"/>
                <w:sz w:val="14"/>
                <w:szCs w:val="14"/>
                <w:color w:val="auto"/>
              </w:rPr>
              <w:t>$150 million</w:t>
            </w:r>
          </w:p>
        </w:tc>
        <w:tc>
          <w:tcPr>
            <w:tcW w:w="1380" w:type="dxa"/>
            <w:vAlign w:val="bottom"/>
          </w:tcPr>
          <w:p>
            <w:pPr>
              <w:ind w:left="220"/>
              <w:spacing w:after="0" w:line="155" w:lineRule="exact"/>
              <w:rPr>
                <w:sz w:val="20"/>
                <w:szCs w:val="20"/>
                <w:color w:val="auto"/>
              </w:rPr>
            </w:pPr>
            <w:r>
              <w:rPr>
                <w:rFonts w:ascii="Arial" w:cs="Arial" w:eastAsia="Arial" w:hAnsi="Arial"/>
                <w:sz w:val="14"/>
                <w:szCs w:val="14"/>
                <w:color w:val="auto"/>
              </w:rPr>
              <w:t>$4.64 million</w:t>
            </w:r>
          </w:p>
        </w:tc>
        <w:tc>
          <w:tcPr>
            <w:tcW w:w="3600" w:type="dxa"/>
            <w:vAlign w:val="bottom"/>
          </w:tcPr>
          <w:p>
            <w:pPr>
              <w:ind w:left="320"/>
              <w:spacing w:after="0" w:line="155" w:lineRule="exact"/>
              <w:rPr>
                <w:sz w:val="20"/>
                <w:szCs w:val="20"/>
                <w:color w:val="auto"/>
              </w:rPr>
            </w:pPr>
            <w:r>
              <w:rPr>
                <w:rFonts w:ascii="Arial" w:cs="Arial" w:eastAsia="Arial" w:hAnsi="Arial"/>
                <w:sz w:val="14"/>
                <w:szCs w:val="14"/>
                <w:color w:val="auto"/>
              </w:rPr>
              <w:t>$154.64 million aggregate liquidation amount of</w:t>
            </w:r>
          </w:p>
        </w:tc>
        <w:tc>
          <w:tcPr>
            <w:tcW w:w="0" w:type="dxa"/>
            <w:vAlign w:val="bottom"/>
          </w:tcPr>
          <w:p>
            <w:pPr>
              <w:spacing w:after="0"/>
              <w:rPr>
                <w:sz w:val="1"/>
                <w:szCs w:val="1"/>
                <w:color w:val="auto"/>
              </w:rPr>
            </w:pPr>
          </w:p>
        </w:tc>
      </w:tr>
      <w:tr>
        <w:trPr>
          <w:trHeight w:val="167"/>
        </w:trPr>
        <w:tc>
          <w:tcPr>
            <w:tcW w:w="21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600" w:type="dxa"/>
            <w:vAlign w:val="bottom"/>
          </w:tcPr>
          <w:p>
            <w:pPr>
              <w:ind w:left="320"/>
              <w:spacing w:after="0"/>
              <w:rPr>
                <w:sz w:val="20"/>
                <w:szCs w:val="20"/>
                <w:color w:val="auto"/>
              </w:rPr>
            </w:pPr>
            <w:r>
              <w:rPr>
                <w:rFonts w:ascii="Arial" w:cs="Arial" w:eastAsia="Arial" w:hAnsi="Arial"/>
                <w:sz w:val="14"/>
                <w:szCs w:val="14"/>
                <w:color w:val="auto"/>
              </w:rPr>
              <w:t>floating rate Junior Subordinated Debentures due</w:t>
            </w:r>
          </w:p>
        </w:tc>
        <w:tc>
          <w:tcPr>
            <w:tcW w:w="0" w:type="dxa"/>
            <w:vAlign w:val="bottom"/>
          </w:tcPr>
          <w:p>
            <w:pPr>
              <w:spacing w:after="0"/>
              <w:rPr>
                <w:sz w:val="1"/>
                <w:szCs w:val="1"/>
                <w:color w:val="auto"/>
              </w:rPr>
            </w:pPr>
          </w:p>
        </w:tc>
      </w:tr>
      <w:tr>
        <w:trPr>
          <w:trHeight w:val="180"/>
        </w:trPr>
        <w:tc>
          <w:tcPr>
            <w:tcW w:w="216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600" w:type="dxa"/>
            <w:vAlign w:val="bottom"/>
          </w:tcPr>
          <w:p>
            <w:pPr>
              <w:ind w:left="320"/>
              <w:spacing w:after="0"/>
              <w:rPr>
                <w:sz w:val="20"/>
                <w:szCs w:val="20"/>
                <w:color w:val="auto"/>
              </w:rPr>
            </w:pPr>
            <w:r>
              <w:rPr>
                <w:rFonts w:ascii="Arial" w:cs="Arial" w:eastAsia="Arial" w:hAnsi="Arial"/>
                <w:sz w:val="14"/>
                <w:szCs w:val="14"/>
                <w:color w:val="auto"/>
              </w:rPr>
              <w:t>January 15, 2027.</w:t>
            </w:r>
          </w:p>
        </w:tc>
        <w:tc>
          <w:tcPr>
            <w:tcW w:w="0" w:type="dxa"/>
            <w:vAlign w:val="bottom"/>
          </w:tcPr>
          <w:p>
            <w:pPr>
              <w:spacing w:after="0"/>
              <w:rPr>
                <w:sz w:val="1"/>
                <w:szCs w:val="1"/>
                <w:color w:val="auto"/>
              </w:rPr>
            </w:pPr>
          </w:p>
        </w:tc>
      </w:tr>
      <w:tr>
        <w:trPr>
          <w:trHeight w:val="154"/>
        </w:trPr>
        <w:tc>
          <w:tcPr>
            <w:tcW w:w="21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Trust V</w:t>
            </w:r>
          </w:p>
        </w:tc>
        <w:tc>
          <w:tcPr>
            <w:tcW w:w="2840" w:type="dxa"/>
            <w:vAlign w:val="bottom"/>
            <w:shd w:val="clear" w:color="auto" w:fill="CCEEFF"/>
          </w:tcPr>
          <w:p>
            <w:pPr>
              <w:ind w:left="1660"/>
              <w:spacing w:after="0" w:line="155" w:lineRule="exact"/>
              <w:rPr>
                <w:sz w:val="20"/>
                <w:szCs w:val="20"/>
                <w:color w:val="auto"/>
              </w:rPr>
            </w:pPr>
            <w:r>
              <w:rPr>
                <w:rFonts w:ascii="Arial" w:cs="Arial" w:eastAsia="Arial" w:hAnsi="Arial"/>
                <w:sz w:val="14"/>
                <w:szCs w:val="14"/>
                <w:color w:val="auto"/>
              </w:rPr>
              <w:t>$150 million</w:t>
            </w:r>
          </w:p>
        </w:tc>
        <w:tc>
          <w:tcPr>
            <w:tcW w:w="138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$4.64 million</w:t>
            </w:r>
          </w:p>
        </w:tc>
        <w:tc>
          <w:tcPr>
            <w:tcW w:w="3600" w:type="dxa"/>
            <w:vAlign w:val="bottom"/>
            <w:shd w:val="clear" w:color="auto" w:fill="CCEEFF"/>
          </w:tcPr>
          <w:p>
            <w:pPr>
              <w:ind w:left="320"/>
              <w:spacing w:after="0" w:line="155" w:lineRule="exact"/>
              <w:rPr>
                <w:sz w:val="20"/>
                <w:szCs w:val="20"/>
                <w:color w:val="auto"/>
              </w:rPr>
            </w:pPr>
            <w:r>
              <w:rPr>
                <w:rFonts w:ascii="Arial" w:cs="Arial" w:eastAsia="Arial" w:hAnsi="Arial"/>
                <w:sz w:val="14"/>
                <w:szCs w:val="14"/>
                <w:color w:val="auto"/>
              </w:rPr>
              <w:t>$154.64 million aggregate liquidation amount of</w:t>
            </w:r>
          </w:p>
        </w:tc>
        <w:tc>
          <w:tcPr>
            <w:tcW w:w="0" w:type="dxa"/>
            <w:vAlign w:val="bottom"/>
          </w:tcPr>
          <w:p>
            <w:pPr>
              <w:spacing w:after="0"/>
              <w:rPr>
                <w:sz w:val="1"/>
                <w:szCs w:val="1"/>
                <w:color w:val="auto"/>
              </w:rPr>
            </w:pPr>
          </w:p>
        </w:tc>
      </w:tr>
      <w:tr>
        <w:trPr>
          <w:trHeight w:val="167"/>
        </w:trPr>
        <w:tc>
          <w:tcPr>
            <w:tcW w:w="2160" w:type="dxa"/>
            <w:vAlign w:val="bottom"/>
            <w:shd w:val="clear" w:color="auto" w:fill="CCEEFF"/>
          </w:tcPr>
          <w:p>
            <w:pPr>
              <w:spacing w:after="0"/>
              <w:rPr>
                <w:sz w:val="14"/>
                <w:szCs w:val="14"/>
                <w:color w:val="auto"/>
              </w:rPr>
            </w:pPr>
          </w:p>
        </w:tc>
        <w:tc>
          <w:tcPr>
            <w:tcW w:w="28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6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floating rate Junior Subordinated Debentures due</w:t>
            </w:r>
          </w:p>
        </w:tc>
        <w:tc>
          <w:tcPr>
            <w:tcW w:w="0" w:type="dxa"/>
            <w:vAlign w:val="bottom"/>
          </w:tcPr>
          <w:p>
            <w:pPr>
              <w:spacing w:after="0"/>
              <w:rPr>
                <w:sz w:val="1"/>
                <w:szCs w:val="1"/>
                <w:color w:val="auto"/>
              </w:rPr>
            </w:pPr>
          </w:p>
        </w:tc>
      </w:tr>
      <w:tr>
        <w:trPr>
          <w:trHeight w:val="180"/>
        </w:trPr>
        <w:tc>
          <w:tcPr>
            <w:tcW w:w="216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3600" w:type="dxa"/>
            <w:vAlign w:val="bottom"/>
            <w:shd w:val="clear" w:color="auto" w:fill="CCEEFF"/>
          </w:tcPr>
          <w:p>
            <w:pPr>
              <w:ind w:left="320"/>
              <w:spacing w:after="0"/>
              <w:rPr>
                <w:sz w:val="20"/>
                <w:szCs w:val="20"/>
                <w:color w:val="auto"/>
              </w:rPr>
            </w:pPr>
            <w:r>
              <w:rPr>
                <w:rFonts w:ascii="Arial" w:cs="Arial" w:eastAsia="Arial" w:hAnsi="Arial"/>
                <w:sz w:val="14"/>
                <w:szCs w:val="14"/>
                <w:color w:val="auto"/>
              </w:rPr>
              <w:t>February 1, 2027.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3201035</wp:posOffset>
            </wp:positionH>
            <wp:positionV relativeFrom="paragraph">
              <wp:posOffset>-1303655</wp:posOffset>
            </wp:positionV>
            <wp:extent cx="6350" cy="63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-1303655</wp:posOffset>
            </wp:positionV>
            <wp:extent cx="635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56" w:lineRule="exact"/>
        <w:rPr>
          <w:sz w:val="20"/>
          <w:szCs w:val="20"/>
          <w:color w:val="auto"/>
        </w:rPr>
      </w:pPr>
    </w:p>
    <w:p>
      <w:pPr>
        <w:ind w:left="680" w:right="20" w:firstLine="599"/>
        <w:spacing w:after="0" w:line="252" w:lineRule="auto"/>
        <w:rPr>
          <w:sz w:val="20"/>
          <w:szCs w:val="20"/>
          <w:color w:val="auto"/>
        </w:rPr>
      </w:pPr>
      <w:r>
        <w:rPr>
          <w:rFonts w:ascii="Arial" w:cs="Arial" w:eastAsia="Arial" w:hAnsi="Arial"/>
          <w:sz w:val="14"/>
          <w:szCs w:val="14"/>
          <w:color w:val="auto"/>
        </w:rPr>
        <w:t>The Junior Subordinated Debentures represent the sole assets of each Trust and payments under the Junior Subordinated Debentures are the sole source of cash flow for each Trust. The financial statement carrying values of junior subordinated debentures associated with preferred capital securities at December 31, 2006 and 2005 of Trust III, Trust IV and Trust V include the unamortized portions of purchase accounting adjustments to reflect estimated fair value as of the date of M</w:t>
      </w:r>
      <w:r>
        <w:rPr>
          <w:rFonts w:ascii="Arial" w:cs="Arial" w:eastAsia="Arial" w:hAnsi="Arial"/>
          <w:sz w:val="13"/>
          <w:szCs w:val="13"/>
          <w:color w:val="auto"/>
        </w:rPr>
        <w:t>&amp;</w:t>
      </w:r>
      <w:r>
        <w:rPr>
          <w:rFonts w:ascii="Arial" w:cs="Arial" w:eastAsia="Arial" w:hAnsi="Arial"/>
          <w:sz w:val="14"/>
          <w:szCs w:val="14"/>
          <w:color w:val="auto"/>
        </w:rPr>
        <w:t>T’s acquisition of the common securities of each respective trust. The interest rates payable on the Junior Subordinated Debentures of Trust IV and Trust V were 6.37% and 6.22%, respectively, at December 31, 2006 and 5.15% and 5.10%, respectively, at December 31, 2005.</w:t>
      </w:r>
    </w:p>
    <w:p>
      <w:pPr>
        <w:spacing w:after="0" w:line="2" w:lineRule="exact"/>
        <w:rPr>
          <w:sz w:val="20"/>
          <w:szCs w:val="20"/>
          <w:color w:val="auto"/>
        </w:rPr>
      </w:pPr>
    </w:p>
    <w:p>
      <w:pPr>
        <w:ind w:left="680" w:firstLine="599"/>
        <w:spacing w:after="0" w:line="249" w:lineRule="auto"/>
        <w:rPr>
          <w:sz w:val="20"/>
          <w:szCs w:val="20"/>
          <w:color w:val="auto"/>
        </w:rPr>
      </w:pPr>
      <w:r>
        <w:rPr>
          <w:rFonts w:ascii="Arial" w:cs="Arial" w:eastAsia="Arial" w:hAnsi="Arial"/>
          <w:sz w:val="14"/>
          <w:szCs w:val="14"/>
          <w:color w:val="auto"/>
        </w:rPr>
        <w:t>Holders of the Capital Securities receive preferential cumulative cash distributions on each distribution date at the stated distribution rate unless M</w:t>
      </w:r>
      <w:r>
        <w:rPr>
          <w:rFonts w:ascii="Arial" w:cs="Arial" w:eastAsia="Arial" w:hAnsi="Arial"/>
          <w:sz w:val="13"/>
          <w:szCs w:val="13"/>
          <w:color w:val="auto"/>
        </w:rPr>
        <w:t>&amp;</w:t>
      </w:r>
      <w:r>
        <w:rPr>
          <w:rFonts w:ascii="Arial" w:cs="Arial" w:eastAsia="Arial" w:hAnsi="Arial"/>
          <w:sz w:val="14"/>
          <w:szCs w:val="14"/>
          <w:color w:val="auto"/>
        </w:rPr>
        <w:t>T exercises its right to extend the payment of interest on the Junior Subordinated Debentures for up to ten semi-annual periods (in the case of Trust I, Trust II and Trust III) or twenty quarterly periods (in the case of Trust IV and Trust V), in which case payment of distributions on the respective Capital Securities will be deferred for comparable periods. During an extended interest period, M</w:t>
      </w:r>
      <w:r>
        <w:rPr>
          <w:rFonts w:ascii="Arial" w:cs="Arial" w:eastAsia="Arial" w:hAnsi="Arial"/>
          <w:sz w:val="13"/>
          <w:szCs w:val="13"/>
          <w:color w:val="auto"/>
        </w:rPr>
        <w:t>&amp;</w:t>
      </w:r>
      <w:r>
        <w:rPr>
          <w:rFonts w:ascii="Arial" w:cs="Arial" w:eastAsia="Arial" w:hAnsi="Arial"/>
          <w:sz w:val="14"/>
          <w:szCs w:val="14"/>
          <w:color w:val="auto"/>
        </w:rPr>
        <w:t>T may not pay dividends or distributions on, or repurchase, redeem or acquire any shares of its capital stock. The agreements governing the Capital Securities, in the aggregate, provide a full, irrevocable and unconditional guarantee by M</w:t>
      </w:r>
      <w:r>
        <w:rPr>
          <w:rFonts w:ascii="Arial" w:cs="Arial" w:eastAsia="Arial" w:hAnsi="Arial"/>
          <w:sz w:val="13"/>
          <w:szCs w:val="13"/>
          <w:color w:val="auto"/>
        </w:rPr>
        <w:t>&amp;</w:t>
      </w:r>
      <w:r>
        <w:rPr>
          <w:rFonts w:ascii="Arial" w:cs="Arial" w:eastAsia="Arial" w:hAnsi="Arial"/>
          <w:sz w:val="14"/>
          <w:szCs w:val="14"/>
          <w:color w:val="auto"/>
        </w:rPr>
        <w:t>T of the payment of distributions on, the redemption of, and any liquidation distribution with respect to the Capital Securities. The obligations under such guarantee and the Capital Securities are subordinate and junior in right of payment to all senior indebtedness of M</w:t>
      </w:r>
      <w:r>
        <w:rPr>
          <w:rFonts w:ascii="Arial" w:cs="Arial" w:eastAsia="Arial" w:hAnsi="Arial"/>
          <w:sz w:val="13"/>
          <w:szCs w:val="13"/>
          <w:color w:val="auto"/>
        </w:rPr>
        <w:t>&amp;</w:t>
      </w:r>
      <w:r>
        <w:rPr>
          <w:rFonts w:ascii="Arial" w:cs="Arial" w:eastAsia="Arial" w:hAnsi="Arial"/>
          <w:sz w:val="14"/>
          <w:szCs w:val="14"/>
          <w:color w:val="auto"/>
        </w:rPr>
        <w:t>T.</w:t>
      </w:r>
    </w:p>
    <w:p>
      <w:pPr>
        <w:ind w:left="680" w:right="20" w:firstLine="599"/>
        <w:spacing w:after="0" w:line="251" w:lineRule="auto"/>
        <w:rPr>
          <w:sz w:val="20"/>
          <w:szCs w:val="20"/>
          <w:color w:val="auto"/>
        </w:rPr>
      </w:pPr>
      <w:r>
        <w:rPr>
          <w:rFonts w:ascii="Arial" w:cs="Arial" w:eastAsia="Arial" w:hAnsi="Arial"/>
          <w:sz w:val="14"/>
          <w:szCs w:val="14"/>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of the Junior Subordinated Debentures or the earlier redemption of the Junior Subordinated Debentures in whole upon the occurrence of one or more events (“Events”) set forth in the indentures relating to the Capital Securities, and in whole or in part at any time after the stated optional redemption dates (January 15, 2007 in the case of Trust IV, February 1, 2007 in the case of Trust I, Trust III and Trust V, and June 1, 2007 in the case of Trust II) contemporaneously with the optional redemption of the related Junior Subordinated Debentures in whole or in part. The Junior Subordinated</w:t>
      </w:r>
    </w:p>
    <w:p>
      <w:pPr>
        <w:spacing w:after="0" w:line="153"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3" w:name="page104"/>
    <w:bookmarkEnd w:id="10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56" w:lineRule="exact"/>
        <w:rPr>
          <w:sz w:val="20"/>
          <w:szCs w:val="20"/>
          <w:color w:val="auto"/>
        </w:rPr>
      </w:pPr>
    </w:p>
    <w:p>
      <w:pPr>
        <w:ind w:left="680"/>
        <w:spacing w:after="0" w:line="270" w:lineRule="auto"/>
        <w:rPr>
          <w:sz w:val="20"/>
          <w:szCs w:val="20"/>
          <w:color w:val="auto"/>
        </w:rPr>
      </w:pPr>
      <w:r>
        <w:rPr>
          <w:rFonts w:ascii="Arial" w:cs="Arial" w:eastAsia="Arial" w:hAnsi="Arial"/>
          <w:sz w:val="13"/>
          <w:szCs w:val="13"/>
          <w:color w:val="auto"/>
        </w:rPr>
        <w:t>Debentures are redeemable prior to their stated maturity dates at M</w:t>
      </w:r>
      <w:r>
        <w:rPr>
          <w:rFonts w:ascii="Arial" w:cs="Arial" w:eastAsia="Arial" w:hAnsi="Arial"/>
          <w:sz w:val="12"/>
          <w:szCs w:val="12"/>
          <w:color w:val="auto"/>
        </w:rPr>
        <w:t>&amp;</w:t>
      </w:r>
      <w:r>
        <w:rPr>
          <w:rFonts w:ascii="Arial" w:cs="Arial" w:eastAsia="Arial" w:hAnsi="Arial"/>
          <w:sz w:val="13"/>
          <w:szCs w:val="13"/>
          <w:color w:val="auto"/>
        </w:rPr>
        <w:t>T’s option (i) on or after the stated optional redemption dates, in whole at any time or in part from time to time, or (ii) in whole, but not in part, at any time within 90 days following the occurrence and during the continuation of one or more of the Events, in each case subject to possible regulatory approval. The redemption price of the Capital Securities and the related Junior Subordinated Debentures upon early redemption will be expressed as a percentage of the liquidation amount plus accumulated but unpaid distributions. In the case of Trust I, such percentage adjusts annually and ranges from 104.117% at February 1, 2007 to 100.412% for the annual period ending January 31, 2017, after which the percentage is 100%, subject to a make-whole amount if the early redemption occurs prior to February 1, 2007. In the case of Trust II, such percentage adjusts annually and ranges from 104.139% at June 1, 2007 to 100.414% for the annual period ending May 31, 2017, after which the percentage is 100%, subject to a make-whole amount if the early redemption occurs prior to June 1, 2007. In the case of Trust III, such percentage adjusts annually and ranges from 104.625% at February 1, 2007 to 100.463% for the annual period ending January 31, 2017, after which the percentage is 100%, subject to a make-whole amount if the early redemption occurs prior to February 1, 2007. In the case of Trust IV and Trust V, the redemption price upon early redemption will be equal to 100% of the principal amount to be redeemed plus any accrued but unpaid distributions to the redemption date.</w:t>
      </w:r>
    </w:p>
    <w:p>
      <w:pPr>
        <w:spacing w:after="0" w:line="1" w:lineRule="exact"/>
        <w:rPr>
          <w:sz w:val="20"/>
          <w:szCs w:val="20"/>
          <w:color w:val="auto"/>
        </w:rPr>
      </w:pPr>
    </w:p>
    <w:p>
      <w:pPr>
        <w:ind w:left="680" w:right="420" w:firstLine="599"/>
        <w:spacing w:after="0" w:line="268" w:lineRule="auto"/>
        <w:rPr>
          <w:sz w:val="20"/>
          <w:szCs w:val="20"/>
          <w:color w:val="auto"/>
        </w:rPr>
      </w:pPr>
      <w:r>
        <w:rPr>
          <w:rFonts w:ascii="Arial" w:cs="Arial" w:eastAsia="Arial" w:hAnsi="Arial"/>
          <w:sz w:val="13"/>
          <w:szCs w:val="13"/>
          <w:color w:val="auto"/>
        </w:rPr>
        <w:t>Allfirst Preferred Capital Trust (“Allfirst Capital Trust”) has issued $100 million of Floating Rate Non-Cumulative Subordinated Trust Enhanced Securities (“SKATES”). Allfirst Capital Trust is a Delaware business trust that was formed for the exclusive purposes of (i) issuing the SKATES and common securities,</w:t>
      </w:r>
    </w:p>
    <w:p>
      <w:pPr>
        <w:ind w:left="680" w:right="20" w:firstLine="7"/>
        <w:spacing w:after="0" w:line="249" w:lineRule="auto"/>
        <w:tabs>
          <w:tab w:leader="none" w:pos="892" w:val="left"/>
        </w:tabs>
        <w:numPr>
          <w:ilvl w:val="0"/>
          <w:numId w:val="29"/>
        </w:numPr>
        <w:rPr>
          <w:rFonts w:ascii="Arial" w:cs="Arial" w:eastAsia="Arial" w:hAnsi="Arial"/>
          <w:sz w:val="14"/>
          <w:szCs w:val="14"/>
          <w:color w:val="auto"/>
        </w:rPr>
      </w:pPr>
      <w:r>
        <w:rPr>
          <w:rFonts w:ascii="Arial" w:cs="Arial" w:eastAsia="Arial" w:hAnsi="Arial"/>
          <w:sz w:val="14"/>
          <w:szCs w:val="14"/>
          <w:color w:val="auto"/>
        </w:rPr>
        <w:t>purchasing Asset Preferred Securities issued by Allfirst Preferred Asset Trust (“Allfirst Asset Trust”) and (iii) engaging in only those other activities necessary or incidental thereto. M</w:t>
      </w:r>
      <w:r>
        <w:rPr>
          <w:rFonts w:ascii="Arial" w:cs="Arial" w:eastAsia="Arial" w:hAnsi="Arial"/>
          <w:sz w:val="13"/>
          <w:szCs w:val="13"/>
          <w:color w:val="auto"/>
        </w:rPr>
        <w:t>&amp;</w:t>
      </w:r>
      <w:r>
        <w:rPr>
          <w:rFonts w:ascii="Arial" w:cs="Arial" w:eastAsia="Arial" w:hAnsi="Arial"/>
          <w:sz w:val="14"/>
          <w:szCs w:val="14"/>
          <w:color w:val="auto"/>
        </w:rPr>
        <w:t>T holds 100% of the common securities of Allfirst Capital Trust. Allfirst Asset Trust is a Delaware business trust that was formed for the exclusive purposes of (i) issuing Asset Preferred Securities and common securities, (ii) investing the gross proceeds of the Asset Preferred Securities in junior subordinated debentures of M</w:t>
      </w:r>
      <w:r>
        <w:rPr>
          <w:rFonts w:ascii="Arial" w:cs="Arial" w:eastAsia="Arial" w:hAnsi="Arial"/>
          <w:sz w:val="13"/>
          <w:szCs w:val="13"/>
          <w:color w:val="auto"/>
        </w:rPr>
        <w:t>&amp;</w:t>
      </w:r>
      <w:r>
        <w:rPr>
          <w:rFonts w:ascii="Arial" w:cs="Arial" w:eastAsia="Arial" w:hAnsi="Arial"/>
          <w:sz w:val="14"/>
          <w:szCs w:val="14"/>
          <w:color w:val="auto"/>
        </w:rPr>
        <w:t>T and other permitted investments and (iii) engaging in only those other activities necessary or incidental thereto. M</w:t>
      </w:r>
      <w:r>
        <w:rPr>
          <w:rFonts w:ascii="Arial" w:cs="Arial" w:eastAsia="Arial" w:hAnsi="Arial"/>
          <w:sz w:val="13"/>
          <w:szCs w:val="13"/>
          <w:color w:val="auto"/>
        </w:rPr>
        <w:t>&amp;</w:t>
      </w:r>
      <w:r>
        <w:rPr>
          <w:rFonts w:ascii="Arial" w:cs="Arial" w:eastAsia="Arial" w:hAnsi="Arial"/>
          <w:sz w:val="14"/>
          <w:szCs w:val="14"/>
          <w:color w:val="auto"/>
        </w:rPr>
        <w:t>T holds 100% of the common securities of Allfirst Asset Trust and Allfirst Capital Trust holds 100% of the Asset Preferred Securities of Allfirst Asset Trust. M</w:t>
      </w:r>
      <w:r>
        <w:rPr>
          <w:rFonts w:ascii="Arial" w:cs="Arial" w:eastAsia="Arial" w:hAnsi="Arial"/>
          <w:sz w:val="13"/>
          <w:szCs w:val="13"/>
          <w:color w:val="auto"/>
        </w:rPr>
        <w:t>&amp;</w:t>
      </w:r>
      <w:r>
        <w:rPr>
          <w:rFonts w:ascii="Arial" w:cs="Arial" w:eastAsia="Arial" w:hAnsi="Arial"/>
          <w:sz w:val="14"/>
          <w:szCs w:val="14"/>
          <w:color w:val="auto"/>
        </w:rPr>
        <w:t>T currently has outstanding $105.3 million aggregate liquidation amount Floating Rate Junior Subordinated Debentures due July 15, 2029 that are payable to Allfirst Asset Trust. The interest rates payable on such debentures were 6.80% and 5.58% at December 31, 2006 and 2005, respectively.</w:t>
      </w:r>
    </w:p>
    <w:p>
      <w:pPr>
        <w:ind w:left="680" w:right="100" w:firstLine="599"/>
        <w:spacing w:after="0" w:line="272" w:lineRule="auto"/>
        <w:rPr>
          <w:rFonts w:ascii="Arial" w:cs="Arial" w:eastAsia="Arial" w:hAnsi="Arial"/>
          <w:sz w:val="14"/>
          <w:szCs w:val="14"/>
          <w:color w:val="auto"/>
        </w:rPr>
      </w:pPr>
      <w:r>
        <w:rPr>
          <w:rFonts w:ascii="Arial" w:cs="Arial" w:eastAsia="Arial" w:hAnsi="Arial"/>
          <w:sz w:val="13"/>
          <w:szCs w:val="13"/>
          <w:color w:val="auto"/>
        </w:rPr>
        <w:t>Distributions on the SKATES are non-cumulative. The distribution rate on the SKATES and on the Floating Rate Junior Subordinated Debentures is a rate per annum of three-month LIBOR plus 1.50% and three-month LIBOR plus 1.43%, respectively, reset quarterly two business days prior to the distribution dates of January 15, April 15, July 15, and October 15 in each year. Distributions on the SKATES will be paid if, as and when Allfirst Capital Trust has funds available for payment. The SKATES are subject to mandatory redemption if the Asset Preferred Securities of Allfirst Asset Trust are redeemed. Allfirst Asset Trust will redeem the Asset Preferred Securities if the junior subordinated debentures of M</w:t>
      </w:r>
      <w:r>
        <w:rPr>
          <w:rFonts w:ascii="Arial" w:cs="Arial" w:eastAsia="Arial" w:hAnsi="Arial"/>
          <w:sz w:val="12"/>
          <w:szCs w:val="12"/>
          <w:color w:val="auto"/>
        </w:rPr>
        <w:t>&amp;</w:t>
      </w:r>
      <w:r>
        <w:rPr>
          <w:rFonts w:ascii="Arial" w:cs="Arial" w:eastAsia="Arial" w:hAnsi="Arial"/>
          <w:sz w:val="13"/>
          <w:szCs w:val="13"/>
          <w:color w:val="auto"/>
        </w:rPr>
        <w:t>T held by Allfirst Asset Trust are redeemed. M</w:t>
      </w:r>
      <w:r>
        <w:rPr>
          <w:rFonts w:ascii="Arial" w:cs="Arial" w:eastAsia="Arial" w:hAnsi="Arial"/>
          <w:sz w:val="12"/>
          <w:szCs w:val="12"/>
          <w:color w:val="auto"/>
        </w:rPr>
        <w:t>&amp;</w:t>
      </w:r>
      <w:r>
        <w:rPr>
          <w:rFonts w:ascii="Arial" w:cs="Arial" w:eastAsia="Arial" w:hAnsi="Arial"/>
          <w:sz w:val="13"/>
          <w:szCs w:val="13"/>
          <w:color w:val="auto"/>
        </w:rPr>
        <w:t>T may redeem such junior subordinated debentures, in whole or in part, at any time on or after July 15, 2009, subject to regulatory approval. Allfirst Asset Trust will redeem the Asset Preferred Securities at par plus accrued and unpaid distributions from the last distribution payment date. M</w:t>
      </w:r>
      <w:r>
        <w:rPr>
          <w:rFonts w:ascii="Arial" w:cs="Arial" w:eastAsia="Arial" w:hAnsi="Arial"/>
          <w:sz w:val="12"/>
          <w:szCs w:val="12"/>
          <w:color w:val="auto"/>
        </w:rPr>
        <w:t>&amp;</w:t>
      </w:r>
      <w:r>
        <w:rPr>
          <w:rFonts w:ascii="Arial" w:cs="Arial" w:eastAsia="Arial" w:hAnsi="Arial"/>
          <w:sz w:val="13"/>
          <w:szCs w:val="13"/>
          <w:color w:val="auto"/>
        </w:rPr>
        <w:t>T has guaranteed, on a subordinated basis, the payment in full of all distributions and other payments on the SKATES and on the Asset Preferred Securities to the extent that Allfirst Capital Trust and Allfirst Asset Trust, respectively, have funds legally available. Under the Federal Reserve Board’s current risk-based capital guidelines, the SKATES are includable in M</w:t>
      </w:r>
      <w:r>
        <w:rPr>
          <w:rFonts w:ascii="Arial" w:cs="Arial" w:eastAsia="Arial" w:hAnsi="Arial"/>
          <w:sz w:val="12"/>
          <w:szCs w:val="12"/>
          <w:color w:val="auto"/>
        </w:rPr>
        <w:t>&amp;</w:t>
      </w:r>
      <w:r>
        <w:rPr>
          <w:rFonts w:ascii="Arial" w:cs="Arial" w:eastAsia="Arial" w:hAnsi="Arial"/>
          <w:sz w:val="13"/>
          <w:szCs w:val="13"/>
          <w:color w:val="auto"/>
        </w:rPr>
        <w:t>T’s Tier 1 Capital.</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4" w:name="page105"/>
    <w:bookmarkEnd w:id="10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56" w:lineRule="exact"/>
        <w:rPr>
          <w:sz w:val="20"/>
          <w:szCs w:val="20"/>
          <w:color w:val="auto"/>
        </w:rPr>
      </w:pPr>
    </w:p>
    <w:tbl>
      <w:tblPr>
        <w:tblLayout w:type="fixed"/>
        <w:tblInd w:w="680" w:type="dxa"/>
        <w:tblCellMar>
          <w:top w:w="0" w:type="dxa"/>
          <w:left w:w="0" w:type="dxa"/>
          <w:bottom w:w="0" w:type="dxa"/>
          <w:right w:w="0" w:type="dxa"/>
        </w:tblCellMar>
      </w:tblPr>
      <w:tr>
        <w:trPr>
          <w:trHeight w:val="182"/>
        </w:trPr>
        <w:tc>
          <w:tcPr>
            <w:tcW w:w="9000" w:type="dxa"/>
            <w:vAlign w:val="bottom"/>
          </w:tcPr>
          <w:p>
            <w:pPr>
              <w:ind w:left="600"/>
              <w:spacing w:after="0"/>
              <w:rPr>
                <w:sz w:val="20"/>
                <w:szCs w:val="20"/>
                <w:color w:val="auto"/>
              </w:rPr>
            </w:pPr>
            <w:r>
              <w:rPr>
                <w:rFonts w:ascii="Arial" w:cs="Arial" w:eastAsia="Arial" w:hAnsi="Arial"/>
                <w:sz w:val="14"/>
                <w:szCs w:val="14"/>
                <w:color w:val="auto"/>
              </w:rPr>
              <w:t>Long-term borrowings at December 31, 2006 mature as follows:</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4"/>
        </w:trPr>
        <w:tc>
          <w:tcPr>
            <w:tcW w:w="9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ind w:left="40"/>
              <w:spacing w:after="0"/>
              <w:rPr>
                <w:sz w:val="20"/>
                <w:szCs w:val="20"/>
                <w:color w:val="auto"/>
              </w:rPr>
            </w:pPr>
            <w:r>
              <w:rPr>
                <w:rFonts w:ascii="Arial" w:cs="Arial" w:eastAsia="Arial" w:hAnsi="Arial"/>
                <w:sz w:val="10"/>
                <w:szCs w:val="10"/>
                <w:b w:val="1"/>
                <w:bCs w:val="1"/>
                <w:color w:val="auto"/>
              </w:rPr>
              <w:t>(In thousands)</w:t>
            </w:r>
          </w:p>
        </w:tc>
      </w:tr>
      <w:tr>
        <w:trPr>
          <w:trHeight w:val="29"/>
        </w:trPr>
        <w:tc>
          <w:tcPr>
            <w:tcW w:w="9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7"/>
        </w:trPr>
        <w:tc>
          <w:tcPr>
            <w:tcW w:w="9000" w:type="dxa"/>
            <w:vAlign w:val="bottom"/>
            <w:shd w:val="clear" w:color="auto" w:fill="CCEEFF"/>
          </w:tcPr>
          <w:p>
            <w:pPr>
              <w:spacing w:after="0"/>
              <w:rPr>
                <w:sz w:val="20"/>
                <w:szCs w:val="20"/>
                <w:color w:val="auto"/>
              </w:rPr>
            </w:pPr>
            <w:r>
              <w:rPr>
                <w:rFonts w:ascii="Arial" w:cs="Arial" w:eastAsia="Arial" w:hAnsi="Arial"/>
                <w:sz w:val="14"/>
                <w:szCs w:val="14"/>
                <w:color w:val="auto"/>
              </w:rPr>
              <w:t>Year ending December 31:</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7"/>
        </w:trPr>
        <w:tc>
          <w:tcPr>
            <w:tcW w:w="9000" w:type="dxa"/>
            <w:vAlign w:val="bottom"/>
          </w:tcPr>
          <w:p>
            <w:pPr>
              <w:ind w:left="140"/>
              <w:spacing w:after="0"/>
              <w:rPr>
                <w:sz w:val="20"/>
                <w:szCs w:val="20"/>
                <w:color w:val="auto"/>
              </w:rPr>
            </w:pPr>
            <w:r>
              <w:rPr>
                <w:rFonts w:ascii="Arial" w:cs="Arial" w:eastAsia="Arial" w:hAnsi="Arial"/>
                <w:sz w:val="14"/>
                <w:szCs w:val="14"/>
                <w:color w:val="auto"/>
              </w:rPr>
              <w:t>2007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518,543</w:t>
            </w:r>
          </w:p>
        </w:tc>
      </w:tr>
      <w:tr>
        <w:trPr>
          <w:trHeight w:val="167"/>
        </w:trPr>
        <w:tc>
          <w:tcPr>
            <w:tcW w:w="9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2008</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2,171,347</w:t>
            </w:r>
          </w:p>
        </w:tc>
        <w:tc>
          <w:tcPr>
            <w:tcW w:w="80" w:type="dxa"/>
            <w:vAlign w:val="bottom"/>
            <w:shd w:val="clear" w:color="auto" w:fill="CCEEFF"/>
          </w:tcPr>
          <w:p>
            <w:pPr>
              <w:spacing w:after="0"/>
              <w:rPr>
                <w:sz w:val="14"/>
                <w:szCs w:val="14"/>
                <w:color w:val="auto"/>
              </w:rPr>
            </w:pPr>
          </w:p>
        </w:tc>
      </w:tr>
      <w:tr>
        <w:trPr>
          <w:trHeight w:val="167"/>
        </w:trPr>
        <w:tc>
          <w:tcPr>
            <w:tcW w:w="9000" w:type="dxa"/>
            <w:vAlign w:val="bottom"/>
          </w:tcPr>
          <w:p>
            <w:pPr>
              <w:ind w:left="140"/>
              <w:spacing w:after="0"/>
              <w:rPr>
                <w:sz w:val="20"/>
                <w:szCs w:val="20"/>
                <w:color w:val="auto"/>
              </w:rPr>
            </w:pPr>
            <w:r>
              <w:rPr>
                <w:rFonts w:ascii="Arial" w:cs="Arial" w:eastAsia="Arial" w:hAnsi="Arial"/>
                <w:sz w:val="14"/>
                <w:szCs w:val="14"/>
                <w:color w:val="auto"/>
              </w:rPr>
              <w:t>2009</w:t>
            </w:r>
          </w:p>
        </w:tc>
        <w:tc>
          <w:tcPr>
            <w:tcW w:w="80" w:type="dxa"/>
            <w:vAlign w:val="bottom"/>
          </w:tcPr>
          <w:p>
            <w:pPr>
              <w:spacing w:after="0"/>
              <w:rPr>
                <w:sz w:val="14"/>
                <w:szCs w:val="14"/>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634,800</w:t>
            </w:r>
          </w:p>
        </w:tc>
      </w:tr>
      <w:tr>
        <w:trPr>
          <w:trHeight w:val="167"/>
        </w:trPr>
        <w:tc>
          <w:tcPr>
            <w:tcW w:w="9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2010</w:t>
            </w:r>
          </w:p>
        </w:tc>
        <w:tc>
          <w:tcPr>
            <w:tcW w:w="8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532,807</w:t>
            </w:r>
          </w:p>
        </w:tc>
      </w:tr>
      <w:tr>
        <w:trPr>
          <w:trHeight w:val="167"/>
        </w:trPr>
        <w:tc>
          <w:tcPr>
            <w:tcW w:w="9000" w:type="dxa"/>
            <w:vAlign w:val="bottom"/>
          </w:tcPr>
          <w:p>
            <w:pPr>
              <w:ind w:left="140"/>
              <w:spacing w:after="0"/>
              <w:rPr>
                <w:sz w:val="20"/>
                <w:szCs w:val="20"/>
                <w:color w:val="auto"/>
              </w:rPr>
            </w:pPr>
            <w:r>
              <w:rPr>
                <w:rFonts w:ascii="Arial" w:cs="Arial" w:eastAsia="Arial" w:hAnsi="Arial"/>
                <w:sz w:val="14"/>
                <w:szCs w:val="14"/>
                <w:color w:val="auto"/>
              </w:rPr>
              <w:t>2011</w:t>
            </w:r>
          </w:p>
        </w:tc>
        <w:tc>
          <w:tcPr>
            <w:tcW w:w="80" w:type="dxa"/>
            <w:vAlign w:val="bottom"/>
          </w:tcPr>
          <w:p>
            <w:pPr>
              <w:spacing w:after="0"/>
              <w:rPr>
                <w:sz w:val="14"/>
                <w:szCs w:val="14"/>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r>
      <w:tr>
        <w:trPr>
          <w:trHeight w:val="167"/>
        </w:trPr>
        <w:tc>
          <w:tcPr>
            <w:tcW w:w="9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Later years</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3,033,244</w:t>
            </w:r>
          </w:p>
        </w:tc>
        <w:tc>
          <w:tcPr>
            <w:tcW w:w="80" w:type="dxa"/>
            <w:vAlign w:val="bottom"/>
            <w:shd w:val="clear" w:color="auto" w:fill="CCEEFF"/>
          </w:tcPr>
          <w:p>
            <w:pPr>
              <w:spacing w:after="0"/>
              <w:rPr>
                <w:sz w:val="14"/>
                <w:szCs w:val="14"/>
                <w:color w:val="auto"/>
              </w:rPr>
            </w:pPr>
          </w:p>
        </w:tc>
      </w:tr>
      <w:tr>
        <w:trPr>
          <w:trHeight w:val="176"/>
        </w:trPr>
        <w:tc>
          <w:tcPr>
            <w:tcW w:w="90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6,890,741</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bl>
    <w:p>
      <w:pPr>
        <w:spacing w:after="0" w:line="160" w:lineRule="exact"/>
        <w:rPr>
          <w:sz w:val="20"/>
          <w:szCs w:val="20"/>
          <w:color w:val="auto"/>
        </w:rPr>
      </w:pPr>
    </w:p>
    <w:p>
      <w:pPr>
        <w:ind w:left="1180" w:hanging="493"/>
        <w:spacing w:after="0"/>
        <w:tabs>
          <w:tab w:leader="none" w:pos="1180" w:val="left"/>
        </w:tabs>
        <w:numPr>
          <w:ilvl w:val="0"/>
          <w:numId w:val="30"/>
        </w:numPr>
        <w:rPr>
          <w:rFonts w:ascii="Arial" w:cs="Arial" w:eastAsia="Arial" w:hAnsi="Arial"/>
          <w:sz w:val="14"/>
          <w:szCs w:val="14"/>
          <w:b w:val="1"/>
          <w:bCs w:val="1"/>
          <w:color w:val="auto"/>
        </w:rPr>
      </w:pPr>
      <w:r>
        <w:rPr>
          <w:rFonts w:ascii="Arial" w:cs="Arial" w:eastAsia="Arial" w:hAnsi="Arial"/>
          <w:sz w:val="14"/>
          <w:szCs w:val="14"/>
          <w:b w:val="1"/>
          <w:bCs w:val="1"/>
          <w:color w:val="auto"/>
        </w:rPr>
        <w:t>Stock-based compensation plans</w:t>
      </w:r>
    </w:p>
    <w:p>
      <w:pPr>
        <w:spacing w:after="0" w:line="22" w:lineRule="exact"/>
        <w:rPr>
          <w:sz w:val="20"/>
          <w:szCs w:val="20"/>
          <w:color w:val="auto"/>
        </w:rPr>
      </w:pPr>
    </w:p>
    <w:p>
      <w:pPr>
        <w:ind w:left="680" w:right="40"/>
        <w:spacing w:after="0" w:line="271" w:lineRule="auto"/>
        <w:rPr>
          <w:sz w:val="20"/>
          <w:szCs w:val="20"/>
          <w:color w:val="auto"/>
        </w:rPr>
      </w:pPr>
      <w:r>
        <w:rPr>
          <w:rFonts w:ascii="Arial" w:cs="Arial" w:eastAsia="Arial" w:hAnsi="Arial"/>
          <w:sz w:val="13"/>
          <w:szCs w:val="13"/>
          <w:color w:val="auto"/>
        </w:rPr>
        <w:t>The Company recognizes expense for stock-based compensation using the fair value method of accounting. For 2006, 2005 and 2004, the Company recognized $51 million, $45 million and $48 million, respectively, of stock-based compensation expense and $13 million, $11 million and $13 million, respectively, of related income tax benefits. As required, coincident with the adoption of SFAS No. 123R, the Company began accelerating the recognition of compensation costs for stock-based awards granted to retirement-eligible employees and employees who become retirement-eligible prior to full vesting of the award because the Company’s incentive compensation plans allow for vesting at the time an employee retires. Stock-based compensation granted to retirement-eligible individuals through December 31, 2005 was expensed over the normal vesting period with any remaining unrecognized compensation cost recognized at the time of retirement. This change affected the timing of stock-based compensation expense recognition in the Company’s consolidated financial statements for 2006, but did not affect the value ascribed to stock-based compensation granted to employees nor the aggregate amount of stock-based compensation expense to be recognized by the Company. The acceleration of such expense increased stock-based compensation expense for 2006 by $4 million ($3 million after taxes), and reduced basic and diluted earnings per share by $.03 from what would otherwise have been recognized in that period had the expense recognition not been accelerated. If not for this required change, the additional $4 million of stock-based compensation expense recognized in 2006 would have been recognized throughout 2007, 2008 and 2009 following the normal vesting schedule for stock options granted by the Company.</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Stock option plans</w:t>
      </w:r>
    </w:p>
    <w:p>
      <w:pPr>
        <w:spacing w:after="0" w:line="18" w:lineRule="exact"/>
        <w:rPr>
          <w:sz w:val="20"/>
          <w:szCs w:val="20"/>
          <w:color w:val="auto"/>
        </w:rPr>
      </w:pPr>
    </w:p>
    <w:p>
      <w:pPr>
        <w:ind w:left="680" w:right="60"/>
        <w:spacing w:after="0" w:line="268" w:lineRule="auto"/>
        <w:rPr>
          <w:sz w:val="20"/>
          <w:szCs w:val="20"/>
          <w:color w:val="auto"/>
        </w:rPr>
      </w:pPr>
      <w:r>
        <w:rPr>
          <w:rFonts w:ascii="Arial" w:cs="Arial" w:eastAsia="Arial" w:hAnsi="Arial"/>
          <w:sz w:val="13"/>
          <w:szCs w:val="13"/>
          <w:color w:val="auto"/>
        </w:rPr>
        <w:t>The Company’s 2005 Incentive Compensation Plan allows for the issuance of various forms of stock-based compensation, including stock options, restricted stock and performance-based awards. Through December 31, 2006, only stock options that vest with the passage of time as service is provided have been issued. Stock options issued generally vest over four years and are exercisable over terms not exceeding ten years and one day. In 2005, the Company granted 125,600 options to substantially all employees who had not been previously receiving awards. The options granted under that award vest three years after grant date and are exercisable for a period of seven years thereafter. The 2005 Incentive Compensation Plan allows for share grants not to exceed 6,000,000 shares of stock plus the shares that remained available for grant under a prior plan. At December 31, 2006 and 2005, respectively, there were 7,199,903 and 8,810,196 shares available for future grant.</w:t>
      </w:r>
    </w:p>
    <w:p>
      <w:pPr>
        <w:spacing w:after="0" w:line="1" w:lineRule="exact"/>
        <w:rPr>
          <w:sz w:val="20"/>
          <w:szCs w:val="20"/>
          <w:color w:val="auto"/>
        </w:rPr>
      </w:pPr>
    </w:p>
    <w:p>
      <w:pPr>
        <w:ind w:left="680" w:firstLine="599"/>
        <w:spacing w:after="0" w:line="276" w:lineRule="auto"/>
        <w:rPr>
          <w:sz w:val="20"/>
          <w:szCs w:val="20"/>
          <w:color w:val="auto"/>
        </w:rPr>
      </w:pPr>
      <w:r>
        <w:rPr>
          <w:rFonts w:ascii="Arial" w:cs="Arial" w:eastAsia="Arial" w:hAnsi="Arial"/>
          <w:sz w:val="13"/>
          <w:szCs w:val="13"/>
          <w:color w:val="auto"/>
        </w:rPr>
        <w:t>The Company used an option pricing model to estimate the grant date present value of stock options granted. The weighted-average estimated grant date value per option was $28.10 in 2006, $22.96 in 2005 and $22.64 in 2004. The values were calculated using the following weighted-average assumptions; an option term of 6.5 years (representing the estimated period between grant date and exercise date based on historical data); a risk-free interest rate of 4.28% in 2006, 3.95% in 2005 and 3.53% in 2004 (representing the yield on a U.S. Treasury security with a remaining term equal to the expected option term); expected volatility of 24% in 2006, 21% in 2005 and 24% in 2004 (based on historical volatility of M</w:t>
      </w:r>
      <w:r>
        <w:rPr>
          <w:rFonts w:ascii="Arial" w:cs="Arial" w:eastAsia="Arial" w:hAnsi="Arial"/>
          <w:sz w:val="12"/>
          <w:szCs w:val="12"/>
          <w:color w:val="auto"/>
        </w:rPr>
        <w:t>&amp;</w:t>
      </w:r>
      <w:r>
        <w:rPr>
          <w:rFonts w:ascii="Arial" w:cs="Arial" w:eastAsia="Arial" w:hAnsi="Arial"/>
          <w:sz w:val="13"/>
          <w:szCs w:val="13"/>
          <w:color w:val="auto"/>
        </w:rPr>
        <w:t>T’s common stock price); and estimated dividend yields of 1.65% in 2006, 1.57% in 2005</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5" w:name="page106"/>
    <w:bookmarkEnd w:id="10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60" w:lineRule="exact"/>
        <w:rPr>
          <w:sz w:val="20"/>
          <w:szCs w:val="20"/>
          <w:color w:val="auto"/>
        </w:rPr>
      </w:pPr>
    </w:p>
    <w:p>
      <w:pPr>
        <w:ind w:left="680"/>
        <w:spacing w:after="0" w:line="255" w:lineRule="auto"/>
        <w:rPr>
          <w:sz w:val="20"/>
          <w:szCs w:val="20"/>
          <w:color w:val="auto"/>
        </w:rPr>
      </w:pPr>
      <w:r>
        <w:rPr>
          <w:rFonts w:ascii="Arial" w:cs="Arial" w:eastAsia="Arial" w:hAnsi="Arial"/>
          <w:sz w:val="13"/>
          <w:szCs w:val="13"/>
          <w:color w:val="auto"/>
        </w:rPr>
        <w:t>and 1.31% in 2004 (representing the approximate annualized cash dividend rate paid with respect to a share of common stock at or near the grant date). Based on historical data and projected employee turnover rates, the Company reduced the estimated value of stock options for purposes of recognizing stock-based compensation expense by 7% in 2006 and 8% in 2005 and 2004 to reflect the probability of forfeiture prior to vesting. Aggregate fair value of options expected to vest that were granted in 2006, 2005 and 2004 were $49 million, $41 million and $47 million, respectively.</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A summary of stock option activity follows:</w:t>
      </w:r>
    </w:p>
    <w:p>
      <w:pPr>
        <w:spacing w:after="0" w:line="8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800" w:type="dxa"/>
            <w:vAlign w:val="bottom"/>
          </w:tcPr>
          <w:p>
            <w:pPr>
              <w:spacing w:after="0"/>
              <w:rPr>
                <w:sz w:val="10"/>
                <w:szCs w:val="10"/>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87"/>
              </w:rPr>
              <w:t>Stock</w:t>
            </w:r>
          </w:p>
        </w:tc>
        <w:tc>
          <w:tcPr>
            <w:tcW w:w="80" w:type="dxa"/>
            <w:vAlign w:val="bottom"/>
          </w:tcPr>
          <w:p>
            <w:pPr>
              <w:spacing w:after="0"/>
              <w:rPr>
                <w:sz w:val="10"/>
                <w:szCs w:val="10"/>
                <w:color w:val="auto"/>
              </w:rPr>
            </w:pPr>
          </w:p>
        </w:tc>
        <w:tc>
          <w:tcPr>
            <w:tcW w:w="1800" w:type="dxa"/>
            <w:vAlign w:val="bottom"/>
            <w:gridSpan w:val="4"/>
          </w:tcPr>
          <w:p>
            <w:pPr>
              <w:jc w:val="right"/>
              <w:ind w:right="720"/>
              <w:spacing w:after="0"/>
              <w:rPr>
                <w:sz w:val="20"/>
                <w:szCs w:val="20"/>
                <w:color w:val="auto"/>
              </w:rPr>
            </w:pPr>
            <w:r>
              <w:rPr>
                <w:rFonts w:ascii="Arial" w:cs="Arial" w:eastAsia="Arial" w:hAnsi="Arial"/>
                <w:sz w:val="10"/>
                <w:szCs w:val="10"/>
                <w:b w:val="1"/>
                <w:bCs w:val="1"/>
                <w:color w:val="auto"/>
              </w:rPr>
              <w:t>Weighted-Average</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2"/>
              </w:rPr>
              <w:t>Aggregate</w:t>
            </w:r>
          </w:p>
        </w:tc>
      </w:tr>
      <w:tr>
        <w:trPr>
          <w:trHeight w:val="81"/>
        </w:trPr>
        <w:tc>
          <w:tcPr>
            <w:tcW w:w="5800" w:type="dxa"/>
            <w:vAlign w:val="bottom"/>
          </w:tcPr>
          <w:p>
            <w:pPr>
              <w:spacing w:after="0"/>
              <w:rPr>
                <w:sz w:val="7"/>
                <w:szCs w:val="7"/>
                <w:color w:val="auto"/>
              </w:rPr>
            </w:pPr>
          </w:p>
        </w:tc>
        <w:tc>
          <w:tcPr>
            <w:tcW w:w="1220" w:type="dxa"/>
            <w:vAlign w:val="bottom"/>
            <w:gridSpan w:val="3"/>
          </w:tcPr>
          <w:p>
            <w:pPr>
              <w:jc w:val="center"/>
              <w:ind w:right="380"/>
              <w:spacing w:after="0" w:line="81" w:lineRule="exact"/>
              <w:rPr>
                <w:sz w:val="20"/>
                <w:szCs w:val="20"/>
                <w:color w:val="auto"/>
              </w:rPr>
            </w:pPr>
            <w:r>
              <w:rPr>
                <w:rFonts w:ascii="Arial" w:cs="Arial" w:eastAsia="Arial" w:hAnsi="Arial"/>
                <w:sz w:val="9"/>
                <w:szCs w:val="9"/>
                <w:b w:val="1"/>
                <w:bCs w:val="1"/>
                <w:color w:val="auto"/>
              </w:rPr>
              <w:t>Options</w:t>
            </w:r>
          </w:p>
        </w:tc>
        <w:tc>
          <w:tcPr>
            <w:tcW w:w="880" w:type="dxa"/>
            <w:vAlign w:val="bottom"/>
            <w:tcBorders>
              <w:top w:val="single" w:sz="8" w:color="auto"/>
            </w:tcBorders>
            <w:gridSpan w:val="3"/>
          </w:tcPr>
          <w:p>
            <w:pPr>
              <w:jc w:val="center"/>
              <w:ind w:right="380"/>
              <w:spacing w:after="0" w:line="81" w:lineRule="exact"/>
              <w:rPr>
                <w:sz w:val="20"/>
                <w:szCs w:val="20"/>
                <w:color w:val="auto"/>
              </w:rPr>
            </w:pPr>
            <w:r>
              <w:rPr>
                <w:rFonts w:ascii="Arial" w:cs="Arial" w:eastAsia="Arial" w:hAnsi="Arial"/>
                <w:sz w:val="9"/>
                <w:szCs w:val="9"/>
                <w:b w:val="1"/>
                <w:bCs w:val="1"/>
                <w:color w:val="auto"/>
              </w:rPr>
              <w:t>Exercise</w:t>
            </w:r>
          </w:p>
        </w:tc>
        <w:tc>
          <w:tcPr>
            <w:tcW w:w="600" w:type="dxa"/>
            <w:vAlign w:val="bottom"/>
            <w:tcBorders>
              <w:top w:val="single" w:sz="8" w:color="auto"/>
            </w:tcBorders>
          </w:tcPr>
          <w:p>
            <w:pPr>
              <w:jc w:val="right"/>
              <w:ind w:right="139"/>
              <w:spacing w:after="0" w:line="81" w:lineRule="exact"/>
              <w:rPr>
                <w:sz w:val="20"/>
                <w:szCs w:val="20"/>
                <w:color w:val="auto"/>
              </w:rPr>
            </w:pPr>
            <w:r>
              <w:rPr>
                <w:rFonts w:ascii="Arial" w:cs="Arial" w:eastAsia="Arial" w:hAnsi="Arial"/>
                <w:sz w:val="9"/>
                <w:szCs w:val="9"/>
                <w:b w:val="1"/>
                <w:bCs w:val="1"/>
                <w:color w:val="auto"/>
              </w:rPr>
              <w:t>Life</w:t>
            </w: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tcPr>
          <w:p>
            <w:pPr>
              <w:jc w:val="center"/>
              <w:ind w:right="200"/>
              <w:spacing w:after="0" w:line="81" w:lineRule="exact"/>
              <w:rPr>
                <w:sz w:val="20"/>
                <w:szCs w:val="20"/>
                <w:color w:val="auto"/>
              </w:rPr>
            </w:pPr>
            <w:r>
              <w:rPr>
                <w:rFonts w:ascii="Arial" w:cs="Arial" w:eastAsia="Arial" w:hAnsi="Arial"/>
                <w:sz w:val="9"/>
                <w:szCs w:val="9"/>
                <w:b w:val="1"/>
                <w:bCs w:val="1"/>
                <w:color w:val="auto"/>
              </w:rPr>
              <w:t>Intrinsic Value</w:t>
            </w:r>
          </w:p>
        </w:tc>
      </w:tr>
      <w:tr>
        <w:trPr>
          <w:trHeight w:val="125"/>
        </w:trPr>
        <w:tc>
          <w:tcPr>
            <w:tcW w:w="5800" w:type="dxa"/>
            <w:vAlign w:val="bottom"/>
          </w:tcPr>
          <w:p>
            <w:pPr>
              <w:spacing w:after="0"/>
              <w:rPr>
                <w:sz w:val="10"/>
                <w:szCs w:val="10"/>
                <w:color w:val="auto"/>
              </w:rPr>
            </w:pPr>
          </w:p>
        </w:tc>
        <w:tc>
          <w:tcPr>
            <w:tcW w:w="1220" w:type="dxa"/>
            <w:vAlign w:val="bottom"/>
            <w:gridSpan w:val="3"/>
          </w:tcPr>
          <w:p>
            <w:pPr>
              <w:jc w:val="center"/>
              <w:ind w:right="380"/>
              <w:spacing w:after="0"/>
              <w:rPr>
                <w:sz w:val="20"/>
                <w:szCs w:val="20"/>
                <w:color w:val="auto"/>
              </w:rPr>
            </w:pPr>
            <w:r>
              <w:rPr>
                <w:rFonts w:ascii="Arial" w:cs="Arial" w:eastAsia="Arial" w:hAnsi="Arial"/>
                <w:sz w:val="10"/>
                <w:szCs w:val="10"/>
                <w:b w:val="1"/>
                <w:bCs w:val="1"/>
                <w:color w:val="auto"/>
                <w:w w:val="95"/>
              </w:rPr>
              <w:t>Outstanding</w:t>
            </w:r>
          </w:p>
        </w:tc>
        <w:tc>
          <w:tcPr>
            <w:tcW w:w="80" w:type="dxa"/>
            <w:vAlign w:val="bottom"/>
          </w:tcPr>
          <w:p>
            <w:pPr>
              <w:spacing w:after="0"/>
              <w:rPr>
                <w:sz w:val="10"/>
                <w:szCs w:val="10"/>
                <w:color w:val="auto"/>
              </w:rPr>
            </w:pPr>
          </w:p>
        </w:tc>
        <w:tc>
          <w:tcPr>
            <w:tcW w:w="80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9"/>
              </w:rPr>
              <w:t>Price</w:t>
            </w:r>
          </w:p>
        </w:tc>
        <w:tc>
          <w:tcPr>
            <w:tcW w:w="1000" w:type="dxa"/>
            <w:vAlign w:val="bottom"/>
            <w:gridSpan w:val="2"/>
          </w:tcPr>
          <w:p>
            <w:pPr>
              <w:jc w:val="right"/>
              <w:ind w:right="480"/>
              <w:spacing w:after="0"/>
              <w:rPr>
                <w:sz w:val="20"/>
                <w:szCs w:val="20"/>
                <w:color w:val="auto"/>
              </w:rPr>
            </w:pPr>
            <w:r>
              <w:rPr>
                <w:rFonts w:ascii="Arial" w:cs="Arial" w:eastAsia="Arial" w:hAnsi="Arial"/>
                <w:sz w:val="10"/>
                <w:szCs w:val="10"/>
                <w:b w:val="1"/>
                <w:bCs w:val="1"/>
                <w:color w:val="auto"/>
              </w:rPr>
              <w:t>(In Years)</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7"/>
              </w:rPr>
              <w:t>(In Thousands)</w:t>
            </w:r>
          </w:p>
        </w:tc>
      </w:tr>
      <w:tr>
        <w:trPr>
          <w:trHeight w:val="29"/>
        </w:trPr>
        <w:tc>
          <w:tcPr>
            <w:tcW w:w="58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67"/>
        </w:trPr>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Outstanding at January 1, 2006</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10,454,663</w:t>
            </w: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73.81</w:t>
            </w: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5800" w:type="dxa"/>
            <w:vAlign w:val="bottom"/>
          </w:tcPr>
          <w:p>
            <w:pPr>
              <w:spacing w:after="0"/>
              <w:rPr>
                <w:sz w:val="20"/>
                <w:szCs w:val="20"/>
                <w:color w:val="auto"/>
              </w:rPr>
            </w:pPr>
            <w:r>
              <w:rPr>
                <w:rFonts w:ascii="Arial" w:cs="Arial" w:eastAsia="Arial" w:hAnsi="Arial"/>
                <w:sz w:val="14"/>
                <w:szCs w:val="14"/>
                <w:color w:val="auto"/>
              </w:rPr>
              <w:t>Granted</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1,726,458</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color w:val="auto"/>
                <w:w w:val="93"/>
              </w:rPr>
              <w:t>109.02</w:t>
            </w: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Exercised</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(1,407,496)</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55.13</w:t>
            </w:r>
          </w:p>
        </w:tc>
        <w:tc>
          <w:tcPr>
            <w:tcW w:w="6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5800" w:type="dxa"/>
            <w:vAlign w:val="bottom"/>
          </w:tcPr>
          <w:p>
            <w:pPr>
              <w:spacing w:after="0"/>
              <w:rPr>
                <w:sz w:val="20"/>
                <w:szCs w:val="20"/>
                <w:color w:val="auto"/>
              </w:rPr>
            </w:pPr>
            <w:r>
              <w:rPr>
                <w:rFonts w:ascii="Arial" w:cs="Arial" w:eastAsia="Arial" w:hAnsi="Arial"/>
                <w:sz w:val="14"/>
                <w:szCs w:val="14"/>
                <w:color w:val="auto"/>
              </w:rPr>
              <w:t>Cancelled</w:t>
            </w:r>
          </w:p>
        </w:tc>
        <w:tc>
          <w:tcPr>
            <w:tcW w:w="1220" w:type="dxa"/>
            <w:vAlign w:val="bottom"/>
            <w:gridSpan w:val="3"/>
          </w:tcPr>
          <w:p>
            <w:pPr>
              <w:jc w:val="right"/>
              <w:ind w:right="340"/>
              <w:spacing w:after="0"/>
              <w:rPr>
                <w:sz w:val="20"/>
                <w:szCs w:val="20"/>
                <w:color w:val="auto"/>
              </w:rPr>
            </w:pPr>
            <w:r>
              <w:rPr>
                <w:rFonts w:ascii="Arial" w:cs="Arial" w:eastAsia="Arial" w:hAnsi="Arial"/>
                <w:sz w:val="14"/>
                <w:szCs w:val="14"/>
                <w:color w:val="auto"/>
              </w:rPr>
              <w:t>(116,165)</w:t>
            </w:r>
          </w:p>
        </w:tc>
        <w:tc>
          <w:tcPr>
            <w:tcW w:w="8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color w:val="auto"/>
              </w:rPr>
              <w:t>98.98</w:t>
            </w: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5800" w:type="dxa"/>
            <w:vAlign w:val="bottom"/>
            <w:shd w:val="clear" w:color="auto" w:fill="CCEEFF"/>
          </w:tcPr>
          <w:p>
            <w:pPr>
              <w:spacing w:after="0"/>
              <w:rPr>
                <w:sz w:val="20"/>
                <w:szCs w:val="20"/>
                <w:color w:val="auto"/>
              </w:rPr>
            </w:pPr>
            <w:r>
              <w:rPr>
                <w:rFonts w:ascii="Arial" w:cs="Arial" w:eastAsia="Arial" w:hAnsi="Arial"/>
                <w:sz w:val="14"/>
                <w:szCs w:val="14"/>
                <w:color w:val="auto"/>
              </w:rPr>
              <w:t>Outstanding at December 31, 2006</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10,657,460</w:t>
            </w: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81.71</w:t>
            </w:r>
          </w:p>
        </w:tc>
        <w:tc>
          <w:tcPr>
            <w:tcW w:w="3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6.0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431,136</w:t>
            </w:r>
          </w:p>
        </w:tc>
      </w:tr>
      <w:tr>
        <w:trPr>
          <w:trHeight w:val="186"/>
        </w:trPr>
        <w:tc>
          <w:tcPr>
            <w:tcW w:w="5800" w:type="dxa"/>
            <w:vAlign w:val="bottom"/>
          </w:tcPr>
          <w:p>
            <w:pPr>
              <w:spacing w:after="0"/>
              <w:rPr>
                <w:sz w:val="20"/>
                <w:szCs w:val="20"/>
                <w:color w:val="auto"/>
              </w:rPr>
            </w:pPr>
            <w:r>
              <w:rPr>
                <w:rFonts w:ascii="Arial" w:cs="Arial" w:eastAsia="Arial" w:hAnsi="Arial"/>
                <w:sz w:val="14"/>
                <w:szCs w:val="14"/>
                <w:color w:val="auto"/>
              </w:rPr>
              <w:t>Exercisable at December 31, 2006</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5,674,317</w:t>
            </w:r>
          </w:p>
        </w:tc>
        <w:tc>
          <w:tcPr>
            <w:tcW w:w="2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66.33</w:t>
            </w:r>
          </w:p>
        </w:tc>
        <w:tc>
          <w:tcPr>
            <w:tcW w:w="380" w:type="dxa"/>
            <w:vAlign w:val="bottom"/>
          </w:tcPr>
          <w:p>
            <w:pPr>
              <w:spacing w:after="0"/>
              <w:rPr>
                <w:sz w:val="16"/>
                <w:szCs w:val="16"/>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4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316,820</w:t>
            </w:r>
          </w:p>
        </w:tc>
        <w:tc>
          <w:tcPr>
            <w:tcW w:w="100" w:type="dxa"/>
            <w:vAlign w:val="bottom"/>
          </w:tcPr>
          <w:p>
            <w:pPr>
              <w:spacing w:after="0"/>
              <w:rPr>
                <w:sz w:val="16"/>
                <w:szCs w:val="16"/>
                <w:color w:val="auto"/>
              </w:rPr>
            </w:pPr>
          </w:p>
        </w:tc>
      </w:tr>
    </w:tbl>
    <w:p>
      <w:pPr>
        <w:spacing w:after="0" w:line="86" w:lineRule="exact"/>
        <w:rPr>
          <w:sz w:val="20"/>
          <w:szCs w:val="20"/>
          <w:color w:val="auto"/>
        </w:rPr>
      </w:pPr>
    </w:p>
    <w:p>
      <w:pPr>
        <w:ind w:left="680" w:right="60" w:firstLine="599"/>
        <w:spacing w:after="0" w:line="255" w:lineRule="auto"/>
        <w:rPr>
          <w:sz w:val="20"/>
          <w:szCs w:val="20"/>
          <w:color w:val="auto"/>
        </w:rPr>
      </w:pPr>
      <w:r>
        <w:rPr>
          <w:rFonts w:ascii="Arial" w:cs="Arial" w:eastAsia="Arial" w:hAnsi="Arial"/>
          <w:sz w:val="14"/>
          <w:szCs w:val="14"/>
          <w:color w:val="auto"/>
        </w:rPr>
        <w:t>For 2006, 2005 and 2004, M</w:t>
      </w:r>
      <w:r>
        <w:rPr>
          <w:rFonts w:ascii="Arial" w:cs="Arial" w:eastAsia="Arial" w:hAnsi="Arial"/>
          <w:sz w:val="13"/>
          <w:szCs w:val="13"/>
          <w:color w:val="auto"/>
        </w:rPr>
        <w:t>&amp;</w:t>
      </w:r>
      <w:r>
        <w:rPr>
          <w:rFonts w:ascii="Arial" w:cs="Arial" w:eastAsia="Arial" w:hAnsi="Arial"/>
          <w:sz w:val="14"/>
          <w:szCs w:val="14"/>
          <w:color w:val="auto"/>
        </w:rPr>
        <w:t>T received $68 million, $85 million and $60 million, respectively, in cash and realized $27 million, $31 million and $30 million, respectively, in tax benefits from the exercise of stock options. The intrinsic value of stock options exercised during those periods was $86 million, $92 million and $93 million, respectively. As of December 31, 2006, there was $42 million of total unrecognized compensation cost related to non-vested stock options. That cost is expected to be recognized over a weighted-average period of 1.5 years. The total grant date fair value of stock options vested during 2006, 2005 and 2004 was $37 million, $41 million and $36 million, respectively. Upon the exercise of stock options, the Company generally issues shares from treasury stock to the extent available, but may also issue new shares.</w:t>
      </w:r>
    </w:p>
    <w:p>
      <w:pPr>
        <w:spacing w:after="0" w:line="143"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Stock purchase plan</w:t>
      </w:r>
    </w:p>
    <w:p>
      <w:pPr>
        <w:spacing w:after="0" w:line="18" w:lineRule="exact"/>
        <w:rPr>
          <w:sz w:val="20"/>
          <w:szCs w:val="20"/>
          <w:color w:val="auto"/>
        </w:rPr>
      </w:pPr>
    </w:p>
    <w:p>
      <w:pPr>
        <w:ind w:left="680" w:right="40"/>
        <w:spacing w:after="0" w:line="249" w:lineRule="auto"/>
        <w:rPr>
          <w:sz w:val="20"/>
          <w:szCs w:val="20"/>
          <w:color w:val="auto"/>
        </w:rPr>
      </w:pPr>
      <w:r>
        <w:rPr>
          <w:rFonts w:ascii="Arial" w:cs="Arial" w:eastAsia="Arial" w:hAnsi="Arial"/>
          <w:sz w:val="14"/>
          <w:szCs w:val="14"/>
          <w:color w:val="auto"/>
        </w:rPr>
        <w:t>The stock purchase plan provides eligible employees of the Company with the right to purchase shares of M</w:t>
      </w:r>
      <w:r>
        <w:rPr>
          <w:rFonts w:ascii="Arial" w:cs="Arial" w:eastAsia="Arial" w:hAnsi="Arial"/>
          <w:sz w:val="13"/>
          <w:szCs w:val="13"/>
          <w:color w:val="auto"/>
        </w:rPr>
        <w:t>&amp;</w:t>
      </w:r>
      <w:r>
        <w:rPr>
          <w:rFonts w:ascii="Arial" w:cs="Arial" w:eastAsia="Arial" w:hAnsi="Arial"/>
          <w:sz w:val="14"/>
          <w:szCs w:val="14"/>
          <w:color w:val="auto"/>
        </w:rPr>
        <w:t>T common stock through accumulated payroll deductions. Shares of M</w:t>
      </w:r>
      <w:r>
        <w:rPr>
          <w:rFonts w:ascii="Arial" w:cs="Arial" w:eastAsia="Arial" w:hAnsi="Arial"/>
          <w:sz w:val="13"/>
          <w:szCs w:val="13"/>
          <w:color w:val="auto"/>
        </w:rPr>
        <w:t>&amp;</w:t>
      </w:r>
      <w:r>
        <w:rPr>
          <w:rFonts w:ascii="Arial" w:cs="Arial" w:eastAsia="Arial" w:hAnsi="Arial"/>
          <w:sz w:val="14"/>
          <w:szCs w:val="14"/>
          <w:color w:val="auto"/>
        </w:rPr>
        <w:t>T common stock will be issued at the end of an option period, typically one year or six months. In connection with the employee stock purchase plan, 1,000,000 shares of M</w:t>
      </w:r>
      <w:r>
        <w:rPr>
          <w:rFonts w:ascii="Arial" w:cs="Arial" w:eastAsia="Arial" w:hAnsi="Arial"/>
          <w:sz w:val="13"/>
          <w:szCs w:val="13"/>
          <w:color w:val="auto"/>
        </w:rPr>
        <w:t>&amp;</w:t>
      </w:r>
      <w:r>
        <w:rPr>
          <w:rFonts w:ascii="Arial" w:cs="Arial" w:eastAsia="Arial" w:hAnsi="Arial"/>
          <w:sz w:val="14"/>
          <w:szCs w:val="14"/>
          <w:color w:val="auto"/>
        </w:rPr>
        <w:t>T common stock were authorized for issuance, of which 392,955 shares have been issued, including 102,400 shares in 2006, 103,694 shares in 2005 and 104,378 shares in 2004. For 2006, 2005 and 2004, M</w:t>
      </w:r>
      <w:r>
        <w:rPr>
          <w:rFonts w:ascii="Arial" w:cs="Arial" w:eastAsia="Arial" w:hAnsi="Arial"/>
          <w:sz w:val="13"/>
          <w:szCs w:val="13"/>
          <w:color w:val="auto"/>
        </w:rPr>
        <w:t>&amp;</w:t>
      </w:r>
      <w:r>
        <w:rPr>
          <w:rFonts w:ascii="Arial" w:cs="Arial" w:eastAsia="Arial" w:hAnsi="Arial"/>
          <w:sz w:val="14"/>
          <w:szCs w:val="14"/>
          <w:color w:val="auto"/>
        </w:rPr>
        <w:t>T received $10 million, $9 million and $8 million, respectively, in cash for shares purchased through the employee stock purchase plan.</w:t>
      </w:r>
    </w:p>
    <w:p>
      <w:pPr>
        <w:jc w:val="both"/>
        <w:ind w:left="680" w:right="120" w:firstLine="599"/>
        <w:spacing w:after="0" w:line="290" w:lineRule="auto"/>
        <w:rPr>
          <w:sz w:val="20"/>
          <w:szCs w:val="20"/>
          <w:color w:val="auto"/>
        </w:rPr>
      </w:pPr>
      <w:r>
        <w:rPr>
          <w:rFonts w:ascii="Arial" w:cs="Arial" w:eastAsia="Arial" w:hAnsi="Arial"/>
          <w:sz w:val="12"/>
          <w:szCs w:val="12"/>
          <w:color w:val="auto"/>
        </w:rPr>
        <w:t>Similar to the stock option plans, the Company used an option pricing model to estimate the grant date present value of purchase rights under the stock purchase plan. The estimated weighted-average grant date value per right was $16.43 in 2006, $14.44 in 2005 and $11.93 in 2004. Such values were calculated using the following weighted-average assumptions: a term of six months to one year (representing the period between grant date and exercise date); a risk-free interest rate of 4.95% in 2006,</w:t>
      </w:r>
    </w:p>
    <w:p>
      <w:pPr>
        <w:spacing w:after="0" w:line="1" w:lineRule="exact"/>
        <w:rPr>
          <w:sz w:val="20"/>
          <w:szCs w:val="20"/>
          <w:color w:val="auto"/>
        </w:rPr>
      </w:pPr>
    </w:p>
    <w:p>
      <w:pPr>
        <w:ind w:left="680" w:right="180"/>
        <w:spacing w:after="0" w:line="256" w:lineRule="auto"/>
        <w:rPr>
          <w:sz w:val="20"/>
          <w:szCs w:val="20"/>
          <w:color w:val="auto"/>
        </w:rPr>
      </w:pPr>
      <w:r>
        <w:rPr>
          <w:rFonts w:ascii="Arial" w:cs="Arial" w:eastAsia="Arial" w:hAnsi="Arial"/>
          <w:sz w:val="14"/>
          <w:szCs w:val="14"/>
          <w:color w:val="auto"/>
        </w:rPr>
        <w:t>3.64% in 2005 and 1.84% in 2004 (representing the yield on a U.S. Treasury security with a like term); expected volatility of 14% in 2006, 16% in 2005 and 17% in 2004 (based on historical volatility of M</w:t>
      </w:r>
      <w:r>
        <w:rPr>
          <w:rFonts w:ascii="Arial" w:cs="Arial" w:eastAsia="Arial" w:hAnsi="Arial"/>
          <w:sz w:val="13"/>
          <w:szCs w:val="13"/>
          <w:color w:val="auto"/>
        </w:rPr>
        <w:t>&amp;</w:t>
      </w:r>
      <w:r>
        <w:rPr>
          <w:rFonts w:ascii="Arial" w:cs="Arial" w:eastAsia="Arial" w:hAnsi="Arial"/>
          <w:sz w:val="14"/>
          <w:szCs w:val="14"/>
          <w:color w:val="auto"/>
        </w:rPr>
        <w:t>T’s common stock price); and an estimated dividend yield of 1.96% in 2006, 1.67% in 2005 and 1.68% in 2004 (representing the approximate annualized cash dividend rate paid with respect to a share of common stock at or near the grant date).</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Deferred bonus plan</w:t>
      </w:r>
    </w:p>
    <w:p>
      <w:pPr>
        <w:spacing w:after="0" w:line="18" w:lineRule="exact"/>
        <w:rPr>
          <w:sz w:val="20"/>
          <w:szCs w:val="20"/>
          <w:color w:val="auto"/>
        </w:rPr>
      </w:pPr>
    </w:p>
    <w:p>
      <w:pPr>
        <w:ind w:left="680" w:right="20"/>
        <w:spacing w:after="0" w:line="256" w:lineRule="auto"/>
        <w:rPr>
          <w:sz w:val="20"/>
          <w:szCs w:val="20"/>
          <w:color w:val="auto"/>
        </w:rPr>
      </w:pPr>
      <w:r>
        <w:rPr>
          <w:rFonts w:ascii="Arial" w:cs="Arial" w:eastAsia="Arial" w:hAnsi="Arial"/>
          <w:sz w:val="14"/>
          <w:szCs w:val="14"/>
          <w:color w:val="auto"/>
        </w:rPr>
        <w:t>The Company provides a deferred bonus plan pursuant to which eligible employees may elect to defer all or a portion of their current annual incentive compensation awards and allocate such awards to several investment options, including M</w:t>
      </w:r>
      <w:r>
        <w:rPr>
          <w:rFonts w:ascii="Arial" w:cs="Arial" w:eastAsia="Arial" w:hAnsi="Arial"/>
          <w:sz w:val="13"/>
          <w:szCs w:val="13"/>
          <w:color w:val="auto"/>
        </w:rPr>
        <w:t>&amp;</w:t>
      </w:r>
      <w:r>
        <w:rPr>
          <w:rFonts w:ascii="Arial" w:cs="Arial" w:eastAsia="Arial" w:hAnsi="Arial"/>
          <w:sz w:val="14"/>
          <w:szCs w:val="14"/>
          <w:color w:val="auto"/>
        </w:rPr>
        <w:t>T common stock. Participants may elect the timing of distributions from the plan. Such distributions are payable in cash with the exception of balances allocated to M</w:t>
      </w:r>
      <w:r>
        <w:rPr>
          <w:rFonts w:ascii="Arial" w:cs="Arial" w:eastAsia="Arial" w:hAnsi="Arial"/>
          <w:sz w:val="13"/>
          <w:szCs w:val="13"/>
          <w:color w:val="auto"/>
        </w:rPr>
        <w:t>&amp;</w:t>
      </w:r>
      <w:r>
        <w:rPr>
          <w:rFonts w:ascii="Arial" w:cs="Arial" w:eastAsia="Arial" w:hAnsi="Arial"/>
          <w:sz w:val="14"/>
          <w:szCs w:val="14"/>
          <w:color w:val="auto"/>
        </w:rPr>
        <w:t>T</w:t>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6" w:name="page107"/>
    <w:bookmarkEnd w:id="10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56" w:lineRule="exact"/>
        <w:rPr>
          <w:sz w:val="20"/>
          <w:szCs w:val="20"/>
          <w:color w:val="auto"/>
        </w:rPr>
      </w:pPr>
    </w:p>
    <w:p>
      <w:pPr>
        <w:jc w:val="both"/>
        <w:ind w:left="680" w:right="1080"/>
        <w:spacing w:after="0" w:line="265" w:lineRule="auto"/>
        <w:rPr>
          <w:sz w:val="20"/>
          <w:szCs w:val="20"/>
          <w:color w:val="auto"/>
        </w:rPr>
      </w:pPr>
      <w:r>
        <w:rPr>
          <w:rFonts w:ascii="Arial" w:cs="Arial" w:eastAsia="Arial" w:hAnsi="Arial"/>
          <w:sz w:val="13"/>
          <w:szCs w:val="13"/>
          <w:color w:val="auto"/>
        </w:rPr>
        <w:t>common stock which are distributable in the form of M&amp;</w:t>
      </w:r>
      <w:r>
        <w:rPr>
          <w:rFonts w:ascii="Arial" w:cs="Arial" w:eastAsia="Arial" w:hAnsi="Arial"/>
          <w:sz w:val="14"/>
          <w:szCs w:val="14"/>
          <w:color w:val="auto"/>
        </w:rPr>
        <w:t>T common stock. Shares of M</w:t>
      </w:r>
      <w:r>
        <w:rPr>
          <w:rFonts w:ascii="Arial" w:cs="Arial" w:eastAsia="Arial" w:hAnsi="Arial"/>
          <w:sz w:val="13"/>
          <w:szCs w:val="13"/>
          <w:color w:val="auto"/>
        </w:rPr>
        <w:t>&amp;</w:t>
      </w:r>
      <w:r>
        <w:rPr>
          <w:rFonts w:ascii="Arial" w:cs="Arial" w:eastAsia="Arial" w:hAnsi="Arial"/>
          <w:sz w:val="14"/>
          <w:szCs w:val="14"/>
          <w:color w:val="auto"/>
        </w:rPr>
        <w:t>T common stock distributable pursuant to the terms of the deferred bonus plan were</w:t>
      </w:r>
      <w:r>
        <w:rPr>
          <w:rFonts w:ascii="Arial" w:cs="Arial" w:eastAsia="Arial" w:hAnsi="Arial"/>
          <w:sz w:val="13"/>
          <w:szCs w:val="13"/>
          <w:color w:val="auto"/>
        </w:rPr>
        <w:t xml:space="preserve"> </w:t>
      </w:r>
      <w:r>
        <w:rPr>
          <w:rFonts w:ascii="Arial" w:cs="Arial" w:eastAsia="Arial" w:hAnsi="Arial"/>
          <w:sz w:val="14"/>
          <w:szCs w:val="14"/>
          <w:color w:val="auto"/>
        </w:rPr>
        <w:t>61,757 and 70,132 at December 31, 2006 and 2005, respectively. The obligation to issue shares is included in common stock issuable in the consolidated balance sheet. Through December 31, 2006, 91,407 shares have been issued in connection with the deferred bonus plan.</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Directors’ stock plan</w:t>
      </w:r>
    </w:p>
    <w:p>
      <w:pPr>
        <w:spacing w:after="0" w:line="18" w:lineRule="exact"/>
        <w:rPr>
          <w:sz w:val="20"/>
          <w:szCs w:val="20"/>
          <w:color w:val="auto"/>
        </w:rPr>
      </w:pPr>
    </w:p>
    <w:p>
      <w:pPr>
        <w:ind w:left="680" w:right="820"/>
        <w:spacing w:after="0" w:line="249" w:lineRule="auto"/>
        <w:rPr>
          <w:sz w:val="20"/>
          <w:szCs w:val="20"/>
          <w:color w:val="auto"/>
        </w:rPr>
      </w:pPr>
      <w:r>
        <w:rPr>
          <w:rFonts w:ascii="Arial" w:cs="Arial" w:eastAsia="Arial" w:hAnsi="Arial"/>
          <w:sz w:val="14"/>
          <w:szCs w:val="14"/>
          <w:color w:val="auto"/>
        </w:rPr>
        <w:t>The Company maintains a compensation plan for non-employee members of the Company’s boards of directors and directors advisory councils that allows such members to receive all or a portion of their compensation in shares of M</w:t>
      </w:r>
      <w:r>
        <w:rPr>
          <w:rFonts w:ascii="Arial" w:cs="Arial" w:eastAsia="Arial" w:hAnsi="Arial"/>
          <w:sz w:val="13"/>
          <w:szCs w:val="13"/>
          <w:color w:val="auto"/>
        </w:rPr>
        <w:t>&amp;</w:t>
      </w:r>
      <w:r>
        <w:rPr>
          <w:rFonts w:ascii="Arial" w:cs="Arial" w:eastAsia="Arial" w:hAnsi="Arial"/>
          <w:sz w:val="14"/>
          <w:szCs w:val="14"/>
          <w:color w:val="auto"/>
        </w:rPr>
        <w:t>T common stock. Through December 31, 2006, 81,603 shares have been issued in connection with the directors’ stock plan.</w:t>
      </w:r>
    </w:p>
    <w:p>
      <w:pPr>
        <w:jc w:val="both"/>
        <w:ind w:left="680" w:right="940" w:firstLine="599"/>
        <w:spacing w:after="0" w:line="256" w:lineRule="auto"/>
        <w:rPr>
          <w:sz w:val="20"/>
          <w:szCs w:val="20"/>
          <w:color w:val="auto"/>
        </w:rPr>
      </w:pPr>
      <w:r>
        <w:rPr>
          <w:rFonts w:ascii="Arial" w:cs="Arial" w:eastAsia="Arial" w:hAnsi="Arial"/>
          <w:sz w:val="14"/>
          <w:szCs w:val="14"/>
          <w:color w:val="auto"/>
        </w:rPr>
        <w:t>Through an acquisition, the Company assumed an obligation to issue shares of M</w:t>
      </w:r>
      <w:r>
        <w:rPr>
          <w:rFonts w:ascii="Arial" w:cs="Arial" w:eastAsia="Arial" w:hAnsi="Arial"/>
          <w:sz w:val="13"/>
          <w:szCs w:val="13"/>
          <w:color w:val="auto"/>
        </w:rPr>
        <w:t>&amp;</w:t>
      </w:r>
      <w:r>
        <w:rPr>
          <w:rFonts w:ascii="Arial" w:cs="Arial" w:eastAsia="Arial" w:hAnsi="Arial"/>
          <w:sz w:val="14"/>
          <w:szCs w:val="14"/>
          <w:color w:val="auto"/>
        </w:rPr>
        <w:t>T common stock related to a deferred directors compensation plan. Shares of common stock issuable under such plan were 29,192 and 30,166 at December 31, 2006 and 2005, respectively. The obligation to issue shares is included in common stock issuable in the consolidated balance sheet.</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Management stock ownership program</w:t>
      </w:r>
    </w:p>
    <w:p>
      <w:pPr>
        <w:spacing w:after="0" w:line="18" w:lineRule="exact"/>
        <w:rPr>
          <w:sz w:val="20"/>
          <w:szCs w:val="20"/>
          <w:color w:val="auto"/>
        </w:rPr>
      </w:pPr>
    </w:p>
    <w:p>
      <w:pPr>
        <w:ind w:left="680" w:right="820"/>
        <w:spacing w:after="0" w:line="256" w:lineRule="auto"/>
        <w:rPr>
          <w:sz w:val="20"/>
          <w:szCs w:val="20"/>
          <w:color w:val="auto"/>
        </w:rPr>
      </w:pPr>
      <w:r>
        <w:rPr>
          <w:rFonts w:ascii="Arial" w:cs="Arial" w:eastAsia="Arial" w:hAnsi="Arial"/>
          <w:sz w:val="14"/>
          <w:szCs w:val="14"/>
          <w:color w:val="auto"/>
        </w:rPr>
        <w:t>Through an acquisition, M</w:t>
      </w:r>
      <w:r>
        <w:rPr>
          <w:rFonts w:ascii="Arial" w:cs="Arial" w:eastAsia="Arial" w:hAnsi="Arial"/>
          <w:sz w:val="13"/>
          <w:szCs w:val="13"/>
          <w:color w:val="auto"/>
        </w:rPr>
        <w:t>&amp;</w:t>
      </w:r>
      <w:r>
        <w:rPr>
          <w:rFonts w:ascii="Arial" w:cs="Arial" w:eastAsia="Arial" w:hAnsi="Arial"/>
          <w:sz w:val="14"/>
          <w:szCs w:val="14"/>
          <w:color w:val="auto"/>
        </w:rPr>
        <w:t>T obtained loans that are secured by M</w:t>
      </w:r>
      <w:r>
        <w:rPr>
          <w:rFonts w:ascii="Arial" w:cs="Arial" w:eastAsia="Arial" w:hAnsi="Arial"/>
          <w:sz w:val="13"/>
          <w:szCs w:val="13"/>
          <w:color w:val="auto"/>
        </w:rPr>
        <w:t>&amp;</w:t>
      </w:r>
      <w:r>
        <w:rPr>
          <w:rFonts w:ascii="Arial" w:cs="Arial" w:eastAsia="Arial" w:hAnsi="Arial"/>
          <w:sz w:val="14"/>
          <w:szCs w:val="14"/>
          <w:color w:val="auto"/>
        </w:rPr>
        <w:t>T common stock purchased by former executives of the acquired entity. At December 31, 2006 and 2005, the loan amounts owed M</w:t>
      </w:r>
      <w:r>
        <w:rPr>
          <w:rFonts w:ascii="Arial" w:cs="Arial" w:eastAsia="Arial" w:hAnsi="Arial"/>
          <w:sz w:val="13"/>
          <w:szCs w:val="13"/>
          <w:color w:val="auto"/>
        </w:rPr>
        <w:t>&amp;</w:t>
      </w:r>
      <w:r>
        <w:rPr>
          <w:rFonts w:ascii="Arial" w:cs="Arial" w:eastAsia="Arial" w:hAnsi="Arial"/>
          <w:sz w:val="14"/>
          <w:szCs w:val="14"/>
          <w:color w:val="auto"/>
        </w:rPr>
        <w:t>T were less than the fair value of the financed stock purchased and totaled $4 million. Such loans are classified as a reduction of additional paid-in capital in the consolidated balance sheet. The amounts are due to M</w:t>
      </w:r>
      <w:r>
        <w:rPr>
          <w:rFonts w:ascii="Arial" w:cs="Arial" w:eastAsia="Arial" w:hAnsi="Arial"/>
          <w:sz w:val="13"/>
          <w:szCs w:val="13"/>
          <w:color w:val="auto"/>
        </w:rPr>
        <w:t>&amp;</w:t>
      </w:r>
      <w:r>
        <w:rPr>
          <w:rFonts w:ascii="Arial" w:cs="Arial" w:eastAsia="Arial" w:hAnsi="Arial"/>
          <w:sz w:val="14"/>
          <w:szCs w:val="14"/>
          <w:color w:val="auto"/>
        </w:rPr>
        <w:t>T no later than October 5, 2010.</w:t>
      </w:r>
    </w:p>
    <w:p>
      <w:pPr>
        <w:spacing w:after="0" w:line="137" w:lineRule="exact"/>
        <w:rPr>
          <w:sz w:val="20"/>
          <w:szCs w:val="20"/>
          <w:color w:val="auto"/>
        </w:rPr>
      </w:pPr>
    </w:p>
    <w:p>
      <w:pPr>
        <w:ind w:left="1180" w:hanging="493"/>
        <w:spacing w:after="0"/>
        <w:tabs>
          <w:tab w:leader="none" w:pos="1180" w:val="left"/>
        </w:tabs>
        <w:numPr>
          <w:ilvl w:val="0"/>
          <w:numId w:val="31"/>
        </w:numPr>
        <w:rPr>
          <w:rFonts w:ascii="Arial" w:cs="Arial" w:eastAsia="Arial" w:hAnsi="Arial"/>
          <w:sz w:val="14"/>
          <w:szCs w:val="14"/>
          <w:b w:val="1"/>
          <w:bCs w:val="1"/>
          <w:color w:val="auto"/>
        </w:rPr>
      </w:pPr>
      <w:r>
        <w:rPr>
          <w:rFonts w:ascii="Arial" w:cs="Arial" w:eastAsia="Arial" w:hAnsi="Arial"/>
          <w:sz w:val="14"/>
          <w:szCs w:val="14"/>
          <w:b w:val="1"/>
          <w:bCs w:val="1"/>
          <w:color w:val="auto"/>
        </w:rPr>
        <w:t>Pension plans and other postretirement benefits</w:t>
      </w:r>
    </w:p>
    <w:p>
      <w:pPr>
        <w:spacing w:after="0" w:line="22" w:lineRule="exact"/>
        <w:rPr>
          <w:sz w:val="20"/>
          <w:szCs w:val="20"/>
          <w:color w:val="auto"/>
        </w:rPr>
      </w:pPr>
    </w:p>
    <w:p>
      <w:pPr>
        <w:ind w:left="680" w:right="960"/>
        <w:spacing w:after="0" w:line="249" w:lineRule="auto"/>
        <w:rPr>
          <w:sz w:val="20"/>
          <w:szCs w:val="20"/>
          <w:color w:val="auto"/>
        </w:rPr>
      </w:pPr>
      <w:r>
        <w:rPr>
          <w:rFonts w:ascii="Arial" w:cs="Arial" w:eastAsia="Arial" w:hAnsi="Arial"/>
          <w:sz w:val="14"/>
          <w:szCs w:val="14"/>
          <w:color w:val="auto"/>
        </w:rPr>
        <w:t>The Company provides pension (defined benefit and defined contribution plans) and other postretirement benefits (including defined benefit health care and life insurance plans) to qualified retired employees. The Company uses a December 31 measurement date for all of its plans.</w:t>
      </w:r>
    </w:p>
    <w:p>
      <w:pPr>
        <w:ind w:left="1280"/>
        <w:spacing w:after="0"/>
        <w:rPr>
          <w:sz w:val="20"/>
          <w:szCs w:val="20"/>
          <w:color w:val="auto"/>
        </w:rPr>
      </w:pPr>
      <w:r>
        <w:rPr>
          <w:rFonts w:ascii="Arial" w:cs="Arial" w:eastAsia="Arial" w:hAnsi="Arial"/>
          <w:sz w:val="14"/>
          <w:szCs w:val="14"/>
          <w:color w:val="auto"/>
        </w:rPr>
        <w:t>Net periodic pension expense for defined benefit plans consisted of the following: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8"/>
          </w:tcPr>
          <w:p>
            <w:pPr>
              <w:jc w:val="center"/>
              <w:ind w:right="240"/>
              <w:spacing w:after="0"/>
              <w:rPr>
                <w:sz w:val="20"/>
                <w:szCs w:val="20"/>
                <w:color w:val="auto"/>
              </w:rPr>
            </w:pPr>
            <w:r>
              <w:rPr>
                <w:rFonts w:ascii="Arial" w:cs="Arial" w:eastAsia="Arial" w:hAnsi="Arial"/>
                <w:sz w:val="10"/>
                <w:szCs w:val="10"/>
                <w:b w:val="1"/>
                <w:bCs w:val="1"/>
                <w:color w:val="auto"/>
                <w:w w:val="94"/>
              </w:rPr>
              <w:t>Year Ended December 31</w:t>
            </w: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70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30"/>
              <w:spacing w:after="0" w:line="98" w:lineRule="exact"/>
              <w:rPr>
                <w:sz w:val="20"/>
                <w:szCs w:val="20"/>
                <w:color w:val="auto"/>
              </w:rPr>
            </w:pPr>
            <w:r>
              <w:rPr>
                <w:rFonts w:ascii="Arial" w:cs="Arial" w:eastAsia="Arial" w:hAnsi="Arial"/>
                <w:sz w:val="10"/>
                <w:szCs w:val="10"/>
                <w:b w:val="1"/>
                <w:bCs w:val="1"/>
                <w:color w:val="auto"/>
              </w:rPr>
              <w:t>2006</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89"/>
              </w:rPr>
              <w:t>2005</w:t>
            </w:r>
          </w:p>
        </w:tc>
        <w:tc>
          <w:tcPr>
            <w:tcW w:w="2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3"/>
          </w:tcPr>
          <w:p>
            <w:pPr>
              <w:jc w:val="right"/>
              <w:ind w:right="110"/>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31"/>
        </w:trPr>
        <w:tc>
          <w:tcPr>
            <w:tcW w:w="68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4"/>
          </w:tcPr>
          <w:p>
            <w:pPr>
              <w:jc w:val="center"/>
              <w:spacing w:after="0"/>
              <w:rPr>
                <w:sz w:val="20"/>
                <w:szCs w:val="20"/>
                <w:color w:val="auto"/>
              </w:rPr>
            </w:pPr>
            <w:r>
              <w:rPr>
                <w:rFonts w:ascii="Arial" w:cs="Arial" w:eastAsia="Arial" w:hAnsi="Arial"/>
                <w:sz w:val="10"/>
                <w:szCs w:val="10"/>
                <w:b w:val="1"/>
                <w:bCs w:val="1"/>
                <w:color w:val="auto"/>
                <w:w w:val="92"/>
              </w:rPr>
              <w:t>(In thousands)</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73"/>
        </w:trPr>
        <w:tc>
          <w:tcPr>
            <w:tcW w:w="680" w:type="dxa"/>
            <w:vAlign w:val="bottom"/>
          </w:tcPr>
          <w:p>
            <w:pPr>
              <w:spacing w:after="0"/>
              <w:rPr>
                <w:sz w:val="15"/>
                <w:szCs w:val="15"/>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Service cost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22,224</w:t>
            </w:r>
          </w:p>
        </w:tc>
        <w:tc>
          <w:tcPr>
            <w:tcW w:w="8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center"/>
              <w:ind w:right="38"/>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31,240</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4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w w:val="97"/>
              </w:rPr>
              <w:t>28,505</w:t>
            </w:r>
          </w:p>
        </w:tc>
        <w:tc>
          <w:tcPr>
            <w:tcW w:w="800" w:type="dxa"/>
            <w:vAlign w:val="bottom"/>
          </w:tcPr>
          <w:p>
            <w:pPr>
              <w:spacing w:after="0"/>
              <w:rPr>
                <w:sz w:val="15"/>
                <w:szCs w:val="15"/>
                <w:color w:val="auto"/>
              </w:rPr>
            </w:pPr>
          </w:p>
        </w:tc>
      </w:tr>
      <w:tr>
        <w:trPr>
          <w:trHeight w:val="167"/>
        </w:trPr>
        <w:tc>
          <w:tcPr>
            <w:tcW w:w="68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Interest cost on benefit obligation</w:t>
            </w:r>
          </w:p>
        </w:tc>
        <w:tc>
          <w:tcPr>
            <w:tcW w:w="12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35,315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4"/>
                <w:szCs w:val="14"/>
                <w:color w:val="auto"/>
              </w:rPr>
              <w:t>39,041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4"/>
          </w:tcPr>
          <w:p>
            <w:pPr>
              <w:jc w:val="right"/>
              <w:ind w:right="100"/>
              <w:spacing w:after="0"/>
              <w:rPr>
                <w:sz w:val="20"/>
                <w:szCs w:val="20"/>
                <w:color w:val="auto"/>
              </w:rPr>
            </w:pPr>
            <w:r>
              <w:rPr>
                <w:rFonts w:ascii="Arial" w:cs="Arial" w:eastAsia="Arial" w:hAnsi="Arial"/>
                <w:sz w:val="14"/>
                <w:szCs w:val="14"/>
                <w:color w:val="auto"/>
                <w:w w:val="97"/>
              </w:rPr>
              <w:t>36,704</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Expected return on plan assets</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(38,784)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(37,579)</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color w:val="auto"/>
                <w:w w:val="91"/>
              </w:rPr>
              <w:t>(37,642)</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Amortization of prior service cost</w:t>
            </w:r>
          </w:p>
        </w:tc>
        <w:tc>
          <w:tcPr>
            <w:tcW w:w="1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(6,559)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4"/>
                <w:szCs w:val="14"/>
                <w:color w:val="auto"/>
              </w:rPr>
              <w:t>245</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57</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Recognized net actuarial loss</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8,045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5,190</w:t>
            </w:r>
          </w:p>
        </w:tc>
        <w:tc>
          <w:tcPr>
            <w:tcW w:w="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1"/>
              </w:rPr>
              <w:t>2,332</w:t>
            </w:r>
          </w:p>
        </w:tc>
        <w:tc>
          <w:tcPr>
            <w:tcW w:w="800" w:type="dxa"/>
            <w:vAlign w:val="bottom"/>
          </w:tcPr>
          <w:p>
            <w:pPr>
              <w:spacing w:after="0"/>
              <w:rPr>
                <w:sz w:val="14"/>
                <w:szCs w:val="14"/>
                <w:color w:val="auto"/>
              </w:rPr>
            </w:pPr>
          </w:p>
        </w:tc>
      </w:tr>
      <w:tr>
        <w:trPr>
          <w:trHeight w:val="176"/>
        </w:trPr>
        <w:tc>
          <w:tcPr>
            <w:tcW w:w="680" w:type="dxa"/>
            <w:vAlign w:val="bottom"/>
          </w:tcPr>
          <w:p>
            <w:pPr>
              <w:spacing w:after="0"/>
              <w:rPr>
                <w:sz w:val="15"/>
                <w:szCs w:val="15"/>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Net periodic pension expense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20,241</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center"/>
              <w:ind w:right="118"/>
              <w:spacing w:after="0"/>
              <w:rPr>
                <w:sz w:val="20"/>
                <w:szCs w:val="20"/>
                <w:color w:val="auto"/>
              </w:rPr>
            </w:pPr>
            <w:r>
              <w:rPr>
                <w:rFonts w:ascii="Arial" w:cs="Arial" w:eastAsia="Arial" w:hAnsi="Arial"/>
                <w:sz w:val="14"/>
                <w:szCs w:val="14"/>
                <w:color w:val="auto"/>
              </w:rPr>
              <w:t>$</w:t>
            </w:r>
          </w:p>
        </w:tc>
        <w:tc>
          <w:tcPr>
            <w:tcW w:w="2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38,137</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w w:val="97"/>
              </w:rPr>
              <w:t>29,956</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68"/>
        </w:trPr>
        <w:tc>
          <w:tcPr>
            <w:tcW w:w="680" w:type="dxa"/>
            <w:vAlign w:val="bottom"/>
          </w:tcPr>
          <w:p>
            <w:pPr>
              <w:spacing w:after="0"/>
              <w:rPr>
                <w:sz w:val="23"/>
                <w:szCs w:val="23"/>
                <w:color w:val="auto"/>
              </w:rPr>
            </w:pPr>
          </w:p>
        </w:tc>
        <w:tc>
          <w:tcPr>
            <w:tcW w:w="7000" w:type="dxa"/>
            <w:vAlign w:val="bottom"/>
          </w:tcPr>
          <w:p>
            <w:pPr>
              <w:ind w:left="600"/>
              <w:spacing w:after="0"/>
              <w:rPr>
                <w:sz w:val="20"/>
                <w:szCs w:val="20"/>
                <w:color w:val="auto"/>
              </w:rPr>
            </w:pPr>
            <w:r>
              <w:rPr>
                <w:rFonts w:ascii="Arial" w:cs="Arial" w:eastAsia="Arial" w:hAnsi="Arial"/>
                <w:sz w:val="14"/>
                <w:szCs w:val="14"/>
                <w:color w:val="auto"/>
              </w:rPr>
              <w:t>Net other postretirement benefits expense for defined benefit plans consisted of the following:</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04"/>
        </w:trPr>
        <w:tc>
          <w:tcPr>
            <w:tcW w:w="68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5"/>
          </w:tcPr>
          <w:p>
            <w:pPr>
              <w:jc w:val="right"/>
              <w:spacing w:after="0"/>
              <w:rPr>
                <w:sz w:val="20"/>
                <w:szCs w:val="20"/>
                <w:color w:val="auto"/>
              </w:rPr>
            </w:pPr>
            <w:r>
              <w:rPr>
                <w:rFonts w:ascii="Arial" w:cs="Arial" w:eastAsia="Arial" w:hAnsi="Arial"/>
                <w:sz w:val="10"/>
                <w:szCs w:val="10"/>
                <w:b w:val="1"/>
                <w:bCs w:val="1"/>
                <w:color w:val="auto"/>
                <w:w w:val="93"/>
              </w:rPr>
              <w:t>Year Ended December 31</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98"/>
        </w:trPr>
        <w:tc>
          <w:tcPr>
            <w:tcW w:w="680" w:type="dxa"/>
            <w:vAlign w:val="bottom"/>
          </w:tcPr>
          <w:p>
            <w:pPr>
              <w:spacing w:after="0"/>
              <w:rPr>
                <w:sz w:val="8"/>
                <w:szCs w:val="8"/>
                <w:color w:val="auto"/>
              </w:rPr>
            </w:pPr>
          </w:p>
        </w:tc>
        <w:tc>
          <w:tcPr>
            <w:tcW w:w="7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gridSpan w:val="2"/>
          </w:tcPr>
          <w:p>
            <w:pPr>
              <w:jc w:val="center"/>
              <w:ind w:right="38"/>
              <w:spacing w:after="0" w:line="98" w:lineRule="exact"/>
              <w:rPr>
                <w:sz w:val="20"/>
                <w:szCs w:val="20"/>
                <w:color w:val="auto"/>
              </w:rPr>
            </w:pPr>
            <w:r>
              <w:rPr>
                <w:rFonts w:ascii="Arial" w:cs="Arial" w:eastAsia="Arial" w:hAnsi="Arial"/>
                <w:sz w:val="10"/>
                <w:szCs w:val="10"/>
                <w:b w:val="1"/>
                <w:bCs w:val="1"/>
                <w:color w:val="auto"/>
                <w:w w:val="89"/>
              </w:rPr>
              <w:t>2006</w:t>
            </w:r>
          </w:p>
        </w:tc>
        <w:tc>
          <w:tcPr>
            <w:tcW w:w="20" w:type="dxa"/>
            <w:vAlign w:val="bottom"/>
          </w:tcPr>
          <w:p>
            <w:pPr>
              <w:spacing w:after="0"/>
              <w:rPr>
                <w:sz w:val="8"/>
                <w:szCs w:val="8"/>
                <w:color w:val="auto"/>
              </w:rPr>
            </w:pPr>
          </w:p>
        </w:tc>
        <w:tc>
          <w:tcPr>
            <w:tcW w:w="780" w:type="dxa"/>
            <w:vAlign w:val="bottom"/>
            <w:gridSpan w:val="3"/>
          </w:tcPr>
          <w:p>
            <w:pPr>
              <w:jc w:val="right"/>
              <w:ind w:right="100"/>
              <w:spacing w:after="0" w:line="98" w:lineRule="exact"/>
              <w:rPr>
                <w:sz w:val="20"/>
                <w:szCs w:val="20"/>
                <w:color w:val="auto"/>
              </w:rPr>
            </w:pPr>
            <w:r>
              <w:rPr>
                <w:rFonts w:ascii="Arial" w:cs="Arial" w:eastAsia="Arial" w:hAnsi="Arial"/>
                <w:sz w:val="10"/>
                <w:szCs w:val="10"/>
                <w:b w:val="1"/>
                <w:bCs w:val="1"/>
                <w:color w:val="auto"/>
              </w:rPr>
              <w:t>2005</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jc w:val="right"/>
              <w:ind w:right="30"/>
              <w:spacing w:after="0" w:line="98" w:lineRule="exact"/>
              <w:rPr>
                <w:sz w:val="20"/>
                <w:szCs w:val="20"/>
                <w:color w:val="auto"/>
              </w:rPr>
            </w:pPr>
            <w:r>
              <w:rPr>
                <w:rFonts w:ascii="Arial" w:cs="Arial" w:eastAsia="Arial" w:hAnsi="Arial"/>
                <w:sz w:val="10"/>
                <w:szCs w:val="10"/>
                <w:b w:val="1"/>
                <w:bCs w:val="1"/>
                <w:color w:val="auto"/>
                <w:w w:val="98"/>
              </w:rPr>
              <w:t>2004</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31"/>
        </w:trPr>
        <w:tc>
          <w:tcPr>
            <w:tcW w:w="68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ind w:left="260"/>
              <w:spacing w:after="0"/>
              <w:rPr>
                <w:sz w:val="20"/>
                <w:szCs w:val="20"/>
                <w:color w:val="auto"/>
              </w:rPr>
            </w:pPr>
            <w:r>
              <w:rPr>
                <w:rFonts w:ascii="Arial" w:cs="Arial" w:eastAsia="Arial" w:hAnsi="Arial"/>
                <w:sz w:val="9"/>
                <w:szCs w:val="9"/>
                <w:b w:val="1"/>
                <w:bCs w:val="1"/>
                <w:color w:val="auto"/>
                <w:w w:val="72"/>
              </w:rPr>
              <w:t>(In</w:t>
            </w: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74"/>
              </w:rPr>
              <w:t>thousands)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73"/>
        </w:trPr>
        <w:tc>
          <w:tcPr>
            <w:tcW w:w="680" w:type="dxa"/>
            <w:vAlign w:val="bottom"/>
          </w:tcPr>
          <w:p>
            <w:pPr>
              <w:spacing w:after="0"/>
              <w:rPr>
                <w:sz w:val="15"/>
                <w:szCs w:val="15"/>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Service cost</w:t>
            </w:r>
          </w:p>
        </w:tc>
        <w:tc>
          <w:tcPr>
            <w:tcW w:w="12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573</w:t>
            </w: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  490</w:t>
            </w:r>
          </w:p>
        </w:tc>
        <w:tc>
          <w:tcPr>
            <w:tcW w:w="14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879</w:t>
            </w:r>
          </w:p>
        </w:tc>
        <w:tc>
          <w:tcPr>
            <w:tcW w:w="800" w:type="dxa"/>
            <w:vAlign w:val="bottom"/>
          </w:tcPr>
          <w:p>
            <w:pPr>
              <w:spacing w:after="0"/>
              <w:rPr>
                <w:sz w:val="15"/>
                <w:szCs w:val="15"/>
                <w:color w:val="auto"/>
              </w:rPr>
            </w:pPr>
          </w:p>
        </w:tc>
      </w:tr>
      <w:tr>
        <w:trPr>
          <w:trHeight w:val="167"/>
        </w:trPr>
        <w:tc>
          <w:tcPr>
            <w:tcW w:w="68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Interest cost on benefit obligation</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gridSpan w:val="3"/>
          </w:tcPr>
          <w:p>
            <w:pPr>
              <w:jc w:val="right"/>
              <w:ind w:right="20"/>
              <w:spacing w:after="0"/>
              <w:rPr>
                <w:sz w:val="20"/>
                <w:szCs w:val="20"/>
                <w:color w:val="auto"/>
              </w:rPr>
            </w:pPr>
            <w:r>
              <w:rPr>
                <w:rFonts w:ascii="Arial" w:cs="Arial" w:eastAsia="Arial" w:hAnsi="Arial"/>
                <w:sz w:val="14"/>
                <w:szCs w:val="14"/>
                <w:color w:val="auto"/>
                <w:w w:val="91"/>
              </w:rPr>
              <w:t>3,770</w:t>
            </w:r>
          </w:p>
        </w:tc>
        <w:tc>
          <w:tcPr>
            <w:tcW w:w="1020" w:type="dxa"/>
            <w:vAlign w:val="bottom"/>
            <w:gridSpan w:val="4"/>
          </w:tcPr>
          <w:p>
            <w:pPr>
              <w:jc w:val="right"/>
              <w:ind w:right="220"/>
              <w:spacing w:after="0"/>
              <w:rPr>
                <w:sz w:val="20"/>
                <w:szCs w:val="20"/>
                <w:color w:val="auto"/>
              </w:rPr>
            </w:pPr>
            <w:r>
              <w:rPr>
                <w:rFonts w:ascii="Arial" w:cs="Arial" w:eastAsia="Arial" w:hAnsi="Arial"/>
                <w:sz w:val="14"/>
                <w:szCs w:val="14"/>
                <w:color w:val="auto"/>
              </w:rPr>
              <w:t>3,721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w w:val="91"/>
              </w:rPr>
              <w:t>5,426</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Amortization of prior service cost</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170</w:t>
            </w: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170</w:t>
            </w: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170</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Recognized net actuarial loss</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270</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889</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680" w:type="dxa"/>
            <w:vAlign w:val="bottom"/>
          </w:tcPr>
          <w:p>
            <w:pPr>
              <w:spacing w:after="0"/>
              <w:rPr>
                <w:sz w:val="15"/>
                <w:szCs w:val="15"/>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Net other postretirement benefits expense</w:t>
            </w:r>
          </w:p>
        </w:tc>
        <w:tc>
          <w:tcPr>
            <w:tcW w:w="120" w:type="dxa"/>
            <w:vAlign w:val="bottom"/>
            <w:shd w:val="clear" w:color="auto" w:fill="CCEEFF"/>
          </w:tcPr>
          <w:p>
            <w:pPr>
              <w:spacing w:after="0"/>
              <w:rPr>
                <w:sz w:val="15"/>
                <w:szCs w:val="15"/>
                <w:color w:val="auto"/>
              </w:rPr>
            </w:pPr>
          </w:p>
        </w:tc>
        <w:tc>
          <w:tcPr>
            <w:tcW w:w="1160" w:type="dxa"/>
            <w:vAlign w:val="bottom"/>
            <w:gridSpan w:val="6"/>
            <w:shd w:val="clear" w:color="auto" w:fill="CCEEFF"/>
          </w:tcPr>
          <w:p>
            <w:pPr>
              <w:jc w:val="right"/>
              <w:ind w:right="20"/>
              <w:spacing w:after="0"/>
              <w:rPr>
                <w:sz w:val="20"/>
                <w:szCs w:val="20"/>
                <w:color w:val="auto"/>
              </w:rPr>
            </w:pPr>
            <w:r>
              <w:rPr>
                <w:rFonts w:ascii="Arial" w:cs="Arial" w:eastAsia="Arial" w:hAnsi="Arial"/>
                <w:sz w:val="14"/>
                <w:szCs w:val="14"/>
                <w:color w:val="auto"/>
              </w:rPr>
              <w:t>$ 4,783</w:t>
            </w: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color w:val="auto"/>
              </w:rPr>
              <w:t>$ 4,393</w:t>
            </w:r>
          </w:p>
        </w:tc>
        <w:tc>
          <w:tcPr>
            <w:tcW w:w="14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1"/>
              </w:rPr>
              <w:t>7,364</w:t>
            </w:r>
          </w:p>
        </w:tc>
        <w:tc>
          <w:tcPr>
            <w:tcW w:w="800" w:type="dxa"/>
            <w:vAlign w:val="bottom"/>
          </w:tcPr>
          <w:p>
            <w:pPr>
              <w:spacing w:after="0"/>
              <w:rPr>
                <w:sz w:val="15"/>
                <w:szCs w:val="15"/>
                <w:color w:val="auto"/>
              </w:rPr>
            </w:pPr>
          </w:p>
        </w:tc>
      </w:tr>
      <w:tr>
        <w:trPr>
          <w:trHeight w:val="319"/>
        </w:trPr>
        <w:tc>
          <w:tcPr>
            <w:tcW w:w="68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2"/>
                <w:szCs w:val="12"/>
                <w:color w:val="auto"/>
              </w:rPr>
              <w:t>106</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70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07" w:name="page108"/>
    <w:bookmarkEnd w:id="10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Data relating to the funding position of the defined benefit plans were as follows:</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rPr>
              <w:t>Pension Benefits</w:t>
            </w: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gridSpan w:val="2"/>
          </w:tcPr>
          <w:p>
            <w:pPr>
              <w:jc w:val="right"/>
              <w:ind w:right="109"/>
              <w:spacing w:after="0"/>
              <w:rPr>
                <w:sz w:val="20"/>
                <w:szCs w:val="20"/>
                <w:color w:val="auto"/>
              </w:rPr>
            </w:pPr>
            <w:r>
              <w:rPr>
                <w:rFonts w:ascii="Arial" w:cs="Arial" w:eastAsia="Arial" w:hAnsi="Arial"/>
                <w:sz w:val="10"/>
                <w:szCs w:val="10"/>
                <w:b w:val="1"/>
                <w:bCs w:val="1"/>
                <w:color w:val="auto"/>
                <w:w w:val="97"/>
              </w:rPr>
              <w:t>Other</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6"/>
          </w:tcPr>
          <w:p>
            <w:pPr>
              <w:jc w:val="right"/>
              <w:ind w:right="288"/>
              <w:spacing w:after="0"/>
              <w:rPr>
                <w:sz w:val="20"/>
                <w:szCs w:val="20"/>
                <w:color w:val="auto"/>
              </w:rPr>
            </w:pPr>
            <w:r>
              <w:rPr>
                <w:rFonts w:ascii="Arial" w:cs="Arial" w:eastAsia="Arial" w:hAnsi="Arial"/>
                <w:sz w:val="10"/>
                <w:szCs w:val="10"/>
                <w:b w:val="1"/>
                <w:bCs w:val="1"/>
                <w:color w:val="auto"/>
              </w:rPr>
              <w:t>Postretirement Benefits</w:t>
            </w:r>
          </w:p>
        </w:tc>
        <w:tc>
          <w:tcPr>
            <w:tcW w:w="0" w:type="dxa"/>
            <w:vAlign w:val="bottom"/>
          </w:tcPr>
          <w:p>
            <w:pPr>
              <w:spacing w:after="0"/>
              <w:rPr>
                <w:sz w:val="1"/>
                <w:szCs w:val="1"/>
                <w:color w:val="auto"/>
              </w:rPr>
            </w:pPr>
          </w:p>
        </w:tc>
      </w:tr>
      <w:tr>
        <w:trPr>
          <w:trHeight w:val="98"/>
        </w:trPr>
        <w:tc>
          <w:tcPr>
            <w:tcW w:w="610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560" w:type="dxa"/>
            <w:vAlign w:val="bottom"/>
            <w:tcBorders>
              <w:top w:val="single" w:sz="8" w:color="auto"/>
              <w:bottom w:val="single" w:sz="8" w:color="auto"/>
            </w:tcBorders>
          </w:tcPr>
          <w:p>
            <w:pPr>
              <w:jc w:val="right"/>
              <w:ind w:right="169"/>
              <w:spacing w:after="0" w:line="98" w:lineRule="exact"/>
              <w:rPr>
                <w:sz w:val="20"/>
                <w:szCs w:val="20"/>
                <w:color w:val="auto"/>
              </w:rPr>
            </w:pPr>
            <w:r>
              <w:rPr>
                <w:rFonts w:ascii="Arial" w:cs="Arial" w:eastAsia="Arial" w:hAnsi="Arial"/>
                <w:sz w:val="10"/>
                <w:szCs w:val="10"/>
                <w:b w:val="1"/>
                <w:bCs w:val="1"/>
                <w:color w:val="auto"/>
              </w:rPr>
              <w:t>2006</w:t>
            </w:r>
          </w:p>
        </w:tc>
        <w:tc>
          <w:tcPr>
            <w:tcW w:w="420" w:type="dxa"/>
            <w:vAlign w:val="bottom"/>
            <w:tcBorders>
              <w:top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70"/>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vMerge w:val="restart"/>
          </w:tcPr>
          <w:p>
            <w:pPr>
              <w:spacing w:after="0"/>
              <w:rPr>
                <w:sz w:val="20"/>
                <w:szCs w:val="20"/>
                <w:color w:val="auto"/>
              </w:rPr>
            </w:pPr>
            <w:r>
              <w:rPr>
                <w:rFonts w:ascii="Arial" w:cs="Arial" w:eastAsia="Arial" w:hAnsi="Arial"/>
                <w:sz w:val="10"/>
                <w:szCs w:val="10"/>
                <w:b w:val="1"/>
                <w:bCs w:val="1"/>
                <w:color w:val="auto"/>
                <w:w w:val="70"/>
              </w:rPr>
              <w:t>thousands)</w:t>
            </w:r>
          </w:p>
        </w:tc>
        <w:tc>
          <w:tcPr>
            <w:tcW w:w="10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09"/>
              <w:spacing w:after="0" w:line="98" w:lineRule="exact"/>
              <w:rPr>
                <w:sz w:val="20"/>
                <w:szCs w:val="20"/>
                <w:color w:val="auto"/>
              </w:rPr>
            </w:pPr>
            <w:r>
              <w:rPr>
                <w:rFonts w:ascii="Arial" w:cs="Arial" w:eastAsia="Arial" w:hAnsi="Arial"/>
                <w:sz w:val="10"/>
                <w:szCs w:val="10"/>
                <w:b w:val="1"/>
                <w:bCs w:val="1"/>
                <w:color w:val="auto"/>
              </w:rPr>
              <w:t>2006</w:t>
            </w:r>
          </w:p>
        </w:tc>
        <w:tc>
          <w:tcPr>
            <w:tcW w:w="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09"/>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100" w:type="dxa"/>
            <w:vAlign w:val="bottom"/>
            <w:shd w:val="clear" w:color="auto" w:fill="CCEEFF"/>
          </w:tcPr>
          <w:p>
            <w:pPr>
              <w:spacing w:after="0"/>
              <w:rPr>
                <w:sz w:val="20"/>
                <w:szCs w:val="20"/>
                <w:color w:val="auto"/>
              </w:rPr>
            </w:pPr>
            <w:r>
              <w:rPr>
                <w:rFonts w:ascii="Arial" w:cs="Arial" w:eastAsia="Arial" w:hAnsi="Arial"/>
                <w:sz w:val="14"/>
                <w:szCs w:val="14"/>
                <w:color w:val="auto"/>
              </w:rPr>
              <w:t>Change in benefit obligation:</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100" w:type="dxa"/>
            <w:vAlign w:val="bottom"/>
          </w:tcPr>
          <w:p>
            <w:pPr>
              <w:ind w:left="140"/>
              <w:spacing w:after="0"/>
              <w:rPr>
                <w:sz w:val="20"/>
                <w:szCs w:val="20"/>
                <w:color w:val="auto"/>
              </w:rPr>
            </w:pPr>
            <w:r>
              <w:rPr>
                <w:rFonts w:ascii="Arial" w:cs="Arial" w:eastAsia="Arial" w:hAnsi="Arial"/>
                <w:sz w:val="14"/>
                <w:szCs w:val="14"/>
                <w:color w:val="auto"/>
              </w:rPr>
              <w:t>Benefit obligation at beginning of year</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328"/>
              <w:spacing w:after="0"/>
              <w:rPr>
                <w:sz w:val="20"/>
                <w:szCs w:val="20"/>
                <w:color w:val="auto"/>
              </w:rPr>
            </w:pPr>
            <w:r>
              <w:rPr>
                <w:rFonts w:ascii="Arial" w:cs="Arial" w:eastAsia="Arial" w:hAnsi="Arial"/>
                <w:sz w:val="14"/>
                <w:szCs w:val="14"/>
                <w:color w:val="auto"/>
              </w:rPr>
              <w:t>659,728</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338"/>
              <w:spacing w:after="0"/>
              <w:rPr>
                <w:sz w:val="20"/>
                <w:szCs w:val="20"/>
                <w:color w:val="auto"/>
              </w:rPr>
            </w:pPr>
            <w:r>
              <w:rPr>
                <w:rFonts w:ascii="Arial" w:cs="Arial" w:eastAsia="Arial" w:hAnsi="Arial"/>
                <w:sz w:val="14"/>
                <w:szCs w:val="14"/>
                <w:color w:val="auto"/>
                <w:w w:val="98"/>
              </w:rPr>
              <w:t>654,886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66,941</w:t>
            </w: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8"/>
              <w:spacing w:after="0"/>
              <w:rPr>
                <w:sz w:val="20"/>
                <w:szCs w:val="20"/>
                <w:color w:val="auto"/>
              </w:rPr>
            </w:pPr>
            <w:r>
              <w:rPr>
                <w:rFonts w:ascii="Arial" w:cs="Arial" w:eastAsia="Arial" w:hAnsi="Arial"/>
                <w:sz w:val="14"/>
                <w:szCs w:val="14"/>
                <w:color w:val="auto"/>
              </w:rPr>
              <w:t>87,338</w:t>
            </w:r>
          </w:p>
        </w:tc>
        <w:tc>
          <w:tcPr>
            <w:tcW w:w="0" w:type="dxa"/>
            <w:vAlign w:val="bottom"/>
          </w:tcPr>
          <w:p>
            <w:pPr>
              <w:spacing w:after="0"/>
              <w:rPr>
                <w:sz w:val="1"/>
                <w:szCs w:val="1"/>
                <w:color w:val="auto"/>
              </w:rPr>
            </w:pPr>
          </w:p>
        </w:tc>
      </w:tr>
      <w:tr>
        <w:trPr>
          <w:trHeight w:val="167"/>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Service cost</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22,224</w:t>
            </w: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38"/>
              <w:spacing w:after="0"/>
              <w:rPr>
                <w:sz w:val="20"/>
                <w:szCs w:val="20"/>
                <w:color w:val="auto"/>
              </w:rPr>
            </w:pPr>
            <w:r>
              <w:rPr>
                <w:rFonts w:ascii="Arial" w:cs="Arial" w:eastAsia="Arial" w:hAnsi="Arial"/>
                <w:sz w:val="14"/>
                <w:szCs w:val="14"/>
                <w:color w:val="auto"/>
              </w:rPr>
              <w:t>31,240</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573</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167"/>
        </w:trPr>
        <w:tc>
          <w:tcPr>
            <w:tcW w:w="6100" w:type="dxa"/>
            <w:vAlign w:val="bottom"/>
          </w:tcPr>
          <w:p>
            <w:pPr>
              <w:ind w:left="140"/>
              <w:spacing w:after="0"/>
              <w:rPr>
                <w:sz w:val="20"/>
                <w:szCs w:val="20"/>
                <w:color w:val="auto"/>
              </w:rPr>
            </w:pPr>
            <w:r>
              <w:rPr>
                <w:rFonts w:ascii="Arial" w:cs="Arial" w:eastAsia="Arial" w:hAnsi="Arial"/>
                <w:sz w:val="14"/>
                <w:szCs w:val="14"/>
                <w:color w:val="auto"/>
              </w:rPr>
              <w:t>Interest cost</w:t>
            </w:r>
          </w:p>
        </w:tc>
        <w:tc>
          <w:tcPr>
            <w:tcW w:w="140" w:type="dxa"/>
            <w:vAlign w:val="bottom"/>
          </w:tcPr>
          <w:p>
            <w:pPr>
              <w:spacing w:after="0"/>
              <w:rPr>
                <w:sz w:val="14"/>
                <w:szCs w:val="14"/>
                <w:color w:val="auto"/>
              </w:rPr>
            </w:pPr>
          </w:p>
        </w:tc>
        <w:tc>
          <w:tcPr>
            <w:tcW w:w="980" w:type="dxa"/>
            <w:vAlign w:val="bottom"/>
            <w:gridSpan w:val="2"/>
          </w:tcPr>
          <w:p>
            <w:pPr>
              <w:jc w:val="right"/>
              <w:ind w:right="328"/>
              <w:spacing w:after="0"/>
              <w:rPr>
                <w:sz w:val="20"/>
                <w:szCs w:val="20"/>
                <w:color w:val="auto"/>
              </w:rPr>
            </w:pPr>
            <w:r>
              <w:rPr>
                <w:rFonts w:ascii="Arial" w:cs="Arial" w:eastAsia="Arial" w:hAnsi="Arial"/>
                <w:sz w:val="14"/>
                <w:szCs w:val="14"/>
                <w:color w:val="auto"/>
              </w:rPr>
              <w:t>35,315</w:t>
            </w:r>
          </w:p>
        </w:tc>
        <w:tc>
          <w:tcPr>
            <w:tcW w:w="180" w:type="dxa"/>
            <w:vAlign w:val="bottom"/>
          </w:tcPr>
          <w:p>
            <w:pPr>
              <w:spacing w:after="0"/>
              <w:rPr>
                <w:sz w:val="14"/>
                <w:szCs w:val="14"/>
                <w:color w:val="auto"/>
              </w:rPr>
            </w:pPr>
          </w:p>
        </w:tc>
        <w:tc>
          <w:tcPr>
            <w:tcW w:w="920" w:type="dxa"/>
            <w:vAlign w:val="bottom"/>
            <w:gridSpan w:val="2"/>
          </w:tcPr>
          <w:p>
            <w:pPr>
              <w:jc w:val="right"/>
              <w:ind w:right="338"/>
              <w:spacing w:after="0"/>
              <w:rPr>
                <w:sz w:val="20"/>
                <w:szCs w:val="20"/>
                <w:color w:val="auto"/>
              </w:rPr>
            </w:pPr>
            <w:r>
              <w:rPr>
                <w:rFonts w:ascii="Arial" w:cs="Arial" w:eastAsia="Arial" w:hAnsi="Arial"/>
                <w:sz w:val="14"/>
                <w:szCs w:val="14"/>
                <w:color w:val="auto"/>
              </w:rPr>
              <w:t>39,041</w:t>
            </w: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3,770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8"/>
              <w:spacing w:after="0"/>
              <w:rPr>
                <w:sz w:val="20"/>
                <w:szCs w:val="20"/>
                <w:color w:val="auto"/>
              </w:rPr>
            </w:pPr>
            <w:r>
              <w:rPr>
                <w:rFonts w:ascii="Arial" w:cs="Arial" w:eastAsia="Arial" w:hAnsi="Arial"/>
                <w:sz w:val="14"/>
                <w:szCs w:val="14"/>
                <w:color w:val="auto"/>
              </w:rPr>
              <w:t>3,721</w:t>
            </w:r>
          </w:p>
        </w:tc>
        <w:tc>
          <w:tcPr>
            <w:tcW w:w="0" w:type="dxa"/>
            <w:vAlign w:val="bottom"/>
          </w:tcPr>
          <w:p>
            <w:pPr>
              <w:spacing w:after="0"/>
              <w:rPr>
                <w:sz w:val="1"/>
                <w:szCs w:val="1"/>
                <w:color w:val="auto"/>
              </w:rPr>
            </w:pPr>
          </w:p>
        </w:tc>
      </w:tr>
      <w:tr>
        <w:trPr>
          <w:trHeight w:val="167"/>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Plan participants’ contributions</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3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2,427</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2,291</w:t>
            </w:r>
          </w:p>
        </w:tc>
        <w:tc>
          <w:tcPr>
            <w:tcW w:w="0" w:type="dxa"/>
            <w:vAlign w:val="bottom"/>
          </w:tcPr>
          <w:p>
            <w:pPr>
              <w:spacing w:after="0"/>
              <w:rPr>
                <w:sz w:val="1"/>
                <w:szCs w:val="1"/>
                <w:color w:val="auto"/>
              </w:rPr>
            </w:pPr>
          </w:p>
        </w:tc>
      </w:tr>
      <w:tr>
        <w:trPr>
          <w:trHeight w:val="167"/>
        </w:trPr>
        <w:tc>
          <w:tcPr>
            <w:tcW w:w="6100" w:type="dxa"/>
            <w:vAlign w:val="bottom"/>
          </w:tcPr>
          <w:p>
            <w:pPr>
              <w:ind w:left="140"/>
              <w:spacing w:after="0"/>
              <w:rPr>
                <w:sz w:val="20"/>
                <w:szCs w:val="20"/>
                <w:color w:val="auto"/>
              </w:rPr>
            </w:pPr>
            <w:r>
              <w:rPr>
                <w:rFonts w:ascii="Arial" w:cs="Arial" w:eastAsia="Arial" w:hAnsi="Arial"/>
                <w:sz w:val="14"/>
                <w:szCs w:val="14"/>
                <w:color w:val="auto"/>
              </w:rPr>
              <w:t>Amendments</w:t>
            </w:r>
          </w:p>
        </w:tc>
        <w:tc>
          <w:tcPr>
            <w:tcW w:w="140" w:type="dxa"/>
            <w:vAlign w:val="bottom"/>
          </w:tcPr>
          <w:p>
            <w:pPr>
              <w:spacing w:after="0"/>
              <w:rPr>
                <w:sz w:val="14"/>
                <w:szCs w:val="14"/>
                <w:color w:val="auto"/>
              </w:rPr>
            </w:pPr>
          </w:p>
        </w:tc>
        <w:tc>
          <w:tcPr>
            <w:tcW w:w="98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298"/>
              <w:spacing w:after="0"/>
              <w:rPr>
                <w:sz w:val="20"/>
                <w:szCs w:val="20"/>
                <w:color w:val="auto"/>
              </w:rPr>
            </w:pPr>
            <w:r>
              <w:rPr>
                <w:rFonts w:ascii="Arial" w:cs="Arial" w:eastAsia="Arial" w:hAnsi="Arial"/>
                <w:sz w:val="14"/>
                <w:szCs w:val="14"/>
                <w:color w:val="auto"/>
              </w:rPr>
              <w:t>(69,623)</w:t>
            </w: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Actuarial (gain) loss</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8"/>
              <w:spacing w:after="0"/>
              <w:rPr>
                <w:sz w:val="20"/>
                <w:szCs w:val="20"/>
                <w:color w:val="auto"/>
              </w:rPr>
            </w:pPr>
            <w:r>
              <w:rPr>
                <w:rFonts w:ascii="Arial" w:cs="Arial" w:eastAsia="Arial" w:hAnsi="Arial"/>
                <w:sz w:val="14"/>
                <w:szCs w:val="14"/>
                <w:color w:val="auto"/>
              </w:rPr>
              <w:t>(27,382)</w:t>
            </w: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38"/>
              <w:spacing w:after="0"/>
              <w:rPr>
                <w:sz w:val="20"/>
                <w:szCs w:val="20"/>
                <w:color w:val="auto"/>
              </w:rPr>
            </w:pPr>
            <w:r>
              <w:rPr>
                <w:rFonts w:ascii="Arial" w:cs="Arial" w:eastAsia="Arial" w:hAnsi="Arial"/>
                <w:sz w:val="14"/>
                <w:szCs w:val="14"/>
                <w:color w:val="auto"/>
              </w:rPr>
              <w:t>66,794</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1,225</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9"/>
              </w:rPr>
              <w:t>(14,926)</w:t>
            </w:r>
          </w:p>
        </w:tc>
        <w:tc>
          <w:tcPr>
            <w:tcW w:w="0" w:type="dxa"/>
            <w:vAlign w:val="bottom"/>
          </w:tcPr>
          <w:p>
            <w:pPr>
              <w:spacing w:after="0"/>
              <w:rPr>
                <w:sz w:val="1"/>
                <w:szCs w:val="1"/>
                <w:color w:val="auto"/>
              </w:rPr>
            </w:pPr>
          </w:p>
        </w:tc>
      </w:tr>
      <w:tr>
        <w:trPr>
          <w:trHeight w:val="167"/>
        </w:trPr>
        <w:tc>
          <w:tcPr>
            <w:tcW w:w="6100" w:type="dxa"/>
            <w:vAlign w:val="bottom"/>
          </w:tcPr>
          <w:p>
            <w:pPr>
              <w:ind w:left="140"/>
              <w:spacing w:after="0"/>
              <w:rPr>
                <w:sz w:val="20"/>
                <w:szCs w:val="20"/>
                <w:color w:val="auto"/>
              </w:rPr>
            </w:pPr>
            <w:r>
              <w:rPr>
                <w:rFonts w:ascii="Arial" w:cs="Arial" w:eastAsia="Arial" w:hAnsi="Arial"/>
                <w:sz w:val="14"/>
                <w:szCs w:val="14"/>
                <w:color w:val="auto"/>
              </w:rPr>
              <w:t>Curtailments</w:t>
            </w:r>
          </w:p>
        </w:tc>
        <w:tc>
          <w:tcPr>
            <w:tcW w:w="140" w:type="dxa"/>
            <w:vAlign w:val="bottom"/>
          </w:tcPr>
          <w:p>
            <w:pPr>
              <w:spacing w:after="0"/>
              <w:rPr>
                <w:sz w:val="14"/>
                <w:szCs w:val="14"/>
                <w:color w:val="auto"/>
              </w:rPr>
            </w:pPr>
          </w:p>
        </w:tc>
        <w:tc>
          <w:tcPr>
            <w:tcW w:w="98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298"/>
              <w:spacing w:after="0"/>
              <w:rPr>
                <w:sz w:val="20"/>
                <w:szCs w:val="20"/>
                <w:color w:val="auto"/>
              </w:rPr>
            </w:pPr>
            <w:r>
              <w:rPr>
                <w:rFonts w:ascii="Arial" w:cs="Arial" w:eastAsia="Arial" w:hAnsi="Arial"/>
                <w:sz w:val="14"/>
                <w:szCs w:val="14"/>
                <w:color w:val="auto"/>
              </w:rPr>
              <w:t>(27,891)</w:t>
            </w: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Benefits paid</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8"/>
              <w:spacing w:after="0"/>
              <w:rPr>
                <w:sz w:val="20"/>
                <w:szCs w:val="20"/>
                <w:color w:val="auto"/>
              </w:rPr>
            </w:pPr>
            <w:r>
              <w:rPr>
                <w:rFonts w:ascii="Arial" w:cs="Arial" w:eastAsia="Arial" w:hAnsi="Arial"/>
                <w:sz w:val="14"/>
                <w:szCs w:val="14"/>
                <w:color w:val="auto"/>
              </w:rPr>
              <w:t>(35,173)</w:t>
            </w: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98"/>
              <w:spacing w:after="0"/>
              <w:rPr>
                <w:sz w:val="20"/>
                <w:szCs w:val="20"/>
                <w:color w:val="auto"/>
              </w:rPr>
            </w:pPr>
            <w:r>
              <w:rPr>
                <w:rFonts w:ascii="Arial" w:cs="Arial" w:eastAsia="Arial" w:hAnsi="Arial"/>
                <w:sz w:val="14"/>
                <w:szCs w:val="14"/>
                <w:color w:val="auto"/>
              </w:rPr>
              <w:t>(34,719)</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9"/>
              </w:rPr>
              <w:t>(10,613)</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9"/>
              </w:rPr>
              <w:t>(11,973)</w:t>
            </w:r>
          </w:p>
        </w:tc>
        <w:tc>
          <w:tcPr>
            <w:tcW w:w="0" w:type="dxa"/>
            <w:vAlign w:val="bottom"/>
          </w:tcPr>
          <w:p>
            <w:pPr>
              <w:spacing w:after="0"/>
              <w:rPr>
                <w:sz w:val="1"/>
                <w:szCs w:val="1"/>
                <w:color w:val="auto"/>
              </w:rPr>
            </w:pPr>
          </w:p>
        </w:tc>
      </w:tr>
      <w:tr>
        <w:trPr>
          <w:trHeight w:val="167"/>
        </w:trPr>
        <w:tc>
          <w:tcPr>
            <w:tcW w:w="6100" w:type="dxa"/>
            <w:vAlign w:val="bottom"/>
          </w:tcPr>
          <w:p>
            <w:pPr>
              <w:ind w:left="140"/>
              <w:spacing w:after="0"/>
              <w:rPr>
                <w:sz w:val="20"/>
                <w:szCs w:val="20"/>
                <w:color w:val="auto"/>
              </w:rPr>
            </w:pPr>
            <w:r>
              <w:rPr>
                <w:rFonts w:ascii="Arial" w:cs="Arial" w:eastAsia="Arial" w:hAnsi="Arial"/>
                <w:sz w:val="14"/>
                <w:szCs w:val="14"/>
                <w:color w:val="auto"/>
              </w:rPr>
              <w:t>Benefit obligation at end of year</w:t>
            </w:r>
          </w:p>
        </w:tc>
        <w:tc>
          <w:tcPr>
            <w:tcW w:w="1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654,712</w:t>
            </w:r>
          </w:p>
        </w:tc>
        <w:tc>
          <w:tcPr>
            <w:tcW w:w="4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8"/>
              </w:rPr>
              <w:t>659,728</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64,323</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66,941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100" w:type="dxa"/>
            <w:vAlign w:val="bottom"/>
            <w:shd w:val="clear" w:color="auto" w:fill="CCEEFF"/>
          </w:tcPr>
          <w:p>
            <w:pPr>
              <w:spacing w:after="0"/>
              <w:rPr>
                <w:sz w:val="20"/>
                <w:szCs w:val="20"/>
                <w:color w:val="auto"/>
              </w:rPr>
            </w:pPr>
            <w:r>
              <w:rPr>
                <w:rFonts w:ascii="Arial" w:cs="Arial" w:eastAsia="Arial" w:hAnsi="Arial"/>
                <w:sz w:val="14"/>
                <w:szCs w:val="14"/>
                <w:color w:val="auto"/>
              </w:rPr>
              <w:t>Change in plan assets:</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100" w:type="dxa"/>
            <w:vAlign w:val="bottom"/>
          </w:tcPr>
          <w:p>
            <w:pPr>
              <w:ind w:left="140"/>
              <w:spacing w:after="0"/>
              <w:rPr>
                <w:sz w:val="20"/>
                <w:szCs w:val="20"/>
                <w:color w:val="auto"/>
              </w:rPr>
            </w:pPr>
            <w:r>
              <w:rPr>
                <w:rFonts w:ascii="Arial" w:cs="Arial" w:eastAsia="Arial" w:hAnsi="Arial"/>
                <w:sz w:val="14"/>
                <w:szCs w:val="14"/>
                <w:color w:val="auto"/>
              </w:rPr>
              <w:t>Fair value of plan assets at beginning of year</w:t>
            </w:r>
          </w:p>
        </w:tc>
        <w:tc>
          <w:tcPr>
            <w:tcW w:w="140" w:type="dxa"/>
            <w:vAlign w:val="bottom"/>
          </w:tcPr>
          <w:p>
            <w:pPr>
              <w:spacing w:after="0"/>
              <w:rPr>
                <w:sz w:val="14"/>
                <w:szCs w:val="14"/>
                <w:color w:val="auto"/>
              </w:rPr>
            </w:pPr>
          </w:p>
        </w:tc>
        <w:tc>
          <w:tcPr>
            <w:tcW w:w="980" w:type="dxa"/>
            <w:vAlign w:val="bottom"/>
            <w:gridSpan w:val="2"/>
          </w:tcPr>
          <w:p>
            <w:pPr>
              <w:jc w:val="right"/>
              <w:ind w:right="328"/>
              <w:spacing w:after="0"/>
              <w:rPr>
                <w:sz w:val="20"/>
                <w:szCs w:val="20"/>
                <w:color w:val="auto"/>
              </w:rPr>
            </w:pPr>
            <w:r>
              <w:rPr>
                <w:rFonts w:ascii="Arial" w:cs="Arial" w:eastAsia="Arial" w:hAnsi="Arial"/>
                <w:sz w:val="14"/>
                <w:szCs w:val="14"/>
                <w:color w:val="auto"/>
              </w:rPr>
              <w:t>452,271</w:t>
            </w:r>
          </w:p>
        </w:tc>
        <w:tc>
          <w:tcPr>
            <w:tcW w:w="180" w:type="dxa"/>
            <w:vAlign w:val="bottom"/>
          </w:tcPr>
          <w:p>
            <w:pPr>
              <w:spacing w:after="0"/>
              <w:rPr>
                <w:sz w:val="14"/>
                <w:szCs w:val="14"/>
                <w:color w:val="auto"/>
              </w:rPr>
            </w:pPr>
          </w:p>
        </w:tc>
        <w:tc>
          <w:tcPr>
            <w:tcW w:w="920" w:type="dxa"/>
            <w:vAlign w:val="bottom"/>
            <w:gridSpan w:val="2"/>
          </w:tcPr>
          <w:p>
            <w:pPr>
              <w:jc w:val="right"/>
              <w:ind w:right="338"/>
              <w:spacing w:after="0"/>
              <w:rPr>
                <w:sz w:val="20"/>
                <w:szCs w:val="20"/>
                <w:color w:val="auto"/>
              </w:rPr>
            </w:pPr>
            <w:r>
              <w:rPr>
                <w:rFonts w:ascii="Arial" w:cs="Arial" w:eastAsia="Arial" w:hAnsi="Arial"/>
                <w:sz w:val="14"/>
                <w:szCs w:val="14"/>
                <w:color w:val="auto"/>
                <w:w w:val="98"/>
              </w:rPr>
              <w:t>465,462</w:t>
            </w: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Actual return on plan assets</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56,522</w:t>
            </w: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38"/>
              <w:spacing w:after="0"/>
              <w:rPr>
                <w:sz w:val="20"/>
                <w:szCs w:val="20"/>
                <w:color w:val="auto"/>
              </w:rPr>
            </w:pPr>
            <w:r>
              <w:rPr>
                <w:rFonts w:ascii="Arial" w:cs="Arial" w:eastAsia="Arial" w:hAnsi="Arial"/>
                <w:sz w:val="14"/>
                <w:szCs w:val="14"/>
                <w:color w:val="auto"/>
              </w:rPr>
              <w:t>15,750</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6100" w:type="dxa"/>
            <w:vAlign w:val="bottom"/>
          </w:tcPr>
          <w:p>
            <w:pPr>
              <w:ind w:left="140"/>
              <w:spacing w:after="0"/>
              <w:rPr>
                <w:sz w:val="20"/>
                <w:szCs w:val="20"/>
                <w:color w:val="auto"/>
              </w:rPr>
            </w:pPr>
            <w:r>
              <w:rPr>
                <w:rFonts w:ascii="Arial" w:cs="Arial" w:eastAsia="Arial" w:hAnsi="Arial"/>
                <w:sz w:val="14"/>
                <w:szCs w:val="14"/>
                <w:color w:val="auto"/>
              </w:rPr>
              <w:t>Employer contributions</w:t>
            </w:r>
          </w:p>
        </w:tc>
        <w:tc>
          <w:tcPr>
            <w:tcW w:w="140" w:type="dxa"/>
            <w:vAlign w:val="bottom"/>
          </w:tcPr>
          <w:p>
            <w:pPr>
              <w:spacing w:after="0"/>
              <w:rPr>
                <w:sz w:val="14"/>
                <w:szCs w:val="14"/>
                <w:color w:val="auto"/>
              </w:rPr>
            </w:pPr>
          </w:p>
        </w:tc>
        <w:tc>
          <w:tcPr>
            <w:tcW w:w="980" w:type="dxa"/>
            <w:vAlign w:val="bottom"/>
            <w:gridSpan w:val="2"/>
          </w:tcPr>
          <w:p>
            <w:pPr>
              <w:jc w:val="right"/>
              <w:ind w:right="328"/>
              <w:spacing w:after="0"/>
              <w:rPr>
                <w:sz w:val="20"/>
                <w:szCs w:val="20"/>
                <w:color w:val="auto"/>
              </w:rPr>
            </w:pPr>
            <w:r>
              <w:rPr>
                <w:rFonts w:ascii="Arial" w:cs="Arial" w:eastAsia="Arial" w:hAnsi="Arial"/>
                <w:sz w:val="14"/>
                <w:szCs w:val="14"/>
                <w:color w:val="auto"/>
              </w:rPr>
              <w:t>40,495</w:t>
            </w:r>
          </w:p>
        </w:tc>
        <w:tc>
          <w:tcPr>
            <w:tcW w:w="180" w:type="dxa"/>
            <w:vAlign w:val="bottom"/>
          </w:tcPr>
          <w:p>
            <w:pPr>
              <w:spacing w:after="0"/>
              <w:rPr>
                <w:sz w:val="14"/>
                <w:szCs w:val="14"/>
                <w:color w:val="auto"/>
              </w:rPr>
            </w:pPr>
          </w:p>
        </w:tc>
        <w:tc>
          <w:tcPr>
            <w:tcW w:w="920" w:type="dxa"/>
            <w:vAlign w:val="bottom"/>
            <w:gridSpan w:val="2"/>
          </w:tcPr>
          <w:p>
            <w:pPr>
              <w:jc w:val="right"/>
              <w:ind w:right="338"/>
              <w:spacing w:after="0"/>
              <w:rPr>
                <w:sz w:val="20"/>
                <w:szCs w:val="20"/>
                <w:color w:val="auto"/>
              </w:rPr>
            </w:pPr>
            <w:r>
              <w:rPr>
                <w:rFonts w:ascii="Arial" w:cs="Arial" w:eastAsia="Arial" w:hAnsi="Arial"/>
                <w:sz w:val="14"/>
                <w:szCs w:val="14"/>
                <w:color w:val="auto"/>
              </w:rPr>
              <w:t>5,778</w:t>
            </w: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8,186</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8"/>
              <w:spacing w:after="0"/>
              <w:rPr>
                <w:sz w:val="20"/>
                <w:szCs w:val="20"/>
                <w:color w:val="auto"/>
              </w:rPr>
            </w:pPr>
            <w:r>
              <w:rPr>
                <w:rFonts w:ascii="Arial" w:cs="Arial" w:eastAsia="Arial" w:hAnsi="Arial"/>
                <w:sz w:val="14"/>
                <w:szCs w:val="14"/>
                <w:color w:val="auto"/>
              </w:rPr>
              <w:t>9,682</w:t>
            </w:r>
          </w:p>
        </w:tc>
        <w:tc>
          <w:tcPr>
            <w:tcW w:w="0" w:type="dxa"/>
            <w:vAlign w:val="bottom"/>
          </w:tcPr>
          <w:p>
            <w:pPr>
              <w:spacing w:after="0"/>
              <w:rPr>
                <w:sz w:val="1"/>
                <w:szCs w:val="1"/>
                <w:color w:val="auto"/>
              </w:rPr>
            </w:pPr>
          </w:p>
        </w:tc>
      </w:tr>
      <w:tr>
        <w:trPr>
          <w:trHeight w:val="167"/>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Plan participants’ contributions</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3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2,427</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2,291</w:t>
            </w:r>
          </w:p>
        </w:tc>
        <w:tc>
          <w:tcPr>
            <w:tcW w:w="0" w:type="dxa"/>
            <w:vAlign w:val="bottom"/>
          </w:tcPr>
          <w:p>
            <w:pPr>
              <w:spacing w:after="0"/>
              <w:rPr>
                <w:sz w:val="1"/>
                <w:szCs w:val="1"/>
                <w:color w:val="auto"/>
              </w:rPr>
            </w:pPr>
          </w:p>
        </w:tc>
      </w:tr>
      <w:tr>
        <w:trPr>
          <w:trHeight w:val="167"/>
        </w:trPr>
        <w:tc>
          <w:tcPr>
            <w:tcW w:w="6100" w:type="dxa"/>
            <w:vAlign w:val="bottom"/>
          </w:tcPr>
          <w:p>
            <w:pPr>
              <w:ind w:left="140"/>
              <w:spacing w:after="0"/>
              <w:rPr>
                <w:sz w:val="20"/>
                <w:szCs w:val="20"/>
                <w:color w:val="auto"/>
              </w:rPr>
            </w:pPr>
            <w:r>
              <w:rPr>
                <w:rFonts w:ascii="Arial" w:cs="Arial" w:eastAsia="Arial" w:hAnsi="Arial"/>
                <w:sz w:val="14"/>
                <w:szCs w:val="14"/>
                <w:color w:val="auto"/>
              </w:rPr>
              <w:t>Benefits and other payments</w:t>
            </w:r>
          </w:p>
        </w:tc>
        <w:tc>
          <w:tcPr>
            <w:tcW w:w="140" w:type="dxa"/>
            <w:vAlign w:val="bottom"/>
          </w:tcPr>
          <w:p>
            <w:pPr>
              <w:spacing w:after="0"/>
              <w:rPr>
                <w:sz w:val="14"/>
                <w:szCs w:val="14"/>
                <w:color w:val="auto"/>
              </w:rPr>
            </w:pPr>
          </w:p>
        </w:tc>
        <w:tc>
          <w:tcPr>
            <w:tcW w:w="980" w:type="dxa"/>
            <w:vAlign w:val="bottom"/>
            <w:gridSpan w:val="2"/>
          </w:tcPr>
          <w:p>
            <w:pPr>
              <w:jc w:val="right"/>
              <w:ind w:right="288"/>
              <w:spacing w:after="0"/>
              <w:rPr>
                <w:sz w:val="20"/>
                <w:szCs w:val="20"/>
                <w:color w:val="auto"/>
              </w:rPr>
            </w:pPr>
            <w:r>
              <w:rPr>
                <w:rFonts w:ascii="Arial" w:cs="Arial" w:eastAsia="Arial" w:hAnsi="Arial"/>
                <w:sz w:val="14"/>
                <w:szCs w:val="14"/>
                <w:color w:val="auto"/>
              </w:rPr>
              <w:t>(35,173)</w:t>
            </w:r>
          </w:p>
        </w:tc>
        <w:tc>
          <w:tcPr>
            <w:tcW w:w="180" w:type="dxa"/>
            <w:vAlign w:val="bottom"/>
          </w:tcPr>
          <w:p>
            <w:pPr>
              <w:spacing w:after="0"/>
              <w:rPr>
                <w:sz w:val="14"/>
                <w:szCs w:val="14"/>
                <w:color w:val="auto"/>
              </w:rPr>
            </w:pPr>
          </w:p>
        </w:tc>
        <w:tc>
          <w:tcPr>
            <w:tcW w:w="920" w:type="dxa"/>
            <w:vAlign w:val="bottom"/>
            <w:gridSpan w:val="2"/>
          </w:tcPr>
          <w:p>
            <w:pPr>
              <w:jc w:val="right"/>
              <w:ind w:right="298"/>
              <w:spacing w:after="0"/>
              <w:rPr>
                <w:sz w:val="20"/>
                <w:szCs w:val="20"/>
                <w:color w:val="auto"/>
              </w:rPr>
            </w:pPr>
            <w:r>
              <w:rPr>
                <w:rFonts w:ascii="Arial" w:cs="Arial" w:eastAsia="Arial" w:hAnsi="Arial"/>
                <w:sz w:val="14"/>
                <w:szCs w:val="14"/>
                <w:color w:val="auto"/>
              </w:rPr>
              <w:t>(34,719)</w:t>
            </w: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w w:val="99"/>
              </w:rPr>
              <w:t>(10,613)</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w w:val="99"/>
              </w:rPr>
              <w:t>(11,973)</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Fair value of plan assets at end of year</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514,115</w:t>
            </w: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38"/>
              <w:spacing w:after="0"/>
              <w:rPr>
                <w:sz w:val="20"/>
                <w:szCs w:val="20"/>
                <w:color w:val="auto"/>
              </w:rPr>
            </w:pPr>
            <w:r>
              <w:rPr>
                <w:rFonts w:ascii="Arial" w:cs="Arial" w:eastAsia="Arial" w:hAnsi="Arial"/>
                <w:sz w:val="14"/>
                <w:szCs w:val="14"/>
                <w:color w:val="auto"/>
                <w:w w:val="98"/>
              </w:rPr>
              <w:t>452,271</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100" w:type="dxa"/>
            <w:vAlign w:val="bottom"/>
          </w:tcPr>
          <w:p>
            <w:pPr>
              <w:spacing w:after="0"/>
              <w:rPr>
                <w:sz w:val="20"/>
                <w:szCs w:val="20"/>
                <w:color w:val="auto"/>
              </w:rPr>
            </w:pPr>
            <w:r>
              <w:rPr>
                <w:rFonts w:ascii="Arial" w:cs="Arial" w:eastAsia="Arial" w:hAnsi="Arial"/>
                <w:sz w:val="14"/>
                <w:szCs w:val="14"/>
                <w:color w:val="auto"/>
              </w:rPr>
              <w:t>Funded status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(140,597</w:t>
            </w:r>
          </w:p>
        </w:tc>
        <w:tc>
          <w:tcPr>
            <w:tcW w:w="420" w:type="dxa"/>
            <w:vAlign w:val="bottom"/>
          </w:tcPr>
          <w:p>
            <w:pPr>
              <w:jc w:val="right"/>
              <w:ind w:right="288"/>
              <w:spacing w:after="0"/>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(207,457</w:t>
            </w:r>
          </w:p>
        </w:tc>
        <w:tc>
          <w:tcPr>
            <w:tcW w:w="40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(64,323</w:t>
            </w: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3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(66,941</w:t>
            </w:r>
          </w:p>
        </w:tc>
        <w:tc>
          <w:tcPr>
            <w:tcW w:w="10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0" w:type="dxa"/>
            <w:vAlign w:val="bottom"/>
          </w:tcPr>
          <w:p>
            <w:pPr>
              <w:spacing w:after="0"/>
              <w:rPr>
                <w:sz w:val="1"/>
                <w:szCs w:val="1"/>
                <w:color w:val="auto"/>
              </w:rPr>
            </w:pPr>
          </w:p>
        </w:tc>
      </w:tr>
      <w:tr>
        <w:trPr>
          <w:trHeight w:val="172"/>
        </w:trPr>
        <w:tc>
          <w:tcPr>
            <w:tcW w:w="6100" w:type="dxa"/>
            <w:vAlign w:val="bottom"/>
            <w:shd w:val="clear" w:color="auto" w:fill="CCEEFF"/>
          </w:tcPr>
          <w:p>
            <w:pPr>
              <w:spacing w:after="0"/>
              <w:rPr>
                <w:sz w:val="20"/>
                <w:szCs w:val="20"/>
                <w:color w:val="auto"/>
              </w:rPr>
            </w:pPr>
            <w:r>
              <w:rPr>
                <w:rFonts w:ascii="Arial" w:cs="Arial" w:eastAsia="Arial" w:hAnsi="Arial"/>
                <w:sz w:val="14"/>
                <w:szCs w:val="14"/>
                <w:color w:val="auto"/>
              </w:rPr>
              <w:t>Assets and liabilities recognized in the consolidated balance</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100" w:type="dxa"/>
            <w:vAlign w:val="bottom"/>
          </w:tcPr>
          <w:p>
            <w:pPr>
              <w:ind w:left="140"/>
              <w:spacing w:after="0"/>
              <w:rPr>
                <w:sz w:val="20"/>
                <w:szCs w:val="20"/>
                <w:color w:val="auto"/>
              </w:rPr>
            </w:pPr>
            <w:r>
              <w:rPr>
                <w:rFonts w:ascii="Arial" w:cs="Arial" w:eastAsia="Arial" w:hAnsi="Arial"/>
                <w:sz w:val="14"/>
                <w:szCs w:val="14"/>
                <w:color w:val="auto"/>
              </w:rPr>
              <w:t>sheet were:</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prepaid asset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1,017</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38"/>
              <w:spacing w:after="0"/>
              <w:rPr>
                <w:sz w:val="20"/>
                <w:szCs w:val="20"/>
                <w:color w:val="auto"/>
              </w:rPr>
            </w:pPr>
            <w:r>
              <w:rPr>
                <w:rFonts w:ascii="Arial" w:cs="Arial" w:eastAsia="Arial" w:hAnsi="Arial"/>
                <w:sz w:val="14"/>
                <w:szCs w:val="14"/>
                <w:color w:val="auto"/>
              </w:rPr>
              <w:t>4,575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6100" w:type="dxa"/>
            <w:vAlign w:val="bottom"/>
          </w:tcPr>
          <w:p>
            <w:pPr>
              <w:ind w:left="140"/>
              <w:spacing w:after="0"/>
              <w:rPr>
                <w:sz w:val="20"/>
                <w:szCs w:val="20"/>
                <w:color w:val="auto"/>
              </w:rPr>
            </w:pPr>
            <w:r>
              <w:rPr>
                <w:rFonts w:ascii="Arial" w:cs="Arial" w:eastAsia="Arial" w:hAnsi="Arial"/>
                <w:sz w:val="14"/>
                <w:szCs w:val="14"/>
                <w:color w:val="auto"/>
              </w:rPr>
              <w:t>Intangible asset</w:t>
            </w:r>
          </w:p>
        </w:tc>
        <w:tc>
          <w:tcPr>
            <w:tcW w:w="140" w:type="dxa"/>
            <w:vAlign w:val="bottom"/>
          </w:tcPr>
          <w:p>
            <w:pPr>
              <w:spacing w:after="0"/>
              <w:rPr>
                <w:sz w:val="14"/>
                <w:szCs w:val="14"/>
                <w:color w:val="auto"/>
              </w:rPr>
            </w:pPr>
          </w:p>
        </w:tc>
        <w:tc>
          <w:tcPr>
            <w:tcW w:w="98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338"/>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88"/>
              <w:spacing w:after="0"/>
              <w:rPr>
                <w:sz w:val="20"/>
                <w:szCs w:val="20"/>
                <w:color w:val="auto"/>
              </w:rPr>
            </w:pPr>
            <w:r>
              <w:rPr>
                <w:rFonts w:ascii="Arial" w:cs="Arial" w:eastAsia="Arial" w:hAnsi="Arial"/>
                <w:sz w:val="14"/>
                <w:szCs w:val="14"/>
                <w:color w:val="auto"/>
              </w:rPr>
              <w:t>(141,614)</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98"/>
              <w:spacing w:after="0"/>
              <w:rPr>
                <w:sz w:val="20"/>
                <w:szCs w:val="20"/>
                <w:color w:val="auto"/>
              </w:rPr>
            </w:pPr>
            <w:r>
              <w:rPr>
                <w:rFonts w:ascii="Arial" w:cs="Arial" w:eastAsia="Arial" w:hAnsi="Arial"/>
                <w:sz w:val="14"/>
                <w:szCs w:val="14"/>
                <w:color w:val="auto"/>
                <w:w w:val="90"/>
              </w:rPr>
              <w:t>(207,875)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9"/>
              </w:rPr>
              <w:t>(64,323)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9"/>
              </w:rPr>
              <w:t>(59,939)</w:t>
            </w:r>
          </w:p>
        </w:tc>
        <w:tc>
          <w:tcPr>
            <w:tcW w:w="0" w:type="dxa"/>
            <w:vAlign w:val="bottom"/>
          </w:tcPr>
          <w:p>
            <w:pPr>
              <w:spacing w:after="0"/>
              <w:rPr>
                <w:sz w:val="1"/>
                <w:szCs w:val="1"/>
                <w:color w:val="auto"/>
              </w:rPr>
            </w:pPr>
          </w:p>
        </w:tc>
      </w:tr>
      <w:tr>
        <w:trPr>
          <w:trHeight w:val="177"/>
        </w:trPr>
        <w:tc>
          <w:tcPr>
            <w:tcW w:w="6100" w:type="dxa"/>
            <w:vAlign w:val="bottom"/>
          </w:tcPr>
          <w:p>
            <w:pPr>
              <w:spacing w:after="0"/>
              <w:rPr>
                <w:sz w:val="20"/>
                <w:szCs w:val="20"/>
                <w:color w:val="auto"/>
              </w:rPr>
            </w:pPr>
            <w:r>
              <w:rPr>
                <w:rFonts w:ascii="Arial" w:cs="Arial" w:eastAsia="Arial" w:hAnsi="Arial"/>
                <w:sz w:val="14"/>
                <w:szCs w:val="14"/>
                <w:color w:val="auto"/>
              </w:rPr>
              <w:t>Amounts recognized in accumulated other comprehensive income (“AOCI”) were:</w:t>
            </w: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101,389</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6,821</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100" w:type="dxa"/>
            <w:vAlign w:val="bottom"/>
          </w:tcPr>
          <w:p>
            <w:pPr>
              <w:ind w:left="140"/>
              <w:spacing w:after="0"/>
              <w:rPr>
                <w:sz w:val="20"/>
                <w:szCs w:val="20"/>
                <w:color w:val="auto"/>
              </w:rPr>
            </w:pPr>
            <w:r>
              <w:rPr>
                <w:rFonts w:ascii="Arial" w:cs="Arial" w:eastAsia="Arial" w:hAnsi="Arial"/>
                <w:sz w:val="14"/>
                <w:szCs w:val="14"/>
                <w:color w:val="auto"/>
              </w:rPr>
              <w:t>Net prior service cost</w:t>
            </w:r>
          </w:p>
        </w:tc>
        <w:tc>
          <w:tcPr>
            <w:tcW w:w="140" w:type="dxa"/>
            <w:vAlign w:val="bottom"/>
          </w:tcPr>
          <w:p>
            <w:pPr>
              <w:spacing w:after="0"/>
              <w:rPr>
                <w:sz w:val="14"/>
                <w:szCs w:val="14"/>
                <w:color w:val="auto"/>
              </w:rPr>
            </w:pPr>
          </w:p>
        </w:tc>
        <w:tc>
          <w:tcPr>
            <w:tcW w:w="980" w:type="dxa"/>
            <w:vAlign w:val="bottom"/>
            <w:gridSpan w:val="2"/>
          </w:tcPr>
          <w:p>
            <w:pPr>
              <w:jc w:val="right"/>
              <w:ind w:right="288"/>
              <w:spacing w:after="0"/>
              <w:rPr>
                <w:sz w:val="20"/>
                <w:szCs w:val="20"/>
                <w:color w:val="auto"/>
              </w:rPr>
            </w:pPr>
            <w:r>
              <w:rPr>
                <w:rFonts w:ascii="Arial" w:cs="Arial" w:eastAsia="Arial" w:hAnsi="Arial"/>
                <w:sz w:val="14"/>
                <w:szCs w:val="14"/>
                <w:color w:val="auto"/>
              </w:rPr>
              <w:t>(62,807)</w:t>
            </w: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931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Pre-tax adjustment to AOCI</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38,582</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38"/>
              <w:spacing w:after="0"/>
              <w:rPr>
                <w:sz w:val="20"/>
                <w:szCs w:val="20"/>
                <w:color w:val="auto"/>
              </w:rPr>
            </w:pPr>
            <w:r>
              <w:rPr>
                <w:rFonts w:ascii="Arial" w:cs="Arial" w:eastAsia="Arial" w:hAnsi="Arial"/>
                <w:sz w:val="14"/>
                <w:szCs w:val="14"/>
                <w:color w:val="auto"/>
              </w:rPr>
              <w:t>80,909</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7,752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6100" w:type="dxa"/>
            <w:vAlign w:val="bottom"/>
          </w:tcPr>
          <w:p>
            <w:pPr>
              <w:ind w:left="140"/>
              <w:spacing w:after="0"/>
              <w:rPr>
                <w:sz w:val="20"/>
                <w:szCs w:val="20"/>
                <w:color w:val="auto"/>
              </w:rPr>
            </w:pPr>
            <w:r>
              <w:rPr>
                <w:rFonts w:ascii="Arial" w:cs="Arial" w:eastAsia="Arial" w:hAnsi="Arial"/>
                <w:sz w:val="14"/>
                <w:szCs w:val="14"/>
                <w:color w:val="auto"/>
              </w:rPr>
              <w:t>Taxes</w:t>
            </w:r>
          </w:p>
        </w:tc>
        <w:tc>
          <w:tcPr>
            <w:tcW w:w="140" w:type="dxa"/>
            <w:vAlign w:val="bottom"/>
          </w:tcPr>
          <w:p>
            <w:pPr>
              <w:spacing w:after="0"/>
              <w:rPr>
                <w:sz w:val="14"/>
                <w:szCs w:val="14"/>
                <w:color w:val="auto"/>
              </w:rPr>
            </w:pPr>
          </w:p>
        </w:tc>
        <w:tc>
          <w:tcPr>
            <w:tcW w:w="980" w:type="dxa"/>
            <w:vAlign w:val="bottom"/>
            <w:gridSpan w:val="2"/>
          </w:tcPr>
          <w:p>
            <w:pPr>
              <w:jc w:val="right"/>
              <w:ind w:right="288"/>
              <w:spacing w:after="0"/>
              <w:rPr>
                <w:sz w:val="20"/>
                <w:szCs w:val="20"/>
                <w:color w:val="auto"/>
              </w:rPr>
            </w:pPr>
            <w:r>
              <w:rPr>
                <w:rFonts w:ascii="Arial" w:cs="Arial" w:eastAsia="Arial" w:hAnsi="Arial"/>
                <w:sz w:val="14"/>
                <w:szCs w:val="14"/>
                <w:color w:val="auto"/>
              </w:rPr>
              <w:t>(15,048)</w:t>
            </w:r>
          </w:p>
        </w:tc>
        <w:tc>
          <w:tcPr>
            <w:tcW w:w="180" w:type="dxa"/>
            <w:vAlign w:val="bottom"/>
          </w:tcPr>
          <w:p>
            <w:pPr>
              <w:spacing w:after="0"/>
              <w:rPr>
                <w:sz w:val="14"/>
                <w:szCs w:val="14"/>
                <w:color w:val="auto"/>
              </w:rPr>
            </w:pPr>
          </w:p>
        </w:tc>
        <w:tc>
          <w:tcPr>
            <w:tcW w:w="920" w:type="dxa"/>
            <w:vAlign w:val="bottom"/>
            <w:gridSpan w:val="2"/>
          </w:tcPr>
          <w:p>
            <w:pPr>
              <w:jc w:val="right"/>
              <w:ind w:right="298"/>
              <w:spacing w:after="0"/>
              <w:rPr>
                <w:sz w:val="20"/>
                <w:szCs w:val="20"/>
                <w:color w:val="auto"/>
              </w:rPr>
            </w:pPr>
            <w:r>
              <w:rPr>
                <w:rFonts w:ascii="Arial" w:cs="Arial" w:eastAsia="Arial" w:hAnsi="Arial"/>
                <w:sz w:val="14"/>
                <w:szCs w:val="14"/>
                <w:color w:val="auto"/>
              </w:rPr>
              <w:t>(31,555)</w:t>
            </w: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(3,023)</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1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adjustment to AOCI</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23,534</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338"/>
              <w:spacing w:after="0"/>
              <w:rPr>
                <w:sz w:val="20"/>
                <w:szCs w:val="20"/>
                <w:color w:val="auto"/>
              </w:rPr>
            </w:pPr>
            <w:r>
              <w:rPr>
                <w:rFonts w:ascii="Arial" w:cs="Arial" w:eastAsia="Arial" w:hAnsi="Arial"/>
                <w:sz w:val="14"/>
                <w:szCs w:val="14"/>
                <w:color w:val="auto"/>
              </w:rPr>
              <w:t>49,354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4,729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
        </w:trPr>
        <w:tc>
          <w:tcPr>
            <w:tcW w:w="6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80" w:right="500" w:firstLine="599"/>
        <w:spacing w:after="0" w:line="255" w:lineRule="auto"/>
        <w:rPr>
          <w:sz w:val="20"/>
          <w:szCs w:val="20"/>
          <w:color w:val="auto"/>
        </w:rPr>
      </w:pPr>
      <w:r>
        <w:rPr>
          <w:rFonts w:ascii="Arial" w:cs="Arial" w:eastAsia="Arial" w:hAnsi="Arial"/>
          <w:sz w:val="14"/>
          <w:szCs w:val="14"/>
          <w:color w:val="auto"/>
        </w:rPr>
        <w:t>The Company has an unfunded supplemental pension plan for certain key executives. The projected benefit obligation and accumulated benefit obligation included in the preceding data related to such plan were $44,125,000 and $43,413,000, respectively, as of December 31, 2006 and were each $46,923,000 as of December 31, 2005.</w:t>
      </w:r>
    </w:p>
    <w:p>
      <w:pPr>
        <w:ind w:left="1280" w:right="380"/>
        <w:spacing w:after="0" w:line="268" w:lineRule="auto"/>
        <w:rPr>
          <w:sz w:val="20"/>
          <w:szCs w:val="20"/>
          <w:color w:val="auto"/>
        </w:rPr>
      </w:pPr>
      <w:r>
        <w:rPr>
          <w:rFonts w:ascii="Arial" w:cs="Arial" w:eastAsia="Arial" w:hAnsi="Arial"/>
          <w:sz w:val="13"/>
          <w:szCs w:val="13"/>
          <w:color w:val="auto"/>
        </w:rPr>
        <w:t>The accumulated benefit obligation for all defined benefit pension plans was $649,925,000 and $659,728,000 at December 31, 2006 and 2005, respectively. In September 2006, the Financial Accounting Standards Board issued SFAS No. 158, “Employers’ Accounting for Defined Benefit Pension and Other</w:t>
      </w:r>
    </w:p>
    <w:p>
      <w:pPr>
        <w:ind w:left="680" w:right="540"/>
        <w:spacing w:after="0" w:line="263" w:lineRule="auto"/>
        <w:rPr>
          <w:sz w:val="20"/>
          <w:szCs w:val="20"/>
          <w:color w:val="auto"/>
        </w:rPr>
      </w:pPr>
      <w:r>
        <w:rPr>
          <w:rFonts w:ascii="Arial" w:cs="Arial" w:eastAsia="Arial" w:hAnsi="Arial"/>
          <w:sz w:val="14"/>
          <w:szCs w:val="14"/>
          <w:color w:val="auto"/>
        </w:rPr>
        <w:t>Postretirement Plans,” which requires an employer to recognize in its balance sheet as an asset or liability the overfunded or underfunded status of a defined benefit postretirement plan, measured as the difference between the fair value of plan assets and the</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8" w:name="page109"/>
    <w:bookmarkEnd w:id="10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6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benefit obligation. For a pension plan, the benefit obligation is the projected benefit obligation; for any other postretirement benefit plan, such as a retiree health care plan, the benefit</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obligation is the accumulated postretirement benefit obligation. SFAS No. 158 requires that gains or losses and prior service costs or credits that arise during the period, but are not included</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1"/>
          <w:szCs w:val="11"/>
          <w:color w:val="auto"/>
        </w:rPr>
        <w:t>as components of net periodic benefit expense pursuant to SFAS No. 87 or SFAS No. 106, be recognized as a component of other comprehensive income. An employer with publicly-traded</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equity securities is required to initially recognize the funded status of a defined benefit postretirement plan as of the end of the fiscal year ending after December 15, 2006. The Company</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adopted the provisions of SFAS No. 158 as of December 31, 2006. As indicated in the preceding table, the Company recorded an additional minimum liability totaling $46,334,000</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($38,582,000 related to pension plans and $7,752,000 related to other postretirement benefits) with a corresponding reduction of stockholders’ equity, net of applicable deferred taxes,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$28,263,000. Of the $38,582,000 related to pension plans, $7,955,000 was related to unfunded nonqualified defined benefit plans. Because the recognition requirements of SFAS No. 158</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were required to be applied at the end of the year of adoption, the Company had to first recognize the minimum liability amounts required under the provisions of SFAS No. 87. As a result,</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as of December 31, 2006 the Company decreased its previously recorded minimum pension liability by $50,708,000 with a corresponding increase to other comprehensive income that, net</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of applicable deferred taxes, was $30,932,000. In order to recognize the funded status of the Company’s combined postretirement defined benefit plans under the provisions of</w:t>
      </w:r>
    </w:p>
    <w:p>
      <w:pPr>
        <w:spacing w:after="0" w:line="19" w:lineRule="exact"/>
        <w:rPr>
          <w:sz w:val="20"/>
          <w:szCs w:val="20"/>
          <w:color w:val="auto"/>
        </w:rPr>
      </w:pPr>
    </w:p>
    <w:p>
      <w:pPr>
        <w:ind w:left="680" w:right="100"/>
        <w:spacing w:after="0" w:line="256" w:lineRule="auto"/>
        <w:rPr>
          <w:sz w:val="20"/>
          <w:szCs w:val="20"/>
          <w:color w:val="auto"/>
        </w:rPr>
      </w:pPr>
      <w:r>
        <w:rPr>
          <w:rFonts w:ascii="Arial" w:cs="Arial" w:eastAsia="Arial" w:hAnsi="Arial"/>
          <w:sz w:val="13"/>
          <w:szCs w:val="13"/>
          <w:color w:val="auto"/>
        </w:rPr>
        <w:t>SFAS No. 158, the Company then recorded an incremental minimum liability of $16,166,000 with a corresponding reduction of stockholders’ equity that, net of applicable deferred taxes, was $9,841,000. In total, the Company decreased its minimum liability from that which was recorded at December 31, 2005 by $34,542,000 with a corresponding increase to stockholders’ equity that, net of applicable deferred taxes, was $21,091,000. The following table reflects the amortization of amounts in accumulated other comprehensive income expected to be recognized as components of net periodic benefit expense during 2007:</w:t>
      </w:r>
    </w:p>
    <w:p>
      <w:pPr>
        <w:spacing w:after="0" w:line="6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Other</w:t>
            </w:r>
          </w:p>
        </w:tc>
        <w:tc>
          <w:tcPr>
            <w:tcW w:w="0" w:type="dxa"/>
            <w:vAlign w:val="bottom"/>
          </w:tcPr>
          <w:p>
            <w:pPr>
              <w:spacing w:after="0"/>
              <w:rPr>
                <w:sz w:val="1"/>
                <w:szCs w:val="1"/>
                <w:color w:val="auto"/>
              </w:rPr>
            </w:pPr>
          </w:p>
        </w:tc>
      </w:tr>
      <w:tr>
        <w:trPr>
          <w:trHeight w:val="108"/>
        </w:trPr>
        <w:tc>
          <w:tcPr>
            <w:tcW w:w="7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right"/>
              <w:ind w:right="78"/>
              <w:spacing w:after="0"/>
              <w:rPr>
                <w:sz w:val="20"/>
                <w:szCs w:val="20"/>
                <w:color w:val="auto"/>
              </w:rPr>
            </w:pPr>
            <w:r>
              <w:rPr>
                <w:rFonts w:ascii="Arial" w:cs="Arial" w:eastAsia="Arial" w:hAnsi="Arial"/>
                <w:sz w:val="10"/>
                <w:szCs w:val="10"/>
                <w:b w:val="1"/>
                <w:bCs w:val="1"/>
                <w:color w:val="auto"/>
                <w:w w:val="93"/>
              </w:rPr>
              <w:t>Pension Plans</w:t>
            </w:r>
          </w:p>
        </w:tc>
        <w:tc>
          <w:tcPr>
            <w:tcW w:w="40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6"/>
              </w:rPr>
              <w:t>Postretirement</w:t>
            </w:r>
          </w:p>
        </w:tc>
        <w:tc>
          <w:tcPr>
            <w:tcW w:w="0" w:type="dxa"/>
            <w:vAlign w:val="bottom"/>
          </w:tcPr>
          <w:p>
            <w:pPr>
              <w:spacing w:after="0"/>
              <w:rPr>
                <w:sz w:val="1"/>
                <w:szCs w:val="1"/>
                <w:color w:val="auto"/>
              </w:rPr>
            </w:pPr>
          </w:p>
        </w:tc>
      </w:tr>
      <w:tr>
        <w:trPr>
          <w:trHeight w:val="125"/>
        </w:trPr>
        <w:tc>
          <w:tcPr>
            <w:tcW w:w="7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20"/>
              <w:spacing w:after="0"/>
              <w:rPr>
                <w:sz w:val="20"/>
                <w:szCs w:val="20"/>
                <w:color w:val="auto"/>
              </w:rPr>
            </w:pPr>
            <w:r>
              <w:rPr>
                <w:rFonts w:ascii="Arial" w:cs="Arial" w:eastAsia="Arial" w:hAnsi="Arial"/>
                <w:sz w:val="10"/>
                <w:szCs w:val="10"/>
                <w:b w:val="1"/>
                <w:bCs w:val="1"/>
                <w:color w:val="auto"/>
                <w:w w:val="94"/>
              </w:rPr>
              <w:t>Benefit Plans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1280" w:type="dxa"/>
            <w:vAlign w:val="bottom"/>
            <w:gridSpan w:val="3"/>
          </w:tcPr>
          <w:p>
            <w:pPr>
              <w:jc w:val="right"/>
              <w:ind w:right="700"/>
              <w:spacing w:after="0"/>
              <w:rPr>
                <w:sz w:val="20"/>
                <w:szCs w:val="20"/>
                <w:color w:val="auto"/>
              </w:rPr>
            </w:pPr>
            <w:r>
              <w:rPr>
                <w:rFonts w:ascii="Arial" w:cs="Arial" w:eastAsia="Arial" w:hAnsi="Arial"/>
                <w:sz w:val="10"/>
                <w:szCs w:val="10"/>
                <w:b w:val="1"/>
                <w:bCs w:val="1"/>
                <w:color w:val="auto"/>
                <w:w w:val="92"/>
              </w:rPr>
              <w:t>thousands)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700" w:type="dxa"/>
            <w:vAlign w:val="bottom"/>
          </w:tcPr>
          <w:p>
            <w:pPr>
              <w:spacing w:after="0"/>
              <w:rPr>
                <w:sz w:val="20"/>
                <w:szCs w:val="20"/>
                <w:color w:val="auto"/>
              </w:rPr>
            </w:pPr>
            <w:r>
              <w:rPr>
                <w:rFonts w:ascii="Arial" w:cs="Arial" w:eastAsia="Arial" w:hAnsi="Arial"/>
                <w:sz w:val="14"/>
                <w:szCs w:val="14"/>
                <w:color w:val="auto"/>
              </w:rPr>
              <w:t>Amortization of net prior service cost (credit)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308"/>
              <w:spacing w:after="0"/>
              <w:rPr>
                <w:sz w:val="20"/>
                <w:szCs w:val="20"/>
                <w:color w:val="auto"/>
              </w:rPr>
            </w:pPr>
            <w:r>
              <w:rPr>
                <w:rFonts w:ascii="Arial" w:cs="Arial" w:eastAsia="Arial" w:hAnsi="Arial"/>
                <w:sz w:val="14"/>
                <w:szCs w:val="14"/>
                <w:color w:val="auto"/>
              </w:rPr>
              <w:t>(6,559)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82"/>
        </w:trPr>
        <w:tc>
          <w:tcPr>
            <w:tcW w:w="7700" w:type="dxa"/>
            <w:vAlign w:val="bottom"/>
          </w:tcPr>
          <w:p>
            <w:pPr>
              <w:spacing w:after="0"/>
              <w:rPr>
                <w:sz w:val="20"/>
                <w:szCs w:val="20"/>
                <w:color w:val="auto"/>
              </w:rPr>
            </w:pPr>
            <w:r>
              <w:rPr>
                <w:rFonts w:ascii="Arial" w:cs="Arial" w:eastAsia="Arial" w:hAnsi="Arial"/>
                <w:sz w:val="14"/>
                <w:szCs w:val="14"/>
                <w:color w:val="auto"/>
              </w:rPr>
              <w:t>Amortization of net loss</w:t>
            </w:r>
          </w:p>
        </w:tc>
        <w:tc>
          <w:tcPr>
            <w:tcW w:w="100" w:type="dxa"/>
            <w:vAlign w:val="bottom"/>
          </w:tcPr>
          <w:p>
            <w:pPr>
              <w:spacing w:after="0"/>
              <w:rPr>
                <w:sz w:val="15"/>
                <w:szCs w:val="15"/>
                <w:color w:val="auto"/>
              </w:rPr>
            </w:pPr>
          </w:p>
        </w:tc>
        <w:tc>
          <w:tcPr>
            <w:tcW w:w="1200" w:type="dxa"/>
            <w:vAlign w:val="bottom"/>
            <w:gridSpan w:val="2"/>
          </w:tcPr>
          <w:p>
            <w:pPr>
              <w:jc w:val="right"/>
              <w:ind w:right="348"/>
              <w:spacing w:after="0"/>
              <w:rPr>
                <w:sz w:val="20"/>
                <w:szCs w:val="20"/>
                <w:color w:val="auto"/>
              </w:rPr>
            </w:pPr>
            <w:r>
              <w:rPr>
                <w:rFonts w:ascii="Arial" w:cs="Arial" w:eastAsia="Arial" w:hAnsi="Arial"/>
                <w:sz w:val="14"/>
                <w:szCs w:val="14"/>
                <w:color w:val="auto"/>
              </w:rPr>
              <w:t>3,954</w:t>
            </w:r>
          </w:p>
        </w:tc>
        <w:tc>
          <w:tcPr>
            <w:tcW w:w="80" w:type="dxa"/>
            <w:vAlign w:val="bottom"/>
          </w:tcPr>
          <w:p>
            <w:pPr>
              <w:spacing w:after="0"/>
              <w:rPr>
                <w:sz w:val="15"/>
                <w:szCs w:val="15"/>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680" w:firstLine="599"/>
        <w:spacing w:after="0" w:line="270" w:lineRule="auto"/>
        <w:rPr>
          <w:sz w:val="20"/>
          <w:szCs w:val="20"/>
          <w:color w:val="auto"/>
        </w:rPr>
      </w:pPr>
      <w:r>
        <w:rPr>
          <w:rFonts w:ascii="Arial" w:cs="Arial" w:eastAsia="Arial" w:hAnsi="Arial"/>
          <w:sz w:val="13"/>
          <w:szCs w:val="13"/>
          <w:color w:val="auto"/>
        </w:rPr>
        <w:t>Effective January 1, 2006, the Company amended certain provisions of its defined benefit pension plans. The formula was changed to reduce the future accrual of benefits by lowering the accrual percentage and through use of a career-average-pay formula as opposed to the previous final-average-pay formula. The amendments affected benefits earned for service periods beginning after December 31, 2005. The amendments caused the projected benefit obligation associated with the defined benefit plans to decrease by approximately $98 million as of December 31, 2005. There was no corresponding effect on the accumulated benefit obligation. Amortization of prior service credits lowered pension expense in 2006 by approximately $7 million. Also effective January 1, 2006, the Company began to provide a new qualified defined contribution pension plan. Active participants in the old defined benefit plan had the choice of electing to remain in the defined benefit plan under the reduced benefit formula, or electing to participate in the new qualified defined contribution plan. Under the new defined contribution pension plan, the Company makes contributions to the plan each year in an amount that is based on an individual participant’s total compensation (generally defined as total wages, incentive compensation, commissions and bonuses) and years of service. Participants do not contribute to the defined contribution pension plan. Employees who were not participants in the defined benefit plan at December 31, 2005 can no longer participate in that plan, but are eligible to participate in the defined contribution plan. Pension expense recorded in 2006 associated with the defined contribution pension plan was approximately $7 million.</w:t>
      </w:r>
    </w:p>
    <w:p>
      <w:pPr>
        <w:jc w:val="both"/>
        <w:ind w:left="680" w:right="160" w:firstLine="599"/>
        <w:spacing w:after="0" w:line="256" w:lineRule="auto"/>
        <w:rPr>
          <w:sz w:val="20"/>
          <w:szCs w:val="20"/>
          <w:color w:val="auto"/>
        </w:rPr>
      </w:pPr>
      <w:r>
        <w:rPr>
          <w:rFonts w:ascii="Arial" w:cs="Arial" w:eastAsia="Arial" w:hAnsi="Arial"/>
          <w:sz w:val="14"/>
          <w:szCs w:val="14"/>
          <w:color w:val="auto"/>
        </w:rPr>
        <w:t>As of December 31, 2006, the accumulated benefit obligation and fair value of plan assets for pension plans with accumulated benefit obligations in excess of plan assets were $643,095,000 (including $43,413,000 related to the unfunded supplemental pension plan) and $506,268,000, respectively. As of December 31, 2005, the accumulated benefit obligation and fair value of plan assets for pension plans</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09" w:name="page110"/>
    <w:bookmarkEnd w:id="10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56" w:lineRule="exact"/>
        <w:rPr>
          <w:sz w:val="20"/>
          <w:szCs w:val="20"/>
          <w:color w:val="auto"/>
        </w:rPr>
      </w:pPr>
    </w:p>
    <w:p>
      <w:pPr>
        <w:ind w:left="680" w:right="700"/>
        <w:spacing w:after="0" w:line="258" w:lineRule="auto"/>
        <w:rPr>
          <w:sz w:val="20"/>
          <w:szCs w:val="20"/>
          <w:color w:val="auto"/>
        </w:rPr>
      </w:pPr>
      <w:r>
        <w:rPr>
          <w:rFonts w:ascii="Arial" w:cs="Arial" w:eastAsia="Arial" w:hAnsi="Arial"/>
          <w:sz w:val="14"/>
          <w:szCs w:val="14"/>
          <w:color w:val="auto"/>
        </w:rPr>
        <w:t>with accumulated benefit obligations in excess of plan assets were $652,758,000 (including $46,923,000 related to the unfunded supplemental pension plan) and $444,883,000, respectively.</w:t>
      </w:r>
    </w:p>
    <w:p>
      <w:pPr>
        <w:ind w:left="1280"/>
        <w:spacing w:after="0"/>
        <w:rPr>
          <w:sz w:val="20"/>
          <w:szCs w:val="20"/>
          <w:color w:val="auto"/>
        </w:rPr>
      </w:pPr>
      <w:r>
        <w:rPr>
          <w:rFonts w:ascii="Arial" w:cs="Arial" w:eastAsia="Arial" w:hAnsi="Arial"/>
          <w:sz w:val="14"/>
          <w:szCs w:val="14"/>
          <w:color w:val="auto"/>
        </w:rPr>
        <w:t>The assumed weighted-average rates used to determine benefit obligations at December 31 were:</w:t>
      </w:r>
    </w:p>
    <w:p>
      <w:pPr>
        <w:spacing w:after="0" w:line="8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92"/>
              </w:rPr>
              <w:t>Pension</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80" w:type="dxa"/>
            <w:vAlign w:val="bottom"/>
          </w:tcPr>
          <w:p>
            <w:pPr>
              <w:jc w:val="center"/>
              <w:spacing w:after="0"/>
              <w:rPr>
                <w:sz w:val="20"/>
                <w:szCs w:val="20"/>
                <w:color w:val="auto"/>
              </w:rPr>
            </w:pPr>
            <w:r>
              <w:rPr>
                <w:rFonts w:ascii="Arial" w:cs="Arial" w:eastAsia="Arial" w:hAnsi="Arial"/>
                <w:sz w:val="10"/>
                <w:szCs w:val="10"/>
                <w:b w:val="1"/>
                <w:bCs w:val="1"/>
                <w:color w:val="auto"/>
              </w:rPr>
              <w:t>Other</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7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20" w:type="dxa"/>
            <w:vAlign w:val="bottom"/>
            <w:gridSpan w:val="4"/>
          </w:tcPr>
          <w:p>
            <w:pPr>
              <w:jc w:val="center"/>
              <w:ind w:right="120"/>
              <w:spacing w:after="0" w:line="108" w:lineRule="exact"/>
              <w:rPr>
                <w:sz w:val="20"/>
                <w:szCs w:val="20"/>
                <w:color w:val="auto"/>
              </w:rPr>
            </w:pPr>
            <w:r>
              <w:rPr>
                <w:rFonts w:ascii="Arial" w:cs="Arial" w:eastAsia="Arial" w:hAnsi="Arial"/>
                <w:sz w:val="10"/>
                <w:szCs w:val="10"/>
                <w:b w:val="1"/>
                <w:bCs w:val="1"/>
                <w:color w:val="auto"/>
                <w:w w:val="96"/>
              </w:rPr>
              <w:t>Postretirement</w:t>
            </w:r>
          </w:p>
        </w:tc>
        <w:tc>
          <w:tcPr>
            <w:tcW w:w="0" w:type="dxa"/>
            <w:vAlign w:val="bottom"/>
          </w:tcPr>
          <w:p>
            <w:pPr>
              <w:spacing w:after="0"/>
              <w:rPr>
                <w:sz w:val="1"/>
                <w:szCs w:val="1"/>
                <w:color w:val="auto"/>
              </w:rPr>
            </w:pPr>
          </w:p>
        </w:tc>
      </w:tr>
      <w:tr>
        <w:trPr>
          <w:trHeight w:val="125"/>
        </w:trPr>
        <w:tc>
          <w:tcPr>
            <w:tcW w:w="706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6"/>
              </w:rPr>
              <w:t>Benefits</w:t>
            </w:r>
          </w:p>
        </w:tc>
        <w:tc>
          <w:tcPr>
            <w:tcW w:w="34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Benefits</w:t>
            </w:r>
          </w:p>
        </w:tc>
        <w:tc>
          <w:tcPr>
            <w:tcW w:w="3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060" w:type="dxa"/>
            <w:vAlign w:val="bottom"/>
          </w:tcPr>
          <w:p>
            <w:pPr>
              <w:spacing w:after="0"/>
              <w:rPr>
                <w:sz w:val="8"/>
                <w:szCs w:val="8"/>
                <w:color w:val="auto"/>
              </w:rPr>
            </w:pPr>
          </w:p>
        </w:tc>
        <w:tc>
          <w:tcPr>
            <w:tcW w:w="3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2006</w:t>
            </w:r>
          </w:p>
        </w:tc>
        <w:tc>
          <w:tcPr>
            <w:tcW w:w="420" w:type="dxa"/>
            <w:vAlign w:val="bottom"/>
          </w:tcPr>
          <w:p>
            <w:pPr>
              <w:spacing w:after="0"/>
              <w:rPr>
                <w:sz w:val="8"/>
                <w:szCs w:val="8"/>
                <w:color w:val="auto"/>
              </w:rPr>
            </w:pPr>
          </w:p>
        </w:tc>
        <w:tc>
          <w:tcPr>
            <w:tcW w:w="3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2005</w:t>
            </w:r>
          </w:p>
        </w:tc>
        <w:tc>
          <w:tcPr>
            <w:tcW w:w="500" w:type="dxa"/>
            <w:vAlign w:val="bottom"/>
          </w:tcPr>
          <w:p>
            <w:pPr>
              <w:spacing w:after="0"/>
              <w:rPr>
                <w:sz w:val="8"/>
                <w:szCs w:val="8"/>
                <w:color w:val="auto"/>
              </w:rPr>
            </w:pPr>
          </w:p>
        </w:tc>
        <w:tc>
          <w:tcPr>
            <w:tcW w:w="360" w:type="dxa"/>
            <w:vAlign w:val="bottom"/>
            <w:tcBorders>
              <w:bottom w:val="single" w:sz="8" w:color="auto"/>
            </w:tcBorders>
          </w:tcPr>
          <w:p>
            <w:pPr>
              <w:jc w:val="right"/>
              <w:ind w:right="18"/>
              <w:spacing w:after="0" w:line="98" w:lineRule="exact"/>
              <w:rPr>
                <w:sz w:val="20"/>
                <w:szCs w:val="20"/>
                <w:color w:val="auto"/>
              </w:rPr>
            </w:pPr>
            <w:r>
              <w:rPr>
                <w:rFonts w:ascii="Arial" w:cs="Arial" w:eastAsia="Arial" w:hAnsi="Arial"/>
                <w:sz w:val="10"/>
                <w:szCs w:val="10"/>
                <w:b w:val="1"/>
                <w:bCs w:val="1"/>
                <w:color w:val="auto"/>
              </w:rPr>
              <w:t>2006</w:t>
            </w:r>
          </w:p>
        </w:tc>
        <w:tc>
          <w:tcPr>
            <w:tcW w:w="480" w:type="dxa"/>
            <w:vAlign w:val="bottom"/>
          </w:tcPr>
          <w:p>
            <w:pPr>
              <w:spacing w:after="0"/>
              <w:rPr>
                <w:sz w:val="8"/>
                <w:szCs w:val="8"/>
                <w:color w:val="auto"/>
              </w:rPr>
            </w:pPr>
          </w:p>
        </w:tc>
        <w:tc>
          <w:tcPr>
            <w:tcW w:w="360" w:type="dxa"/>
            <w:vAlign w:val="bottom"/>
            <w:tcBorders>
              <w:bottom w:val="single" w:sz="8" w:color="auto"/>
            </w:tcBorders>
          </w:tcPr>
          <w:p>
            <w:pPr>
              <w:jc w:val="right"/>
              <w:ind w:right="15"/>
              <w:spacing w:after="0" w:line="98" w:lineRule="exact"/>
              <w:rPr>
                <w:sz w:val="20"/>
                <w:szCs w:val="20"/>
                <w:color w:val="auto"/>
              </w:rPr>
            </w:pPr>
            <w:r>
              <w:rPr>
                <w:rFonts w:ascii="Arial" w:cs="Arial" w:eastAsia="Arial" w:hAnsi="Arial"/>
                <w:sz w:val="10"/>
                <w:szCs w:val="10"/>
                <w:b w:val="1"/>
                <w:bCs w:val="1"/>
                <w:color w:val="auto"/>
              </w:rPr>
              <w:t>2005</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7060" w:type="dxa"/>
            <w:vAlign w:val="bottom"/>
          </w:tcPr>
          <w:p>
            <w:pPr>
              <w:spacing w:after="0"/>
              <w:rPr>
                <w:sz w:val="20"/>
                <w:szCs w:val="20"/>
                <w:color w:val="auto"/>
              </w:rPr>
            </w:pPr>
            <w:r>
              <w:rPr>
                <w:rFonts w:ascii="Arial" w:cs="Arial" w:eastAsia="Arial" w:hAnsi="Arial"/>
                <w:sz w:val="14"/>
                <w:szCs w:val="14"/>
                <w:color w:val="auto"/>
              </w:rPr>
              <w:t>Discount rate</w:t>
            </w:r>
          </w:p>
        </w:tc>
        <w:tc>
          <w:tcPr>
            <w:tcW w:w="760" w:type="dxa"/>
            <w:vAlign w:val="bottom"/>
            <w:gridSpan w:val="2"/>
          </w:tcPr>
          <w:p>
            <w:pPr>
              <w:jc w:val="right"/>
              <w:ind w:right="248"/>
              <w:spacing w:after="0"/>
              <w:rPr>
                <w:sz w:val="20"/>
                <w:szCs w:val="20"/>
                <w:color w:val="auto"/>
              </w:rPr>
            </w:pPr>
            <w:r>
              <w:rPr>
                <w:rFonts w:ascii="Arial" w:cs="Arial" w:eastAsia="Arial" w:hAnsi="Arial"/>
                <w:sz w:val="14"/>
                <w:szCs w:val="14"/>
                <w:color w:val="auto"/>
              </w:rPr>
              <w:t>5.75%</w:t>
            </w:r>
          </w:p>
        </w:tc>
        <w:tc>
          <w:tcPr>
            <w:tcW w:w="840" w:type="dxa"/>
            <w:vAlign w:val="bottom"/>
            <w:gridSpan w:val="2"/>
          </w:tcPr>
          <w:p>
            <w:pPr>
              <w:jc w:val="right"/>
              <w:ind w:right="380"/>
              <w:spacing w:after="0"/>
              <w:rPr>
                <w:sz w:val="20"/>
                <w:szCs w:val="20"/>
                <w:color w:val="auto"/>
              </w:rPr>
            </w:pPr>
            <w:r>
              <w:rPr>
                <w:rFonts w:ascii="Arial" w:cs="Arial" w:eastAsia="Arial" w:hAnsi="Arial"/>
                <w:sz w:val="14"/>
                <w:szCs w:val="14"/>
                <w:color w:val="auto"/>
              </w:rPr>
              <w:t>5.50%</w:t>
            </w:r>
          </w:p>
        </w:tc>
        <w:tc>
          <w:tcPr>
            <w:tcW w:w="840" w:type="dxa"/>
            <w:vAlign w:val="bottom"/>
            <w:gridSpan w:val="2"/>
          </w:tcPr>
          <w:p>
            <w:pPr>
              <w:jc w:val="right"/>
              <w:ind w:right="308"/>
              <w:spacing w:after="0"/>
              <w:rPr>
                <w:sz w:val="20"/>
                <w:szCs w:val="20"/>
                <w:color w:val="auto"/>
              </w:rPr>
            </w:pPr>
            <w:r>
              <w:rPr>
                <w:rFonts w:ascii="Arial" w:cs="Arial" w:eastAsia="Arial" w:hAnsi="Arial"/>
                <w:sz w:val="14"/>
                <w:szCs w:val="14"/>
                <w:color w:val="auto"/>
              </w:rPr>
              <w:t>5.75%</w:t>
            </w:r>
          </w:p>
        </w:tc>
        <w:tc>
          <w:tcPr>
            <w:tcW w:w="480" w:type="dxa"/>
            <w:vAlign w:val="bottom"/>
            <w:gridSpan w:val="2"/>
          </w:tcPr>
          <w:p>
            <w:pPr>
              <w:jc w:val="right"/>
              <w:spacing w:after="0"/>
              <w:rPr>
                <w:sz w:val="20"/>
                <w:szCs w:val="20"/>
                <w:color w:val="auto"/>
              </w:rPr>
            </w:pPr>
            <w:r>
              <w:rPr>
                <w:rFonts w:ascii="Arial" w:cs="Arial" w:eastAsia="Arial" w:hAnsi="Arial"/>
                <w:sz w:val="14"/>
                <w:szCs w:val="14"/>
                <w:color w:val="auto"/>
              </w:rPr>
              <w:t>5.50%</w:t>
            </w:r>
          </w:p>
        </w:tc>
        <w:tc>
          <w:tcPr>
            <w:tcW w:w="0" w:type="dxa"/>
            <w:vAlign w:val="bottom"/>
          </w:tcPr>
          <w:p>
            <w:pPr>
              <w:spacing w:after="0"/>
              <w:rPr>
                <w:sz w:val="1"/>
                <w:szCs w:val="1"/>
                <w:color w:val="auto"/>
              </w:rPr>
            </w:pPr>
          </w:p>
        </w:tc>
      </w:tr>
      <w:tr>
        <w:trPr>
          <w:trHeight w:val="182"/>
        </w:trPr>
        <w:tc>
          <w:tcPr>
            <w:tcW w:w="7060" w:type="dxa"/>
            <w:vAlign w:val="bottom"/>
          </w:tcPr>
          <w:p>
            <w:pPr>
              <w:spacing w:after="0"/>
              <w:rPr>
                <w:sz w:val="20"/>
                <w:szCs w:val="20"/>
                <w:color w:val="auto"/>
              </w:rPr>
            </w:pPr>
            <w:r>
              <w:rPr>
                <w:rFonts w:ascii="Arial" w:cs="Arial" w:eastAsia="Arial" w:hAnsi="Arial"/>
                <w:sz w:val="14"/>
                <w:szCs w:val="14"/>
                <w:color w:val="auto"/>
              </w:rPr>
              <w:t>Rate of increase in future compensation levels</w:t>
            </w:r>
          </w:p>
        </w:tc>
        <w:tc>
          <w:tcPr>
            <w:tcW w:w="760" w:type="dxa"/>
            <w:vAlign w:val="bottom"/>
            <w:gridSpan w:val="2"/>
          </w:tcPr>
          <w:p>
            <w:pPr>
              <w:jc w:val="right"/>
              <w:ind w:right="248"/>
              <w:spacing w:after="0"/>
              <w:rPr>
                <w:sz w:val="20"/>
                <w:szCs w:val="20"/>
                <w:color w:val="auto"/>
              </w:rPr>
            </w:pPr>
            <w:r>
              <w:rPr>
                <w:rFonts w:ascii="Arial" w:cs="Arial" w:eastAsia="Arial" w:hAnsi="Arial"/>
                <w:sz w:val="14"/>
                <w:szCs w:val="14"/>
                <w:color w:val="auto"/>
              </w:rPr>
              <w:t>4.70%</w:t>
            </w:r>
          </w:p>
        </w:tc>
        <w:tc>
          <w:tcPr>
            <w:tcW w:w="840" w:type="dxa"/>
            <w:vAlign w:val="bottom"/>
            <w:gridSpan w:val="2"/>
          </w:tcPr>
          <w:p>
            <w:pPr>
              <w:jc w:val="right"/>
              <w:ind w:right="380"/>
              <w:spacing w:after="0"/>
              <w:rPr>
                <w:sz w:val="20"/>
                <w:szCs w:val="20"/>
                <w:color w:val="auto"/>
              </w:rPr>
            </w:pPr>
            <w:r>
              <w:rPr>
                <w:rFonts w:ascii="Arial" w:cs="Arial" w:eastAsia="Arial" w:hAnsi="Arial"/>
                <w:sz w:val="14"/>
                <w:szCs w:val="14"/>
                <w:color w:val="auto"/>
              </w:rPr>
              <w:t>4.90%</w:t>
            </w:r>
          </w:p>
        </w:tc>
        <w:tc>
          <w:tcPr>
            <w:tcW w:w="840" w:type="dxa"/>
            <w:vAlign w:val="bottom"/>
            <w:gridSpan w:val="2"/>
          </w:tcPr>
          <w:p>
            <w:pPr>
              <w:jc w:val="right"/>
              <w:ind w:right="42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The assumed weighted-average rates used to determine net benefit expense for the years ended December 31 were:</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5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gridSpan w:val="2"/>
          </w:tcPr>
          <w:p>
            <w:pPr>
              <w:jc w:val="center"/>
              <w:ind w:right="380"/>
              <w:spacing w:after="0"/>
              <w:rPr>
                <w:sz w:val="20"/>
                <w:szCs w:val="20"/>
                <w:color w:val="auto"/>
              </w:rPr>
            </w:pPr>
            <w:r>
              <w:rPr>
                <w:rFonts w:ascii="Arial" w:cs="Arial" w:eastAsia="Arial" w:hAnsi="Arial"/>
                <w:sz w:val="9"/>
                <w:szCs w:val="9"/>
                <w:b w:val="1"/>
                <w:bCs w:val="1"/>
                <w:color w:val="auto"/>
                <w:w w:val="99"/>
              </w:rPr>
              <w:t>Other</w:t>
            </w: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11"/>
        </w:trPr>
        <w:tc>
          <w:tcPr>
            <w:tcW w:w="57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gridSpan w:val="3"/>
          </w:tcPr>
          <w:p>
            <w:pPr>
              <w:ind w:left="60"/>
              <w:spacing w:after="0"/>
              <w:rPr>
                <w:sz w:val="20"/>
                <w:szCs w:val="20"/>
                <w:color w:val="auto"/>
              </w:rPr>
            </w:pPr>
            <w:r>
              <w:rPr>
                <w:rFonts w:ascii="Arial" w:cs="Arial" w:eastAsia="Arial" w:hAnsi="Arial"/>
                <w:sz w:val="9"/>
                <w:szCs w:val="9"/>
                <w:b w:val="1"/>
                <w:bCs w:val="1"/>
                <w:color w:val="auto"/>
              </w:rPr>
              <w:t>Pension Benefits</w:t>
            </w:r>
          </w:p>
        </w:tc>
        <w:tc>
          <w:tcPr>
            <w:tcW w:w="3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9"/>
                <w:szCs w:val="9"/>
                <w:b w:val="1"/>
                <w:bCs w:val="1"/>
                <w:color w:val="auto"/>
                <w:w w:val="90"/>
              </w:rPr>
              <w:t>Postretirement Benefits</w:t>
            </w:r>
          </w:p>
        </w:tc>
        <w:tc>
          <w:tcPr>
            <w:tcW w:w="3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88"/>
        </w:trPr>
        <w:tc>
          <w:tcPr>
            <w:tcW w:w="5780" w:type="dxa"/>
            <w:vAlign w:val="bottom"/>
          </w:tcPr>
          <w:p>
            <w:pPr>
              <w:spacing w:after="0"/>
              <w:rPr>
                <w:sz w:val="7"/>
                <w:szCs w:val="7"/>
                <w:color w:val="auto"/>
              </w:rPr>
            </w:pPr>
          </w:p>
        </w:tc>
        <w:tc>
          <w:tcPr>
            <w:tcW w:w="360" w:type="dxa"/>
            <w:vAlign w:val="bottom"/>
          </w:tcPr>
          <w:p>
            <w:pPr>
              <w:ind w:left="80"/>
              <w:spacing w:after="0" w:line="88" w:lineRule="exact"/>
              <w:rPr>
                <w:sz w:val="20"/>
                <w:szCs w:val="20"/>
                <w:color w:val="auto"/>
              </w:rPr>
            </w:pPr>
            <w:r>
              <w:rPr>
                <w:rFonts w:ascii="Arial" w:cs="Arial" w:eastAsia="Arial" w:hAnsi="Arial"/>
                <w:sz w:val="9"/>
                <w:szCs w:val="9"/>
                <w:b w:val="1"/>
                <w:bCs w:val="1"/>
                <w:color w:val="auto"/>
              </w:rPr>
              <w:t>2006</w:t>
            </w:r>
          </w:p>
        </w:tc>
        <w:tc>
          <w:tcPr>
            <w:tcW w:w="180" w:type="dxa"/>
            <w:vAlign w:val="bottom"/>
          </w:tcPr>
          <w:p>
            <w:pPr>
              <w:spacing w:after="0"/>
              <w:rPr>
                <w:sz w:val="7"/>
                <w:szCs w:val="7"/>
                <w:color w:val="auto"/>
              </w:rPr>
            </w:pPr>
          </w:p>
        </w:tc>
        <w:tc>
          <w:tcPr>
            <w:tcW w:w="540" w:type="dxa"/>
            <w:vAlign w:val="bottom"/>
            <w:gridSpan w:val="2"/>
          </w:tcPr>
          <w:p>
            <w:pPr>
              <w:ind w:left="280"/>
              <w:spacing w:after="0" w:line="88" w:lineRule="exact"/>
              <w:rPr>
                <w:sz w:val="20"/>
                <w:szCs w:val="20"/>
                <w:color w:val="auto"/>
              </w:rPr>
            </w:pPr>
            <w:r>
              <w:rPr>
                <w:rFonts w:ascii="Arial" w:cs="Arial" w:eastAsia="Arial" w:hAnsi="Arial"/>
                <w:sz w:val="9"/>
                <w:szCs w:val="9"/>
                <w:b w:val="1"/>
                <w:bCs w:val="1"/>
                <w:color w:val="auto"/>
              </w:rPr>
              <w:t>2005</w:t>
            </w:r>
          </w:p>
        </w:tc>
        <w:tc>
          <w:tcPr>
            <w:tcW w:w="400" w:type="dxa"/>
            <w:vAlign w:val="bottom"/>
          </w:tcPr>
          <w:p>
            <w:pPr>
              <w:spacing w:after="0"/>
              <w:rPr>
                <w:sz w:val="7"/>
                <w:szCs w:val="7"/>
                <w:color w:val="auto"/>
              </w:rPr>
            </w:pPr>
          </w:p>
        </w:tc>
        <w:tc>
          <w:tcPr>
            <w:tcW w:w="360" w:type="dxa"/>
            <w:vAlign w:val="bottom"/>
          </w:tcPr>
          <w:p>
            <w:pPr>
              <w:ind w:left="80"/>
              <w:spacing w:after="0" w:line="88" w:lineRule="exact"/>
              <w:rPr>
                <w:sz w:val="20"/>
                <w:szCs w:val="20"/>
                <w:color w:val="auto"/>
              </w:rPr>
            </w:pPr>
            <w:r>
              <w:rPr>
                <w:rFonts w:ascii="Arial" w:cs="Arial" w:eastAsia="Arial" w:hAnsi="Arial"/>
                <w:sz w:val="9"/>
                <w:szCs w:val="9"/>
                <w:b w:val="1"/>
                <w:bCs w:val="1"/>
                <w:color w:val="auto"/>
              </w:rPr>
              <w:t>2004</w:t>
            </w:r>
          </w:p>
        </w:tc>
        <w:tc>
          <w:tcPr>
            <w:tcW w:w="380" w:type="dxa"/>
            <w:vAlign w:val="bottom"/>
          </w:tcPr>
          <w:p>
            <w:pPr>
              <w:spacing w:after="0"/>
              <w:rPr>
                <w:sz w:val="7"/>
                <w:szCs w:val="7"/>
                <w:color w:val="auto"/>
              </w:rPr>
            </w:pPr>
          </w:p>
        </w:tc>
        <w:tc>
          <w:tcPr>
            <w:tcW w:w="360" w:type="dxa"/>
            <w:vAlign w:val="bottom"/>
          </w:tcPr>
          <w:p>
            <w:pPr>
              <w:jc w:val="right"/>
              <w:ind w:right="15"/>
              <w:spacing w:after="0" w:line="88" w:lineRule="exact"/>
              <w:rPr>
                <w:sz w:val="20"/>
                <w:szCs w:val="20"/>
                <w:color w:val="auto"/>
              </w:rPr>
            </w:pPr>
            <w:r>
              <w:rPr>
                <w:rFonts w:ascii="Arial" w:cs="Arial" w:eastAsia="Arial" w:hAnsi="Arial"/>
                <w:sz w:val="9"/>
                <w:szCs w:val="9"/>
                <w:b w:val="1"/>
                <w:bCs w:val="1"/>
                <w:color w:val="auto"/>
              </w:rPr>
              <w:t>2006</w:t>
            </w:r>
          </w:p>
        </w:tc>
        <w:tc>
          <w:tcPr>
            <w:tcW w:w="400" w:type="dxa"/>
            <w:vAlign w:val="bottom"/>
          </w:tcPr>
          <w:p>
            <w:pPr>
              <w:spacing w:after="0"/>
              <w:rPr>
                <w:sz w:val="7"/>
                <w:szCs w:val="7"/>
                <w:color w:val="auto"/>
              </w:rPr>
            </w:pPr>
          </w:p>
        </w:tc>
        <w:tc>
          <w:tcPr>
            <w:tcW w:w="340" w:type="dxa"/>
            <w:vAlign w:val="bottom"/>
          </w:tcPr>
          <w:p>
            <w:pPr>
              <w:jc w:val="center"/>
              <w:spacing w:after="0" w:line="88" w:lineRule="exact"/>
              <w:rPr>
                <w:sz w:val="20"/>
                <w:szCs w:val="20"/>
                <w:color w:val="auto"/>
              </w:rPr>
            </w:pPr>
            <w:r>
              <w:rPr>
                <w:rFonts w:ascii="Arial" w:cs="Arial" w:eastAsia="Arial" w:hAnsi="Arial"/>
                <w:sz w:val="9"/>
                <w:szCs w:val="9"/>
                <w:b w:val="1"/>
                <w:bCs w:val="1"/>
                <w:color w:val="auto"/>
                <w:w w:val="89"/>
              </w:rPr>
              <w:t>2005</w:t>
            </w:r>
          </w:p>
        </w:tc>
        <w:tc>
          <w:tcPr>
            <w:tcW w:w="400" w:type="dxa"/>
            <w:vAlign w:val="bottom"/>
          </w:tcPr>
          <w:p>
            <w:pPr>
              <w:spacing w:after="0"/>
              <w:rPr>
                <w:sz w:val="7"/>
                <w:szCs w:val="7"/>
                <w:color w:val="auto"/>
              </w:rPr>
            </w:pPr>
          </w:p>
        </w:tc>
        <w:tc>
          <w:tcPr>
            <w:tcW w:w="360" w:type="dxa"/>
            <w:vAlign w:val="bottom"/>
          </w:tcPr>
          <w:p>
            <w:pPr>
              <w:jc w:val="right"/>
              <w:ind w:right="15"/>
              <w:spacing w:after="0" w:line="88" w:lineRule="exact"/>
              <w:rPr>
                <w:sz w:val="20"/>
                <w:szCs w:val="20"/>
                <w:color w:val="auto"/>
              </w:rPr>
            </w:pPr>
            <w:r>
              <w:rPr>
                <w:rFonts w:ascii="Arial" w:cs="Arial" w:eastAsia="Arial" w:hAnsi="Arial"/>
                <w:sz w:val="9"/>
                <w:szCs w:val="9"/>
                <w:b w:val="1"/>
                <w:bCs w:val="1"/>
                <w:color w:val="auto"/>
              </w:rPr>
              <w:t>2004</w:t>
            </w:r>
          </w:p>
        </w:tc>
        <w:tc>
          <w:tcPr>
            <w:tcW w:w="120" w:type="dxa"/>
            <w:vAlign w:val="bottom"/>
          </w:tcPr>
          <w:p>
            <w:pPr>
              <w:spacing w:after="0"/>
              <w:rPr>
                <w:sz w:val="7"/>
                <w:szCs w:val="7"/>
                <w:color w:val="auto"/>
              </w:rPr>
            </w:pPr>
          </w:p>
        </w:tc>
      </w:tr>
      <w:tr>
        <w:trPr>
          <w:trHeight w:val="29"/>
        </w:trPr>
        <w:tc>
          <w:tcPr>
            <w:tcW w:w="57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67"/>
        </w:trPr>
        <w:tc>
          <w:tcPr>
            <w:tcW w:w="5780" w:type="dxa"/>
            <w:vAlign w:val="bottom"/>
            <w:shd w:val="clear" w:color="auto" w:fill="CCEEFF"/>
          </w:tcPr>
          <w:p>
            <w:pPr>
              <w:spacing w:after="0"/>
              <w:rPr>
                <w:sz w:val="20"/>
                <w:szCs w:val="20"/>
                <w:color w:val="auto"/>
              </w:rPr>
            </w:pPr>
            <w:r>
              <w:rPr>
                <w:rFonts w:ascii="Arial" w:cs="Arial" w:eastAsia="Arial" w:hAnsi="Arial"/>
                <w:sz w:val="14"/>
                <w:szCs w:val="14"/>
                <w:color w:val="auto"/>
              </w:rPr>
              <w:t>Discount rate</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5.50%</w:t>
            </w:r>
          </w:p>
        </w:tc>
        <w:tc>
          <w:tcPr>
            <w:tcW w:w="9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6.00%</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6.25%</w:t>
            </w:r>
          </w:p>
        </w:tc>
        <w:tc>
          <w:tcPr>
            <w:tcW w:w="760" w:type="dxa"/>
            <w:vAlign w:val="bottom"/>
            <w:gridSpan w:val="2"/>
            <w:shd w:val="clear" w:color="auto" w:fill="CCEEFF"/>
          </w:tcPr>
          <w:p>
            <w:pPr>
              <w:jc w:val="right"/>
              <w:ind w:right="234"/>
              <w:spacing w:after="0"/>
              <w:rPr>
                <w:sz w:val="20"/>
                <w:szCs w:val="20"/>
                <w:color w:val="auto"/>
              </w:rPr>
            </w:pPr>
            <w:r>
              <w:rPr>
                <w:rFonts w:ascii="Arial" w:cs="Arial" w:eastAsia="Arial" w:hAnsi="Arial"/>
                <w:sz w:val="14"/>
                <w:szCs w:val="14"/>
                <w:color w:val="auto"/>
              </w:rPr>
              <w:t>5.50%</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6.25%</w:t>
            </w:r>
          </w:p>
        </w:tc>
      </w:tr>
      <w:tr>
        <w:trPr>
          <w:trHeight w:val="167"/>
        </w:trPr>
        <w:tc>
          <w:tcPr>
            <w:tcW w:w="5780" w:type="dxa"/>
            <w:vAlign w:val="bottom"/>
          </w:tcPr>
          <w:p>
            <w:pPr>
              <w:spacing w:after="0"/>
              <w:rPr>
                <w:sz w:val="20"/>
                <w:szCs w:val="20"/>
                <w:color w:val="auto"/>
              </w:rPr>
            </w:pPr>
            <w:r>
              <w:rPr>
                <w:rFonts w:ascii="Arial" w:cs="Arial" w:eastAsia="Arial" w:hAnsi="Arial"/>
                <w:sz w:val="14"/>
                <w:szCs w:val="14"/>
                <w:color w:val="auto"/>
              </w:rPr>
              <w:t>Long-term rate of return on plan assets</w:t>
            </w:r>
          </w:p>
        </w:tc>
        <w:tc>
          <w:tcPr>
            <w:tcW w:w="540" w:type="dxa"/>
            <w:vAlign w:val="bottom"/>
            <w:gridSpan w:val="2"/>
          </w:tcPr>
          <w:p>
            <w:pPr>
              <w:ind w:left="100"/>
              <w:spacing w:after="0"/>
              <w:rPr>
                <w:sz w:val="20"/>
                <w:szCs w:val="20"/>
                <w:color w:val="auto"/>
              </w:rPr>
            </w:pPr>
            <w:r>
              <w:rPr>
                <w:rFonts w:ascii="Arial" w:cs="Arial" w:eastAsia="Arial" w:hAnsi="Arial"/>
                <w:sz w:val="14"/>
                <w:szCs w:val="14"/>
                <w:color w:val="auto"/>
              </w:rPr>
              <w:t>8.50%</w:t>
            </w:r>
          </w:p>
        </w:tc>
        <w:tc>
          <w:tcPr>
            <w:tcW w:w="940" w:type="dxa"/>
            <w:vAlign w:val="bottom"/>
            <w:gridSpan w:val="3"/>
          </w:tcPr>
          <w:p>
            <w:pPr>
              <w:ind w:left="300"/>
              <w:spacing w:after="0"/>
              <w:rPr>
                <w:sz w:val="20"/>
                <w:szCs w:val="20"/>
                <w:color w:val="auto"/>
              </w:rPr>
            </w:pPr>
            <w:r>
              <w:rPr>
                <w:rFonts w:ascii="Arial" w:cs="Arial" w:eastAsia="Arial" w:hAnsi="Arial"/>
                <w:sz w:val="14"/>
                <w:szCs w:val="14"/>
                <w:color w:val="auto"/>
              </w:rPr>
              <w:t>8.50%</w:t>
            </w:r>
          </w:p>
        </w:tc>
        <w:tc>
          <w:tcPr>
            <w:tcW w:w="740" w:type="dxa"/>
            <w:vAlign w:val="bottom"/>
            <w:gridSpan w:val="2"/>
          </w:tcPr>
          <w:p>
            <w:pPr>
              <w:ind w:left="100"/>
              <w:spacing w:after="0"/>
              <w:rPr>
                <w:sz w:val="20"/>
                <w:szCs w:val="20"/>
                <w:color w:val="auto"/>
              </w:rPr>
            </w:pPr>
            <w:r>
              <w:rPr>
                <w:rFonts w:ascii="Arial" w:cs="Arial" w:eastAsia="Arial" w:hAnsi="Arial"/>
                <w:sz w:val="14"/>
                <w:szCs w:val="14"/>
                <w:color w:val="auto"/>
              </w:rPr>
              <w:t>8.50%</w:t>
            </w:r>
          </w:p>
        </w:tc>
        <w:tc>
          <w:tcPr>
            <w:tcW w:w="760" w:type="dxa"/>
            <w:vAlign w:val="bottom"/>
            <w:gridSpan w:val="2"/>
          </w:tcPr>
          <w:p>
            <w:pPr>
              <w:jc w:val="right"/>
              <w:ind w:right="354"/>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7"/>
        </w:trPr>
        <w:tc>
          <w:tcPr>
            <w:tcW w:w="5780" w:type="dxa"/>
            <w:vAlign w:val="bottom"/>
            <w:shd w:val="clear" w:color="auto" w:fill="CCEEFF"/>
          </w:tcPr>
          <w:p>
            <w:pPr>
              <w:spacing w:after="0"/>
              <w:rPr>
                <w:sz w:val="20"/>
                <w:szCs w:val="20"/>
                <w:color w:val="auto"/>
              </w:rPr>
            </w:pPr>
            <w:r>
              <w:rPr>
                <w:rFonts w:ascii="Arial" w:cs="Arial" w:eastAsia="Arial" w:hAnsi="Arial"/>
                <w:sz w:val="14"/>
                <w:szCs w:val="14"/>
                <w:color w:val="auto"/>
              </w:rPr>
              <w:t>Rate of increase in future compensation levels</w:t>
            </w:r>
          </w:p>
        </w:tc>
        <w:tc>
          <w:tcPr>
            <w:tcW w:w="5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4.90%</w:t>
            </w:r>
          </w:p>
        </w:tc>
        <w:tc>
          <w:tcPr>
            <w:tcW w:w="9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4.91%</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4.92%</w:t>
            </w:r>
          </w:p>
        </w:tc>
        <w:tc>
          <w:tcPr>
            <w:tcW w:w="760" w:type="dxa"/>
            <w:vAlign w:val="bottom"/>
            <w:gridSpan w:val="2"/>
            <w:shd w:val="clear" w:color="auto" w:fill="CCEEFF"/>
          </w:tcPr>
          <w:p>
            <w:pPr>
              <w:jc w:val="right"/>
              <w:ind w:right="354"/>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r>
    </w:tbl>
    <w:p>
      <w:pPr>
        <w:spacing w:after="0" w:line="76" w:lineRule="exact"/>
        <w:rPr>
          <w:sz w:val="20"/>
          <w:szCs w:val="20"/>
          <w:color w:val="auto"/>
        </w:rPr>
      </w:pPr>
    </w:p>
    <w:p>
      <w:pPr>
        <w:ind w:left="680" w:right="180" w:firstLine="599"/>
        <w:spacing w:after="0" w:line="280" w:lineRule="auto"/>
        <w:rPr>
          <w:sz w:val="20"/>
          <w:szCs w:val="20"/>
          <w:color w:val="auto"/>
        </w:rPr>
      </w:pPr>
      <w:r>
        <w:rPr>
          <w:rFonts w:ascii="Arial" w:cs="Arial" w:eastAsia="Arial" w:hAnsi="Arial"/>
          <w:sz w:val="14"/>
          <w:szCs w:val="14"/>
          <w:color w:val="auto"/>
        </w:rPr>
        <w:t>Weighted-average pension plan asset allocations based on the fair value of such assets at December 31, 2006 and 2005, and target allocations for 2007, by asset category, are as follows:</w:t>
      </w:r>
    </w:p>
    <w:p>
      <w:pPr>
        <w:spacing w:after="0" w:line="5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420" w:type="dxa"/>
            <w:vAlign w:val="bottom"/>
          </w:tcPr>
          <w:p>
            <w:pPr>
              <w:spacing w:after="0"/>
              <w:rPr>
                <w:sz w:val="10"/>
                <w:szCs w:val="10"/>
                <w:color w:val="auto"/>
              </w:rPr>
            </w:pPr>
          </w:p>
        </w:tc>
        <w:tc>
          <w:tcPr>
            <w:tcW w:w="1460" w:type="dxa"/>
            <w:vAlign w:val="bottom"/>
            <w:gridSpan w:val="4"/>
          </w:tcPr>
          <w:p>
            <w:pPr>
              <w:jc w:val="right"/>
              <w:ind w:right="640"/>
              <w:spacing w:after="0"/>
              <w:rPr>
                <w:sz w:val="20"/>
                <w:szCs w:val="20"/>
                <w:color w:val="auto"/>
              </w:rPr>
            </w:pPr>
            <w:r>
              <w:rPr>
                <w:rFonts w:ascii="Arial" w:cs="Arial" w:eastAsia="Arial" w:hAnsi="Arial"/>
                <w:sz w:val="10"/>
                <w:szCs w:val="10"/>
                <w:b w:val="1"/>
                <w:bCs w:val="1"/>
                <w:color w:val="auto"/>
              </w:rPr>
              <w:t>December 31</w:t>
            </w:r>
          </w:p>
        </w:tc>
        <w:tc>
          <w:tcPr>
            <w:tcW w:w="1100" w:type="dxa"/>
            <w:vAlign w:val="bottom"/>
            <w:gridSpan w:val="2"/>
          </w:tcPr>
          <w:p>
            <w:pPr>
              <w:jc w:val="right"/>
              <w:ind w:right="460"/>
              <w:spacing w:after="0"/>
              <w:rPr>
                <w:sz w:val="20"/>
                <w:szCs w:val="20"/>
                <w:color w:val="auto"/>
              </w:rPr>
            </w:pPr>
            <w:r>
              <w:rPr>
                <w:rFonts w:ascii="Arial" w:cs="Arial" w:eastAsia="Arial" w:hAnsi="Arial"/>
                <w:sz w:val="10"/>
                <w:szCs w:val="10"/>
                <w:b w:val="1"/>
                <w:bCs w:val="1"/>
                <w:color w:val="auto"/>
              </w:rPr>
              <w:t>Target</w:t>
            </w:r>
          </w:p>
        </w:tc>
        <w:tc>
          <w:tcPr>
            <w:tcW w:w="0" w:type="dxa"/>
            <w:vAlign w:val="bottom"/>
          </w:tcPr>
          <w:p>
            <w:pPr>
              <w:spacing w:after="0"/>
              <w:rPr>
                <w:sz w:val="1"/>
                <w:szCs w:val="1"/>
                <w:color w:val="auto"/>
              </w:rPr>
            </w:pPr>
          </w:p>
        </w:tc>
      </w:tr>
      <w:tr>
        <w:trPr>
          <w:trHeight w:val="98"/>
        </w:trPr>
        <w:tc>
          <w:tcPr>
            <w:tcW w:w="7420" w:type="dxa"/>
            <w:vAlign w:val="bottom"/>
          </w:tcPr>
          <w:p>
            <w:pPr>
              <w:spacing w:after="0"/>
              <w:rPr>
                <w:sz w:val="8"/>
                <w:szCs w:val="8"/>
                <w:color w:val="auto"/>
              </w:rPr>
            </w:pPr>
          </w:p>
        </w:tc>
        <w:tc>
          <w:tcPr>
            <w:tcW w:w="3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2005</w:t>
            </w:r>
          </w:p>
        </w:tc>
        <w:tc>
          <w:tcPr>
            <w:tcW w:w="420" w:type="dxa"/>
            <w:vAlign w:val="bottom"/>
          </w:tcPr>
          <w:p>
            <w:pPr>
              <w:spacing w:after="0"/>
              <w:rPr>
                <w:sz w:val="8"/>
                <w:szCs w:val="8"/>
                <w:color w:val="auto"/>
              </w:rPr>
            </w:pPr>
          </w:p>
        </w:tc>
        <w:tc>
          <w:tcPr>
            <w:tcW w:w="1100" w:type="dxa"/>
            <w:vAlign w:val="bottom"/>
            <w:gridSpan w:val="2"/>
          </w:tcPr>
          <w:p>
            <w:pPr>
              <w:jc w:val="right"/>
              <w:ind w:right="260"/>
              <w:spacing w:after="0" w:line="98" w:lineRule="exact"/>
              <w:rPr>
                <w:sz w:val="20"/>
                <w:szCs w:val="20"/>
                <w:color w:val="auto"/>
              </w:rPr>
            </w:pPr>
            <w:r>
              <w:rPr>
                <w:rFonts w:ascii="Arial" w:cs="Arial" w:eastAsia="Arial" w:hAnsi="Arial"/>
                <w:sz w:val="10"/>
                <w:szCs w:val="10"/>
                <w:b w:val="1"/>
                <w:bCs w:val="1"/>
                <w:color w:val="auto"/>
              </w:rPr>
              <w:t>Allocation 2007</w:t>
            </w:r>
          </w:p>
        </w:tc>
        <w:tc>
          <w:tcPr>
            <w:tcW w:w="0" w:type="dxa"/>
            <w:vAlign w:val="bottom"/>
          </w:tcPr>
          <w:p>
            <w:pPr>
              <w:spacing w:after="0"/>
              <w:rPr>
                <w:sz w:val="1"/>
                <w:szCs w:val="1"/>
                <w:color w:val="auto"/>
              </w:rPr>
            </w:pPr>
          </w:p>
        </w:tc>
      </w:tr>
      <w:tr>
        <w:trPr>
          <w:trHeight w:val="29"/>
        </w:trPr>
        <w:tc>
          <w:tcPr>
            <w:tcW w:w="74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7420" w:type="dxa"/>
            <w:vAlign w:val="bottom"/>
            <w:shd w:val="clear" w:color="auto" w:fill="CCEEFF"/>
          </w:tcPr>
          <w:p>
            <w:pPr>
              <w:spacing w:after="0"/>
              <w:rPr>
                <w:sz w:val="20"/>
                <w:szCs w:val="20"/>
                <w:color w:val="auto"/>
              </w:rPr>
            </w:pPr>
            <w:r>
              <w:rPr>
                <w:rFonts w:ascii="Arial" w:cs="Arial" w:eastAsia="Arial" w:hAnsi="Arial"/>
                <w:sz w:val="14"/>
                <w:szCs w:val="14"/>
                <w:color w:val="auto"/>
              </w:rPr>
              <w:t>Equity securities</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66%</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55-75%</w:t>
            </w:r>
          </w:p>
        </w:tc>
        <w:tc>
          <w:tcPr>
            <w:tcW w:w="0" w:type="dxa"/>
            <w:vAlign w:val="bottom"/>
          </w:tcPr>
          <w:p>
            <w:pPr>
              <w:spacing w:after="0"/>
              <w:rPr>
                <w:sz w:val="1"/>
                <w:szCs w:val="1"/>
                <w:color w:val="auto"/>
              </w:rPr>
            </w:pPr>
          </w:p>
        </w:tc>
      </w:tr>
      <w:tr>
        <w:trPr>
          <w:trHeight w:val="167"/>
        </w:trPr>
        <w:tc>
          <w:tcPr>
            <w:tcW w:w="7420" w:type="dxa"/>
            <w:vAlign w:val="bottom"/>
          </w:tcPr>
          <w:p>
            <w:pPr>
              <w:spacing w:after="0"/>
              <w:rPr>
                <w:sz w:val="20"/>
                <w:szCs w:val="20"/>
                <w:color w:val="auto"/>
              </w:rPr>
            </w:pPr>
            <w:r>
              <w:rPr>
                <w:rFonts w:ascii="Arial" w:cs="Arial" w:eastAsia="Arial" w:hAnsi="Arial"/>
                <w:sz w:val="14"/>
                <w:szCs w:val="14"/>
                <w:color w:val="auto"/>
              </w:rPr>
              <w:t>Debt securities</w:t>
            </w:r>
          </w:p>
        </w:tc>
        <w:tc>
          <w:tcPr>
            <w:tcW w:w="720" w:type="dxa"/>
            <w:vAlign w:val="bottom"/>
            <w:gridSpan w:val="2"/>
          </w:tcPr>
          <w:p>
            <w:pPr>
              <w:jc w:val="right"/>
              <w:ind w:right="400"/>
              <w:spacing w:after="0"/>
              <w:rPr>
                <w:sz w:val="20"/>
                <w:szCs w:val="20"/>
                <w:color w:val="auto"/>
              </w:rPr>
            </w:pPr>
            <w:r>
              <w:rPr>
                <w:rFonts w:ascii="Arial" w:cs="Arial" w:eastAsia="Arial" w:hAnsi="Arial"/>
                <w:sz w:val="14"/>
                <w:szCs w:val="14"/>
                <w:color w:val="auto"/>
              </w:rPr>
              <w:t>31</w:t>
            </w:r>
          </w:p>
        </w:tc>
        <w:tc>
          <w:tcPr>
            <w:tcW w:w="740" w:type="dxa"/>
            <w:vAlign w:val="bottom"/>
            <w:gridSpan w:val="2"/>
          </w:tcPr>
          <w:p>
            <w:pPr>
              <w:jc w:val="right"/>
              <w:ind w:right="420"/>
              <w:spacing w:after="0"/>
              <w:rPr>
                <w:sz w:val="20"/>
                <w:szCs w:val="20"/>
                <w:color w:val="auto"/>
              </w:rPr>
            </w:pPr>
            <w:r>
              <w:rPr>
                <w:rFonts w:ascii="Arial" w:cs="Arial" w:eastAsia="Arial" w:hAnsi="Arial"/>
                <w:sz w:val="14"/>
                <w:szCs w:val="14"/>
                <w:color w:val="auto"/>
              </w:rPr>
              <w:t>33</w:t>
            </w: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25-40</w:t>
            </w:r>
          </w:p>
        </w:tc>
        <w:tc>
          <w:tcPr>
            <w:tcW w:w="0" w:type="dxa"/>
            <w:vAlign w:val="bottom"/>
          </w:tcPr>
          <w:p>
            <w:pPr>
              <w:spacing w:after="0"/>
              <w:rPr>
                <w:sz w:val="1"/>
                <w:szCs w:val="1"/>
                <w:color w:val="auto"/>
              </w:rPr>
            </w:pPr>
          </w:p>
        </w:tc>
      </w:tr>
      <w:tr>
        <w:trPr>
          <w:trHeight w:val="167"/>
        </w:trPr>
        <w:tc>
          <w:tcPr>
            <w:tcW w:w="742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4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4</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20"/>
        </w:trPr>
        <w:tc>
          <w:tcPr>
            <w:tcW w:w="7420" w:type="dxa"/>
            <w:vAlign w:val="bottom"/>
            <w:vMerge w:val="restart"/>
          </w:tcPr>
          <w:p>
            <w:pPr>
              <w:ind w:left="140"/>
              <w:spacing w:after="0"/>
              <w:rPr>
                <w:sz w:val="20"/>
                <w:szCs w:val="20"/>
                <w:color w:val="auto"/>
              </w:rPr>
            </w:pPr>
            <w:r>
              <w:rPr>
                <w:rFonts w:ascii="Arial" w:cs="Arial" w:eastAsia="Arial" w:hAnsi="Arial"/>
                <w:sz w:val="14"/>
                <w:szCs w:val="14"/>
                <w:color w:val="auto"/>
              </w:rPr>
              <w:t>Total</w:t>
            </w: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420" w:type="dxa"/>
            <w:vAlign w:val="bottom"/>
            <w:vMerge w:val="continue"/>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color w:val="auto"/>
              </w:rPr>
              <w:t>100%</w:t>
            </w:r>
          </w:p>
        </w:tc>
        <w:tc>
          <w:tcPr>
            <w:tcW w:w="740" w:type="dxa"/>
            <w:vAlign w:val="bottom"/>
            <w:gridSpan w:val="2"/>
          </w:tcPr>
          <w:p>
            <w:pPr>
              <w:jc w:val="right"/>
              <w:ind w:right="300"/>
              <w:spacing w:after="0"/>
              <w:rPr>
                <w:sz w:val="20"/>
                <w:szCs w:val="20"/>
                <w:color w:val="auto"/>
              </w:rPr>
            </w:pPr>
            <w:r>
              <w:rPr>
                <w:rFonts w:ascii="Arial" w:cs="Arial" w:eastAsia="Arial" w:hAnsi="Arial"/>
                <w:sz w:val="14"/>
                <w:szCs w:val="14"/>
                <w:color w:val="auto"/>
              </w:rPr>
              <w:t>100%</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7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680" w:right="40" w:firstLine="599"/>
        <w:spacing w:after="0" w:line="252" w:lineRule="auto"/>
        <w:rPr>
          <w:sz w:val="20"/>
          <w:szCs w:val="20"/>
          <w:color w:val="auto"/>
        </w:rPr>
      </w:pPr>
      <w:r>
        <w:rPr>
          <w:rFonts w:ascii="Arial" w:cs="Arial" w:eastAsia="Arial" w:hAnsi="Arial"/>
          <w:sz w:val="14"/>
          <w:szCs w:val="14"/>
          <w:color w:val="auto"/>
        </w:rPr>
        <w:t>The expected long-term rate of return assumption as of each measurement date was determined by taking into consideration asset allocations as of each such date, target allocations of assets, historical returns on the types of assets held and current economic factors. The Company’s investment policy for determining the asset allocation targets was developed based on the desire to maximize total return while placing a strong emphasis on preservation of capital. In general, it is hoped that, in the aggregate, changes in the fair value of plan assets will be less volatile than similar changes in appropriate market indices. Returns on invested assets are periodically compared with target market indices for each asset type to aid management in evaluating such returns. Furthermore, management regularly reviews the investment policy and may, if deemed appropriate, make changes to the target allocations presented above.</w:t>
      </w:r>
    </w:p>
    <w:p>
      <w:pPr>
        <w:ind w:left="680" w:right="280" w:firstLine="599"/>
        <w:spacing w:after="0" w:line="249" w:lineRule="auto"/>
        <w:rPr>
          <w:sz w:val="20"/>
          <w:szCs w:val="20"/>
          <w:color w:val="auto"/>
        </w:rPr>
      </w:pPr>
      <w:r>
        <w:rPr>
          <w:rFonts w:ascii="Arial" w:cs="Arial" w:eastAsia="Arial" w:hAnsi="Arial"/>
          <w:sz w:val="14"/>
          <w:szCs w:val="14"/>
          <w:color w:val="auto"/>
        </w:rPr>
        <w:t>Pension plan assets included common stock of M</w:t>
      </w:r>
      <w:r>
        <w:rPr>
          <w:rFonts w:ascii="Arial" w:cs="Arial" w:eastAsia="Arial" w:hAnsi="Arial"/>
          <w:sz w:val="13"/>
          <w:szCs w:val="13"/>
          <w:color w:val="auto"/>
        </w:rPr>
        <w:t>&amp;</w:t>
      </w:r>
      <w:r>
        <w:rPr>
          <w:rFonts w:ascii="Arial" w:cs="Arial" w:eastAsia="Arial" w:hAnsi="Arial"/>
          <w:sz w:val="14"/>
          <w:szCs w:val="14"/>
          <w:color w:val="auto"/>
        </w:rPr>
        <w:t>T with a fair value of $40,059,000 (8% of total plan assets) at December 31, 2006 and $35,760,000 (8% of total plan assets) at December 31, 2005.</w:t>
      </w:r>
    </w:p>
    <w:p>
      <w:pPr>
        <w:ind w:left="680" w:right="40" w:firstLine="599"/>
        <w:spacing w:after="0" w:line="251" w:lineRule="auto"/>
        <w:rPr>
          <w:sz w:val="20"/>
          <w:szCs w:val="20"/>
          <w:color w:val="auto"/>
        </w:rPr>
      </w:pPr>
      <w:r>
        <w:rPr>
          <w:rFonts w:ascii="Arial" w:cs="Arial" w:eastAsia="Arial" w:hAnsi="Arial"/>
          <w:sz w:val="14"/>
          <w:szCs w:val="14"/>
          <w:color w:val="auto"/>
        </w:rPr>
        <w:t>The Company makes contributions to its funded qualified defined benefit pension plans as required by government regulation or as deemed appropriate by management after considering the fair value of plan assets, expected returns on such assets, and the present value of benefit obligations of the plans. Subject to the impact of actual events and circumstances that may occur in 2007, the Company may make contributions to the qualified defined benefit pension plans in 2007, but the amount of any such contribution has not yet been determined. No minimum contribution is required in 2007 under government regulations for qualified defined benefit pension plans. The Company contributed $36 million to the qualified defined benefit pension plans in 2006. There were no contributions to such plans in 2005. The Company regularly funds the payment of benefit obligations for the supplemental defined benefit pension and postretirement benefit plans because such plans do not hold assets for investment. Payments made by the Company for supplemental pension benefits were $4,835,000 and $5,778,000 in 2006 and 2005, respectively. Payments made by the Company for postretirement benefits were $8,186,000</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0" w:name="page111"/>
    <w:bookmarkEnd w:id="1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56" w:lineRule="exact"/>
        <w:rPr>
          <w:sz w:val="20"/>
          <w:szCs w:val="20"/>
          <w:color w:val="auto"/>
        </w:rPr>
      </w:pPr>
    </w:p>
    <w:p>
      <w:pPr>
        <w:ind w:left="680" w:right="60"/>
        <w:spacing w:after="0" w:line="258" w:lineRule="auto"/>
        <w:rPr>
          <w:sz w:val="20"/>
          <w:szCs w:val="20"/>
          <w:color w:val="auto"/>
        </w:rPr>
      </w:pPr>
      <w:r>
        <w:rPr>
          <w:rFonts w:ascii="Arial" w:cs="Arial" w:eastAsia="Arial" w:hAnsi="Arial"/>
          <w:sz w:val="14"/>
          <w:szCs w:val="14"/>
          <w:color w:val="auto"/>
        </w:rPr>
        <w:t>and $9,682,000 in 2006 and 2005, respectively. Payments for supplemental pension and other postretirement benefits for 2007 are not expected to differ from those made in 2006 by an amount that will be material to the Company’s consolidated financial position.</w:t>
      </w:r>
    </w:p>
    <w:p>
      <w:pPr>
        <w:ind w:left="1280"/>
        <w:spacing w:after="0"/>
        <w:rPr>
          <w:sz w:val="20"/>
          <w:szCs w:val="20"/>
          <w:color w:val="auto"/>
        </w:rPr>
      </w:pPr>
      <w:r>
        <w:rPr>
          <w:rFonts w:ascii="Arial" w:cs="Arial" w:eastAsia="Arial" w:hAnsi="Arial"/>
          <w:sz w:val="13"/>
          <w:szCs w:val="13"/>
          <w:color w:val="auto"/>
        </w:rPr>
        <w:t>Estimated benefits expected to be paid in future years related to the Company’s defined benefit pension and other postretirement benefits plans are as follows:</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8000" w:type="dxa"/>
            <w:vAlign w:val="bottom"/>
          </w:tcPr>
          <w:p>
            <w:pPr>
              <w:spacing w:after="0"/>
              <w:rPr>
                <w:sz w:val="10"/>
                <w:szCs w:val="10"/>
                <w:color w:val="auto"/>
              </w:rPr>
            </w:pPr>
          </w:p>
        </w:tc>
        <w:tc>
          <w:tcPr>
            <w:tcW w:w="600" w:type="dxa"/>
            <w:vAlign w:val="bottom"/>
            <w:vMerge w:val="restart"/>
          </w:tcPr>
          <w:p>
            <w:pPr>
              <w:jc w:val="right"/>
              <w:ind w:right="53"/>
              <w:spacing w:after="0"/>
              <w:rPr>
                <w:sz w:val="20"/>
                <w:szCs w:val="20"/>
                <w:color w:val="auto"/>
              </w:rPr>
            </w:pPr>
            <w:r>
              <w:rPr>
                <w:rFonts w:ascii="Arial" w:cs="Arial" w:eastAsia="Arial" w:hAnsi="Arial"/>
                <w:sz w:val="10"/>
                <w:szCs w:val="10"/>
                <w:b w:val="1"/>
                <w:bCs w:val="1"/>
                <w:color w:val="auto"/>
              </w:rPr>
              <w:t>Pension</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Other</w:t>
            </w:r>
          </w:p>
        </w:tc>
        <w:tc>
          <w:tcPr>
            <w:tcW w:w="0" w:type="dxa"/>
            <w:vAlign w:val="bottom"/>
          </w:tcPr>
          <w:p>
            <w:pPr>
              <w:spacing w:after="0"/>
              <w:rPr>
                <w:sz w:val="1"/>
                <w:szCs w:val="1"/>
                <w:color w:val="auto"/>
              </w:rPr>
            </w:pPr>
          </w:p>
        </w:tc>
      </w:tr>
      <w:tr>
        <w:trPr>
          <w:trHeight w:val="108"/>
        </w:trPr>
        <w:tc>
          <w:tcPr>
            <w:tcW w:w="80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Postretirement</w:t>
            </w:r>
          </w:p>
        </w:tc>
        <w:tc>
          <w:tcPr>
            <w:tcW w:w="0" w:type="dxa"/>
            <w:vAlign w:val="bottom"/>
          </w:tcPr>
          <w:p>
            <w:pPr>
              <w:spacing w:after="0"/>
              <w:rPr>
                <w:sz w:val="1"/>
                <w:szCs w:val="1"/>
                <w:color w:val="auto"/>
              </w:rPr>
            </w:pPr>
          </w:p>
        </w:tc>
      </w:tr>
      <w:tr>
        <w:trPr>
          <w:trHeight w:val="125"/>
        </w:trPr>
        <w:tc>
          <w:tcPr>
            <w:tcW w:w="8000" w:type="dxa"/>
            <w:vAlign w:val="bottom"/>
          </w:tcPr>
          <w:p>
            <w:pPr>
              <w:spacing w:after="0"/>
              <w:rPr>
                <w:sz w:val="10"/>
                <w:szCs w:val="10"/>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0"/>
                <w:szCs w:val="10"/>
                <w:b w:val="1"/>
                <w:bCs w:val="1"/>
                <w:color w:val="auto"/>
              </w:rPr>
              <w:t>Benefits</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15"/>
              <w:spacing w:after="0"/>
              <w:rPr>
                <w:sz w:val="20"/>
                <w:szCs w:val="20"/>
                <w:color w:val="auto"/>
              </w:rPr>
            </w:pPr>
            <w:r>
              <w:rPr>
                <w:rFonts w:ascii="Arial" w:cs="Arial" w:eastAsia="Arial" w:hAnsi="Arial"/>
                <w:sz w:val="10"/>
                <w:szCs w:val="10"/>
                <w:b w:val="1"/>
                <w:bCs w:val="1"/>
                <w:color w:val="auto"/>
                <w:w w:val="91"/>
              </w:rPr>
              <w:t>Benefits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80" w:type="dxa"/>
            <w:vAlign w:val="bottom"/>
            <w:gridSpan w:val="3"/>
          </w:tcPr>
          <w:p>
            <w:pPr>
              <w:ind w:left="20"/>
              <w:spacing w:after="0"/>
              <w:rPr>
                <w:sz w:val="20"/>
                <w:szCs w:val="20"/>
                <w:color w:val="auto"/>
              </w:rPr>
            </w:pPr>
            <w:r>
              <w:rPr>
                <w:rFonts w:ascii="Arial" w:cs="Arial" w:eastAsia="Arial" w:hAnsi="Arial"/>
                <w:sz w:val="10"/>
                <w:szCs w:val="10"/>
                <w:b w:val="1"/>
                <w:bCs w:val="1"/>
                <w:color w:val="auto"/>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8000" w:type="dxa"/>
            <w:vAlign w:val="bottom"/>
            <w:shd w:val="clear" w:color="auto" w:fill="CCEEFF"/>
          </w:tcPr>
          <w:p>
            <w:pPr>
              <w:spacing w:after="0"/>
              <w:rPr>
                <w:sz w:val="20"/>
                <w:szCs w:val="20"/>
                <w:color w:val="auto"/>
              </w:rPr>
            </w:pPr>
            <w:r>
              <w:rPr>
                <w:rFonts w:ascii="Arial" w:cs="Arial" w:eastAsia="Arial" w:hAnsi="Arial"/>
                <w:sz w:val="14"/>
                <w:szCs w:val="14"/>
                <w:color w:val="auto"/>
              </w:rPr>
              <w:t>Year ending December 31:</w:t>
            </w:r>
          </w:p>
        </w:tc>
        <w:tc>
          <w:tcPr>
            <w:tcW w:w="6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8000" w:type="dxa"/>
            <w:vAlign w:val="bottom"/>
          </w:tcPr>
          <w:p>
            <w:pPr>
              <w:ind w:left="140"/>
              <w:spacing w:after="0"/>
              <w:rPr>
                <w:sz w:val="20"/>
                <w:szCs w:val="20"/>
                <w:color w:val="auto"/>
              </w:rPr>
            </w:pPr>
            <w:r>
              <w:rPr>
                <w:rFonts w:ascii="Arial" w:cs="Arial" w:eastAsia="Arial" w:hAnsi="Arial"/>
                <w:sz w:val="14"/>
                <w:szCs w:val="14"/>
                <w:color w:val="auto"/>
              </w:rPr>
              <w:t>2007</w:t>
            </w:r>
          </w:p>
        </w:tc>
        <w:tc>
          <w:tcPr>
            <w:tcW w:w="600" w:type="dxa"/>
            <w:vAlign w:val="bottom"/>
          </w:tcPr>
          <w:p>
            <w:pPr>
              <w:jc w:val="right"/>
              <w:spacing w:after="0"/>
              <w:rPr>
                <w:sz w:val="20"/>
                <w:szCs w:val="20"/>
                <w:color w:val="auto"/>
              </w:rPr>
            </w:pPr>
            <w:r>
              <w:rPr>
                <w:rFonts w:ascii="Arial" w:cs="Arial" w:eastAsia="Arial" w:hAnsi="Arial"/>
                <w:sz w:val="14"/>
                <w:szCs w:val="14"/>
                <w:color w:val="auto"/>
                <w:w w:val="99"/>
              </w:rPr>
              <w:t>$  26,609</w:t>
            </w: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7,483</w:t>
            </w:r>
          </w:p>
        </w:tc>
        <w:tc>
          <w:tcPr>
            <w:tcW w:w="0" w:type="dxa"/>
            <w:vAlign w:val="bottom"/>
          </w:tcPr>
          <w:p>
            <w:pPr>
              <w:spacing w:after="0"/>
              <w:rPr>
                <w:sz w:val="1"/>
                <w:szCs w:val="1"/>
                <w:color w:val="auto"/>
              </w:rPr>
            </w:pPr>
          </w:p>
        </w:tc>
      </w:tr>
      <w:tr>
        <w:trPr>
          <w:trHeight w:val="167"/>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2008</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26,866</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7,022</w:t>
            </w:r>
          </w:p>
        </w:tc>
        <w:tc>
          <w:tcPr>
            <w:tcW w:w="0" w:type="dxa"/>
            <w:vAlign w:val="bottom"/>
          </w:tcPr>
          <w:p>
            <w:pPr>
              <w:spacing w:after="0"/>
              <w:rPr>
                <w:sz w:val="1"/>
                <w:szCs w:val="1"/>
                <w:color w:val="auto"/>
              </w:rPr>
            </w:pPr>
          </w:p>
        </w:tc>
      </w:tr>
      <w:tr>
        <w:trPr>
          <w:trHeight w:val="167"/>
        </w:trPr>
        <w:tc>
          <w:tcPr>
            <w:tcW w:w="8000" w:type="dxa"/>
            <w:vAlign w:val="bottom"/>
          </w:tcPr>
          <w:p>
            <w:pPr>
              <w:ind w:left="140"/>
              <w:spacing w:after="0"/>
              <w:rPr>
                <w:sz w:val="20"/>
                <w:szCs w:val="20"/>
                <w:color w:val="auto"/>
              </w:rPr>
            </w:pPr>
            <w:r>
              <w:rPr>
                <w:rFonts w:ascii="Arial" w:cs="Arial" w:eastAsia="Arial" w:hAnsi="Arial"/>
                <w:sz w:val="14"/>
                <w:szCs w:val="14"/>
                <w:color w:val="auto"/>
              </w:rPr>
              <w:t>2009</w:t>
            </w:r>
          </w:p>
        </w:tc>
        <w:tc>
          <w:tcPr>
            <w:tcW w:w="600" w:type="dxa"/>
            <w:vAlign w:val="bottom"/>
          </w:tcPr>
          <w:p>
            <w:pPr>
              <w:jc w:val="right"/>
              <w:spacing w:after="0"/>
              <w:rPr>
                <w:sz w:val="20"/>
                <w:szCs w:val="20"/>
                <w:color w:val="auto"/>
              </w:rPr>
            </w:pPr>
            <w:r>
              <w:rPr>
                <w:rFonts w:ascii="Arial" w:cs="Arial" w:eastAsia="Arial" w:hAnsi="Arial"/>
                <w:sz w:val="14"/>
                <w:szCs w:val="14"/>
                <w:color w:val="auto"/>
              </w:rPr>
              <w:t>25,660</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6,823</w:t>
            </w:r>
          </w:p>
        </w:tc>
        <w:tc>
          <w:tcPr>
            <w:tcW w:w="0" w:type="dxa"/>
            <w:vAlign w:val="bottom"/>
          </w:tcPr>
          <w:p>
            <w:pPr>
              <w:spacing w:after="0"/>
              <w:rPr>
                <w:sz w:val="1"/>
                <w:szCs w:val="1"/>
                <w:color w:val="auto"/>
              </w:rPr>
            </w:pPr>
          </w:p>
        </w:tc>
      </w:tr>
      <w:tr>
        <w:trPr>
          <w:trHeight w:val="167"/>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2010</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30,062</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6,641</w:t>
            </w:r>
          </w:p>
        </w:tc>
        <w:tc>
          <w:tcPr>
            <w:tcW w:w="0" w:type="dxa"/>
            <w:vAlign w:val="bottom"/>
          </w:tcPr>
          <w:p>
            <w:pPr>
              <w:spacing w:after="0"/>
              <w:rPr>
                <w:sz w:val="1"/>
                <w:szCs w:val="1"/>
                <w:color w:val="auto"/>
              </w:rPr>
            </w:pPr>
          </w:p>
        </w:tc>
      </w:tr>
      <w:tr>
        <w:trPr>
          <w:trHeight w:val="167"/>
        </w:trPr>
        <w:tc>
          <w:tcPr>
            <w:tcW w:w="8000" w:type="dxa"/>
            <w:vAlign w:val="bottom"/>
          </w:tcPr>
          <w:p>
            <w:pPr>
              <w:ind w:left="140"/>
              <w:spacing w:after="0"/>
              <w:rPr>
                <w:sz w:val="20"/>
                <w:szCs w:val="20"/>
                <w:color w:val="auto"/>
              </w:rPr>
            </w:pPr>
            <w:r>
              <w:rPr>
                <w:rFonts w:ascii="Arial" w:cs="Arial" w:eastAsia="Arial" w:hAnsi="Arial"/>
                <w:sz w:val="14"/>
                <w:szCs w:val="14"/>
                <w:color w:val="auto"/>
              </w:rPr>
              <w:t>2011</w:t>
            </w:r>
          </w:p>
        </w:tc>
        <w:tc>
          <w:tcPr>
            <w:tcW w:w="600" w:type="dxa"/>
            <w:vAlign w:val="bottom"/>
          </w:tcPr>
          <w:p>
            <w:pPr>
              <w:jc w:val="right"/>
              <w:spacing w:after="0"/>
              <w:rPr>
                <w:sz w:val="20"/>
                <w:szCs w:val="20"/>
                <w:color w:val="auto"/>
              </w:rPr>
            </w:pPr>
            <w:r>
              <w:rPr>
                <w:rFonts w:ascii="Arial" w:cs="Arial" w:eastAsia="Arial" w:hAnsi="Arial"/>
                <w:sz w:val="14"/>
                <w:szCs w:val="14"/>
                <w:color w:val="auto"/>
              </w:rPr>
              <w:t>35,227</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6,431</w:t>
            </w:r>
          </w:p>
        </w:tc>
        <w:tc>
          <w:tcPr>
            <w:tcW w:w="0" w:type="dxa"/>
            <w:vAlign w:val="bottom"/>
          </w:tcPr>
          <w:p>
            <w:pPr>
              <w:spacing w:after="0"/>
              <w:rPr>
                <w:sz w:val="1"/>
                <w:szCs w:val="1"/>
                <w:color w:val="auto"/>
              </w:rPr>
            </w:pPr>
          </w:p>
        </w:tc>
      </w:tr>
      <w:tr>
        <w:trPr>
          <w:trHeight w:val="167"/>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2012 through 2016</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205,596</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29,250</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80" w:right="180" w:firstLine="599"/>
        <w:spacing w:after="0" w:line="294" w:lineRule="auto"/>
        <w:rPr>
          <w:sz w:val="20"/>
          <w:szCs w:val="20"/>
          <w:color w:val="auto"/>
        </w:rPr>
      </w:pPr>
      <w:r>
        <w:rPr>
          <w:rFonts w:ascii="Arial" w:cs="Arial" w:eastAsia="Arial" w:hAnsi="Arial"/>
          <w:sz w:val="13"/>
          <w:szCs w:val="13"/>
          <w:color w:val="auto"/>
        </w:rPr>
        <w:t>For measurement of other postretirement benefits, a 9% annual rate of increase in the per capita cost of covered health care benefits was assumed for 2007. The rate was assumed to decrease gradually to 5% over 5 years and remain constant thereafter. Assumed health care cost trend rates have a significant effect on the amounts reported for health care plans. A one-percentage point change in assumed health care cost trend rates would have had the following effects:</w:t>
      </w:r>
    </w:p>
    <w:p>
      <w:pPr>
        <w:spacing w:after="0" w:line="46"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580" w:type="dxa"/>
            <w:vAlign w:val="bottom"/>
          </w:tcPr>
          <w:p>
            <w:pPr>
              <w:spacing w:after="0"/>
              <w:rPr>
                <w:sz w:val="10"/>
                <w:szCs w:val="10"/>
                <w:color w:val="auto"/>
              </w:rPr>
            </w:pPr>
          </w:p>
        </w:tc>
        <w:tc>
          <w:tcPr>
            <w:tcW w:w="420" w:type="dxa"/>
            <w:vAlign w:val="bottom"/>
            <w:tcBorders>
              <w:bottom w:val="single" w:sz="8" w:color="auto"/>
            </w:tcBorders>
          </w:tcPr>
          <w:p>
            <w:pPr>
              <w:jc w:val="right"/>
              <w:ind w:right="38"/>
              <w:spacing w:after="0"/>
              <w:rPr>
                <w:sz w:val="20"/>
                <w:szCs w:val="20"/>
                <w:color w:val="auto"/>
              </w:rPr>
            </w:pPr>
            <w:r>
              <w:rPr>
                <w:rFonts w:ascii="Arial" w:cs="Arial" w:eastAsia="Arial" w:hAnsi="Arial"/>
                <w:sz w:val="10"/>
                <w:szCs w:val="10"/>
                <w:b w:val="1"/>
                <w:bCs w:val="1"/>
                <w:color w:val="auto"/>
              </w:rPr>
              <w:t>+1%</w:t>
            </w:r>
          </w:p>
        </w:tc>
        <w:tc>
          <w:tcPr>
            <w:tcW w:w="400" w:type="dxa"/>
            <w:vAlign w:val="bottom"/>
          </w:tcPr>
          <w:p>
            <w:pPr>
              <w:spacing w:after="0"/>
              <w:rPr>
                <w:sz w:val="10"/>
                <w:szCs w:val="10"/>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0"/>
                <w:szCs w:val="10"/>
                <w:b w:val="1"/>
                <w:bCs w:val="1"/>
                <w:color w:val="auto"/>
              </w:rPr>
              <w:t>-1%</w:t>
            </w:r>
          </w:p>
        </w:tc>
        <w:tc>
          <w:tcPr>
            <w:tcW w:w="100" w:type="dxa"/>
            <w:vAlign w:val="bottom"/>
          </w:tcPr>
          <w:p>
            <w:pPr>
              <w:spacing w:after="0"/>
              <w:rPr>
                <w:sz w:val="10"/>
                <w:szCs w:val="10"/>
                <w:color w:val="auto"/>
              </w:rPr>
            </w:pPr>
          </w:p>
        </w:tc>
      </w:tr>
      <w:tr>
        <w:trPr>
          <w:trHeight w:val="131"/>
        </w:trPr>
        <w:tc>
          <w:tcPr>
            <w:tcW w:w="8580" w:type="dxa"/>
            <w:vAlign w:val="bottom"/>
          </w:tcPr>
          <w:p>
            <w:pPr>
              <w:spacing w:after="0"/>
              <w:rPr>
                <w:sz w:val="11"/>
                <w:szCs w:val="11"/>
                <w:color w:val="auto"/>
              </w:rPr>
            </w:pPr>
          </w:p>
        </w:tc>
        <w:tc>
          <w:tcPr>
            <w:tcW w:w="1400" w:type="dxa"/>
            <w:vAlign w:val="bottom"/>
            <w:gridSpan w:val="4"/>
          </w:tcPr>
          <w:p>
            <w:pPr>
              <w:jc w:val="right"/>
              <w:ind w:right="420"/>
              <w:spacing w:after="0"/>
              <w:rPr>
                <w:sz w:val="20"/>
                <w:szCs w:val="20"/>
                <w:color w:val="auto"/>
              </w:rPr>
            </w:pPr>
            <w:r>
              <w:rPr>
                <w:rFonts w:ascii="Arial" w:cs="Arial" w:eastAsia="Arial" w:hAnsi="Arial"/>
                <w:sz w:val="10"/>
                <w:szCs w:val="10"/>
                <w:b w:val="1"/>
                <w:bCs w:val="1"/>
                <w:color w:val="auto"/>
              </w:rPr>
              <w:t>(In thousands)</w:t>
            </w:r>
          </w:p>
        </w:tc>
      </w:tr>
      <w:tr>
        <w:trPr>
          <w:trHeight w:val="173"/>
        </w:trPr>
        <w:tc>
          <w:tcPr>
            <w:tcW w:w="8580" w:type="dxa"/>
            <w:vAlign w:val="bottom"/>
            <w:shd w:val="clear" w:color="auto" w:fill="CCEEFF"/>
          </w:tcPr>
          <w:p>
            <w:pPr>
              <w:spacing w:after="0"/>
              <w:rPr>
                <w:sz w:val="20"/>
                <w:szCs w:val="20"/>
                <w:color w:val="auto"/>
              </w:rPr>
            </w:pPr>
            <w:r>
              <w:rPr>
                <w:rFonts w:ascii="Arial" w:cs="Arial" w:eastAsia="Arial" w:hAnsi="Arial"/>
                <w:sz w:val="14"/>
                <w:szCs w:val="14"/>
                <w:color w:val="auto"/>
              </w:rPr>
              <w:t>Increase (decrease) in:</w:t>
            </w:r>
          </w:p>
        </w:tc>
        <w:tc>
          <w:tcPr>
            <w:tcW w:w="4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7"/>
        </w:trPr>
        <w:tc>
          <w:tcPr>
            <w:tcW w:w="8580" w:type="dxa"/>
            <w:vAlign w:val="bottom"/>
          </w:tcPr>
          <w:p>
            <w:pPr>
              <w:ind w:left="140"/>
              <w:spacing w:after="0"/>
              <w:rPr>
                <w:sz w:val="20"/>
                <w:szCs w:val="20"/>
                <w:color w:val="auto"/>
              </w:rPr>
            </w:pPr>
            <w:r>
              <w:rPr>
                <w:rFonts w:ascii="Arial" w:cs="Arial" w:eastAsia="Arial" w:hAnsi="Arial"/>
                <w:sz w:val="14"/>
                <w:szCs w:val="14"/>
                <w:color w:val="auto"/>
              </w:rPr>
              <w:t>Service and interest cost</w:t>
            </w:r>
          </w:p>
        </w:tc>
        <w:tc>
          <w:tcPr>
            <w:tcW w:w="820" w:type="dxa"/>
            <w:vAlign w:val="bottom"/>
            <w:gridSpan w:val="2"/>
          </w:tcPr>
          <w:p>
            <w:pPr>
              <w:jc w:val="right"/>
              <w:ind w:right="400"/>
              <w:spacing w:after="0"/>
              <w:rPr>
                <w:sz w:val="20"/>
                <w:szCs w:val="20"/>
                <w:color w:val="auto"/>
              </w:rPr>
            </w:pPr>
            <w:r>
              <w:rPr>
                <w:rFonts w:ascii="Arial" w:cs="Arial" w:eastAsia="Arial" w:hAnsi="Arial"/>
                <w:sz w:val="14"/>
                <w:szCs w:val="14"/>
                <w:color w:val="auto"/>
              </w:rPr>
              <w:t>$  202</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  (180)</w:t>
            </w:r>
          </w:p>
        </w:tc>
      </w:tr>
      <w:tr>
        <w:trPr>
          <w:trHeight w:val="167"/>
        </w:trPr>
        <w:tc>
          <w:tcPr>
            <w:tcW w:w="8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Accumulated postretirement benefit obligation</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3,572</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(3,179)</w:t>
            </w:r>
          </w:p>
        </w:tc>
      </w:tr>
    </w:tbl>
    <w:p>
      <w:pPr>
        <w:spacing w:after="0" w:line="76" w:lineRule="exact"/>
        <w:rPr>
          <w:sz w:val="20"/>
          <w:szCs w:val="20"/>
          <w:color w:val="auto"/>
        </w:rPr>
      </w:pPr>
    </w:p>
    <w:p>
      <w:pPr>
        <w:ind w:left="680" w:firstLine="599"/>
        <w:spacing w:after="0" w:line="257" w:lineRule="auto"/>
        <w:rPr>
          <w:sz w:val="20"/>
          <w:szCs w:val="20"/>
          <w:color w:val="auto"/>
        </w:rPr>
      </w:pPr>
      <w:r>
        <w:rPr>
          <w:rFonts w:ascii="Arial" w:cs="Arial" w:eastAsia="Arial" w:hAnsi="Arial"/>
          <w:sz w:val="14"/>
          <w:szCs w:val="14"/>
          <w:color w:val="auto"/>
        </w:rPr>
        <w:t>The Company has a retirement savings plan (“Savings Plan”) that is a defined contribution plan in which eligible employees of the Company may defer up to 50% of qualified compensation via contributions to the plan. The Company makes an employer matching contribution in an amount equal to 75% of an employee’s contribution, up to 4.5% of the employee’s qualified compensation. Employees’ accounts, including employee contributions, employer matching contributions and accumulated earnings thereon, are at all times fully vested and nonforfeitable. Employee benefits expense resulting from the Company’s contributions to the Savings Plan totaled $21,152,000, $16,507,000 and $16,215,000 in 2006, 2005 and 2004, respectively.</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1" w:name="page112"/>
    <w:bookmarkEnd w:id="1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62" w:lineRule="exact"/>
        <w:rPr>
          <w:sz w:val="20"/>
          <w:szCs w:val="20"/>
          <w:color w:val="auto"/>
        </w:rPr>
      </w:pPr>
    </w:p>
    <w:p>
      <w:pPr>
        <w:ind w:left="1180" w:hanging="493"/>
        <w:spacing w:after="0"/>
        <w:tabs>
          <w:tab w:leader="none" w:pos="1180" w:val="left"/>
        </w:tabs>
        <w:numPr>
          <w:ilvl w:val="0"/>
          <w:numId w:val="32"/>
        </w:numPr>
        <w:rPr>
          <w:rFonts w:ascii="Arial" w:cs="Arial" w:eastAsia="Arial" w:hAnsi="Arial"/>
          <w:sz w:val="14"/>
          <w:szCs w:val="14"/>
          <w:b w:val="1"/>
          <w:bCs w:val="1"/>
          <w:color w:val="auto"/>
        </w:rPr>
      </w:pPr>
      <w:r>
        <w:rPr>
          <w:rFonts w:ascii="Arial" w:cs="Arial" w:eastAsia="Arial" w:hAnsi="Arial"/>
          <w:sz w:val="14"/>
          <w:szCs w:val="14"/>
          <w:b w:val="1"/>
          <w:bCs w:val="1"/>
          <w:color w:val="auto"/>
        </w:rPr>
        <w:t>Income taxes</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components of income tax expense (benefit) were as follows:</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0"/>
                <w:szCs w:val="10"/>
                <w:b w:val="1"/>
                <w:bCs w:val="1"/>
                <w:color w:val="auto"/>
                <w:w w:val="98"/>
              </w:rPr>
              <w:t>Year Ended December 31</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jc w:val="right"/>
              <w:ind w:right="130"/>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880" w:type="dxa"/>
            <w:vAlign w:val="bottom"/>
            <w:gridSpan w:val="2"/>
          </w:tcPr>
          <w:p>
            <w:pPr>
              <w:jc w:val="right"/>
              <w:ind w:right="115"/>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jc w:val="right"/>
              <w:ind w:right="170"/>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r>
      <w:tr>
        <w:trPr>
          <w:trHeight w:val="131"/>
        </w:trPr>
        <w:tc>
          <w:tcPr>
            <w:tcW w:w="7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81"/>
              </w:rPr>
              <w:t>(In thousands)</w:t>
            </w: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73"/>
        </w:trPr>
        <w:tc>
          <w:tcPr>
            <w:tcW w:w="7200" w:type="dxa"/>
            <w:vAlign w:val="bottom"/>
            <w:shd w:val="clear" w:color="auto" w:fill="CCEEFF"/>
          </w:tcPr>
          <w:p>
            <w:pPr>
              <w:spacing w:after="0"/>
              <w:rPr>
                <w:sz w:val="20"/>
                <w:szCs w:val="20"/>
                <w:color w:val="auto"/>
              </w:rPr>
            </w:pPr>
            <w:r>
              <w:rPr>
                <w:rFonts w:ascii="Arial" w:cs="Arial" w:eastAsia="Arial" w:hAnsi="Arial"/>
                <w:sz w:val="14"/>
                <w:szCs w:val="14"/>
                <w:color w:val="auto"/>
              </w:rPr>
              <w:t>Current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7"/>
        </w:trPr>
        <w:tc>
          <w:tcPr>
            <w:tcW w:w="7200" w:type="dxa"/>
            <w:vAlign w:val="bottom"/>
          </w:tcPr>
          <w:p>
            <w:pPr>
              <w:ind w:left="140"/>
              <w:spacing w:after="0"/>
              <w:rPr>
                <w:sz w:val="20"/>
                <w:szCs w:val="20"/>
                <w:color w:val="auto"/>
              </w:rPr>
            </w:pPr>
            <w:r>
              <w:rPr>
                <w:rFonts w:ascii="Arial" w:cs="Arial" w:eastAsia="Arial" w:hAnsi="Arial"/>
                <w:sz w:val="14"/>
                <w:szCs w:val="14"/>
                <w:color w:val="auto"/>
              </w:rPr>
              <w:t>Federal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w w:val="98"/>
              </w:rPr>
              <w:t>439,632</w:t>
            </w:r>
          </w:p>
        </w:tc>
        <w:tc>
          <w:tcPr>
            <w:tcW w:w="1280" w:type="dxa"/>
            <w:vAlign w:val="bottom"/>
            <w:gridSpan w:val="3"/>
          </w:tcPr>
          <w:p>
            <w:pPr>
              <w:jc w:val="right"/>
              <w:ind w:right="400"/>
              <w:spacing w:after="0"/>
              <w:rPr>
                <w:sz w:val="20"/>
                <w:szCs w:val="20"/>
                <w:color w:val="auto"/>
              </w:rPr>
            </w:pPr>
            <w:r>
              <w:rPr>
                <w:rFonts w:ascii="Arial" w:cs="Arial" w:eastAsia="Arial" w:hAnsi="Arial"/>
                <w:sz w:val="14"/>
                <w:szCs w:val="14"/>
                <w:color w:val="auto"/>
              </w:rPr>
              <w:t>$ 453,425</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427,568</w:t>
            </w:r>
          </w:p>
        </w:tc>
      </w:tr>
      <w:tr>
        <w:trPr>
          <w:trHeight w:val="167"/>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 and city</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21,070</w:t>
            </w: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23,382</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54,030</w:t>
            </w:r>
          </w:p>
        </w:tc>
      </w:tr>
      <w:tr>
        <w:trPr>
          <w:trHeight w:val="167"/>
        </w:trPr>
        <w:tc>
          <w:tcPr>
            <w:tcW w:w="7200" w:type="dxa"/>
            <w:vAlign w:val="bottom"/>
          </w:tcPr>
          <w:p>
            <w:pPr>
              <w:ind w:left="280"/>
              <w:spacing w:after="0"/>
              <w:rPr>
                <w:sz w:val="20"/>
                <w:szCs w:val="20"/>
                <w:color w:val="auto"/>
              </w:rPr>
            </w:pPr>
            <w:r>
              <w:rPr>
                <w:rFonts w:ascii="Arial" w:cs="Arial" w:eastAsia="Arial" w:hAnsi="Arial"/>
                <w:sz w:val="14"/>
                <w:szCs w:val="14"/>
                <w:color w:val="auto"/>
              </w:rPr>
              <w:t>Total current</w:t>
            </w:r>
          </w:p>
        </w:tc>
        <w:tc>
          <w:tcPr>
            <w:tcW w:w="10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8"/>
              </w:rPr>
              <w:t>460,702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476,807</w:t>
            </w:r>
          </w:p>
        </w:tc>
        <w:tc>
          <w:tcPr>
            <w:tcW w:w="4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481,598</w:t>
            </w:r>
          </w:p>
        </w:tc>
        <w:tc>
          <w:tcPr>
            <w:tcW w:w="100" w:type="dxa"/>
            <w:vAlign w:val="bottom"/>
          </w:tcPr>
          <w:p>
            <w:pPr>
              <w:spacing w:after="0"/>
              <w:rPr>
                <w:sz w:val="14"/>
                <w:szCs w:val="14"/>
                <w:color w:val="auto"/>
              </w:rPr>
            </w:pPr>
          </w:p>
        </w:tc>
      </w:tr>
      <w:tr>
        <w:trPr>
          <w:trHeight w:val="167"/>
        </w:trPr>
        <w:tc>
          <w:tcPr>
            <w:tcW w:w="7200" w:type="dxa"/>
            <w:vAlign w:val="bottom"/>
            <w:shd w:val="clear" w:color="auto" w:fill="CCEEFF"/>
          </w:tcPr>
          <w:p>
            <w:pPr>
              <w:spacing w:after="0"/>
              <w:rPr>
                <w:sz w:val="20"/>
                <w:szCs w:val="20"/>
                <w:color w:val="auto"/>
              </w:rPr>
            </w:pPr>
            <w:r>
              <w:rPr>
                <w:rFonts w:ascii="Arial" w:cs="Arial" w:eastAsia="Arial" w:hAnsi="Arial"/>
                <w:sz w:val="14"/>
                <w:szCs w:val="14"/>
                <w:color w:val="auto"/>
              </w:rPr>
              <w:t>Deferred</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7200" w:type="dxa"/>
            <w:vAlign w:val="bottom"/>
          </w:tcPr>
          <w:p>
            <w:pPr>
              <w:ind w:left="140"/>
              <w:spacing w:after="0"/>
              <w:rPr>
                <w:sz w:val="20"/>
                <w:szCs w:val="20"/>
                <w:color w:val="auto"/>
              </w:rPr>
            </w:pPr>
            <w:r>
              <w:rPr>
                <w:rFonts w:ascii="Arial" w:cs="Arial" w:eastAsia="Arial" w:hAnsi="Arial"/>
                <w:sz w:val="14"/>
                <w:szCs w:val="14"/>
                <w:color w:val="auto"/>
              </w:rPr>
              <w:t>Federal</w:t>
            </w:r>
          </w:p>
        </w:tc>
        <w:tc>
          <w:tcPr>
            <w:tcW w:w="10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(56,981)</w:t>
            </w:r>
          </w:p>
        </w:tc>
        <w:tc>
          <w:tcPr>
            <w:tcW w:w="1280" w:type="dxa"/>
            <w:vAlign w:val="bottom"/>
            <w:gridSpan w:val="3"/>
          </w:tcPr>
          <w:p>
            <w:pPr>
              <w:jc w:val="right"/>
              <w:ind w:right="340"/>
              <w:spacing w:after="0"/>
              <w:rPr>
                <w:sz w:val="20"/>
                <w:szCs w:val="20"/>
                <w:color w:val="auto"/>
              </w:rPr>
            </w:pPr>
            <w:r>
              <w:rPr>
                <w:rFonts w:ascii="Arial" w:cs="Arial" w:eastAsia="Arial" w:hAnsi="Arial"/>
                <w:sz w:val="14"/>
                <w:szCs w:val="14"/>
                <w:color w:val="auto"/>
              </w:rPr>
              <w:t>(79,383)</w:t>
            </w: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(88,904)</w:t>
            </w:r>
          </w:p>
        </w:tc>
      </w:tr>
      <w:tr>
        <w:trPr>
          <w:trHeight w:val="167"/>
        </w:trPr>
        <w:tc>
          <w:tcPr>
            <w:tcW w:w="7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State and city</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(11,268)</w:t>
            </w: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(8,688)</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(48,692)</w:t>
            </w:r>
          </w:p>
        </w:tc>
      </w:tr>
      <w:tr>
        <w:trPr>
          <w:trHeight w:val="167"/>
        </w:trPr>
        <w:tc>
          <w:tcPr>
            <w:tcW w:w="7200" w:type="dxa"/>
            <w:vAlign w:val="bottom"/>
          </w:tcPr>
          <w:p>
            <w:pPr>
              <w:ind w:left="280"/>
              <w:spacing w:after="0"/>
              <w:rPr>
                <w:sz w:val="20"/>
                <w:szCs w:val="20"/>
                <w:color w:val="auto"/>
              </w:rPr>
            </w:pPr>
            <w:r>
              <w:rPr>
                <w:rFonts w:ascii="Arial" w:cs="Arial" w:eastAsia="Arial" w:hAnsi="Arial"/>
                <w:sz w:val="14"/>
                <w:szCs w:val="14"/>
                <w:color w:val="auto"/>
              </w:rPr>
              <w:t>Total deferred</w:t>
            </w:r>
          </w:p>
        </w:tc>
        <w:tc>
          <w:tcPr>
            <w:tcW w:w="10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5"/>
              </w:rPr>
              <w:t>(68,249)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(88,071)</w:t>
            </w:r>
          </w:p>
        </w:tc>
        <w:tc>
          <w:tcPr>
            <w:tcW w:w="4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0"/>
              </w:rPr>
              <w:t>(137,596)</w:t>
            </w:r>
          </w:p>
        </w:tc>
        <w:tc>
          <w:tcPr>
            <w:tcW w:w="100" w:type="dxa"/>
            <w:vAlign w:val="bottom"/>
          </w:tcPr>
          <w:p>
            <w:pPr>
              <w:spacing w:after="0"/>
              <w:rPr>
                <w:sz w:val="14"/>
                <w:szCs w:val="14"/>
                <w:color w:val="auto"/>
              </w:rPr>
            </w:pPr>
          </w:p>
        </w:tc>
      </w:tr>
      <w:tr>
        <w:trPr>
          <w:trHeight w:val="167"/>
        </w:trPr>
        <w:tc>
          <w:tcPr>
            <w:tcW w:w="72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income taxes applicable to pre-tax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392,453</w:t>
            </w:r>
          </w:p>
        </w:tc>
        <w:tc>
          <w:tcPr>
            <w:tcW w:w="100" w:type="dxa"/>
            <w:vAlign w:val="bottom"/>
            <w:shd w:val="clear" w:color="auto" w:fill="CCEEFF"/>
          </w:tcPr>
          <w:p>
            <w:pPr>
              <w:spacing w:after="0"/>
              <w:rPr>
                <w:sz w:val="14"/>
                <w:szCs w:val="14"/>
                <w:color w:val="auto"/>
              </w:rPr>
            </w:pPr>
          </w:p>
        </w:tc>
        <w:tc>
          <w:tcPr>
            <w:tcW w:w="128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$ 388,736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344,002</w:t>
            </w:r>
          </w:p>
        </w:tc>
      </w:tr>
      <w:tr>
        <w:trPr>
          <w:trHeight w:val="29"/>
        </w:trPr>
        <w:tc>
          <w:tcPr>
            <w:tcW w:w="7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ind w:left="680" w:firstLine="599"/>
        <w:spacing w:after="0" w:line="251" w:lineRule="auto"/>
        <w:rPr>
          <w:sz w:val="20"/>
          <w:szCs w:val="20"/>
          <w:color w:val="auto"/>
        </w:rPr>
      </w:pPr>
      <w:r>
        <w:rPr>
          <w:rFonts w:ascii="Arial" w:cs="Arial" w:eastAsia="Arial" w:hAnsi="Arial"/>
          <w:sz w:val="14"/>
          <w:szCs w:val="14"/>
          <w:color w:val="auto"/>
        </w:rPr>
        <w:t>The Company files a consolidated federal income tax return reflecting taxable income earned by all subsidiaries. In prior years, applicable federal tax law allowed certain financial institutions the option of deducting as bad debt expense for tax purposes amounts in excess of actual losses. In accordance with generally accepted accounting principles, such financial institutions were not required to provide deferred income taxes on such excess. Recapture of the excess tax bad debt reserve established under the previously allowed method will result in taxable income if M</w:t>
      </w:r>
      <w:r>
        <w:rPr>
          <w:rFonts w:ascii="Arial" w:cs="Arial" w:eastAsia="Arial" w:hAnsi="Arial"/>
          <w:sz w:val="13"/>
          <w:szCs w:val="13"/>
          <w:color w:val="auto"/>
        </w:rPr>
        <w:t>&amp;</w:t>
      </w:r>
      <w:r>
        <w:rPr>
          <w:rFonts w:ascii="Arial" w:cs="Arial" w:eastAsia="Arial" w:hAnsi="Arial"/>
          <w:sz w:val="14"/>
          <w:szCs w:val="14"/>
          <w:color w:val="auto"/>
        </w:rPr>
        <w:t>T Bank fails to maintain bank status as defined in the Internal Revenue Code or charges are made to the reserve for other than bad debt losses. At December 31, 2006, M</w:t>
      </w:r>
      <w:r>
        <w:rPr>
          <w:rFonts w:ascii="Arial" w:cs="Arial" w:eastAsia="Arial" w:hAnsi="Arial"/>
          <w:sz w:val="13"/>
          <w:szCs w:val="13"/>
          <w:color w:val="auto"/>
        </w:rPr>
        <w:t>&amp;</w:t>
      </w:r>
      <w:r>
        <w:rPr>
          <w:rFonts w:ascii="Arial" w:cs="Arial" w:eastAsia="Arial" w:hAnsi="Arial"/>
          <w:sz w:val="14"/>
          <w:szCs w:val="14"/>
          <w:color w:val="auto"/>
        </w:rPr>
        <w:t>T Bank’s tax bad debt reserve for which no federal income taxes have been provided was $74,021,000. No actions are planned that would cause this reserve to become wholly or partially taxable.</w:t>
      </w:r>
    </w:p>
    <w:p>
      <w:pPr>
        <w:spacing w:after="0" w:line="2" w:lineRule="exact"/>
        <w:rPr>
          <w:sz w:val="20"/>
          <w:szCs w:val="20"/>
          <w:color w:val="auto"/>
        </w:rPr>
      </w:pPr>
    </w:p>
    <w:p>
      <w:pPr>
        <w:ind w:left="680" w:right="240" w:firstLine="599"/>
        <w:spacing w:after="0" w:line="249" w:lineRule="auto"/>
        <w:rPr>
          <w:sz w:val="20"/>
          <w:szCs w:val="20"/>
          <w:color w:val="auto"/>
        </w:rPr>
      </w:pPr>
      <w:r>
        <w:rPr>
          <w:rFonts w:ascii="Arial" w:cs="Arial" w:eastAsia="Arial" w:hAnsi="Arial"/>
          <w:sz w:val="14"/>
          <w:szCs w:val="14"/>
          <w:color w:val="auto"/>
        </w:rPr>
        <w:t>The portion of income taxes attributable to gains or losses on bank investment securities was an expense of $976,000 in 2006, a benefit of $5,434,000 in 2005, and an expense of $1,121,000 in 2004. No alternative minimum tax expense was recognized in 2006, 2005 or 2004.</w:t>
      </w:r>
    </w:p>
    <w:p>
      <w:pPr>
        <w:ind w:left="1280"/>
        <w:spacing w:after="0"/>
        <w:rPr>
          <w:sz w:val="20"/>
          <w:szCs w:val="20"/>
          <w:color w:val="auto"/>
        </w:rPr>
      </w:pPr>
      <w:r>
        <w:rPr>
          <w:rFonts w:ascii="Arial" w:cs="Arial" w:eastAsia="Arial" w:hAnsi="Arial"/>
          <w:sz w:val="14"/>
          <w:szCs w:val="14"/>
          <w:color w:val="auto"/>
        </w:rPr>
        <w:t>Total income taxes differed from the amount computed by applying the statutory federal income tax rate to pre-tax income as follows:</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0"/>
                <w:szCs w:val="10"/>
                <w:b w:val="1"/>
                <w:bCs w:val="1"/>
                <w:color w:val="auto"/>
                <w:w w:val="94"/>
              </w:rPr>
              <w:t>Year Ended December 31</w:t>
            </w: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0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31"/>
              <w:spacing w:after="0" w:line="98" w:lineRule="exact"/>
              <w:rPr>
                <w:sz w:val="20"/>
                <w:szCs w:val="20"/>
                <w:color w:val="auto"/>
              </w:rPr>
            </w:pPr>
            <w:r>
              <w:rPr>
                <w:rFonts w:ascii="Arial" w:cs="Arial" w:eastAsia="Arial" w:hAnsi="Arial"/>
                <w:sz w:val="10"/>
                <w:szCs w:val="10"/>
                <w:b w:val="1"/>
                <w:bCs w:val="1"/>
                <w:color w:val="auto"/>
              </w:rPr>
              <w:t>2006</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jc w:val="center"/>
              <w:ind w:right="13"/>
              <w:spacing w:after="0" w:line="98" w:lineRule="exact"/>
              <w:rPr>
                <w:sz w:val="20"/>
                <w:szCs w:val="20"/>
                <w:color w:val="auto"/>
              </w:rPr>
            </w:pPr>
            <w:r>
              <w:rPr>
                <w:rFonts w:ascii="Arial" w:cs="Arial" w:eastAsia="Arial" w:hAnsi="Arial"/>
                <w:sz w:val="10"/>
                <w:szCs w:val="10"/>
                <w:b w:val="1"/>
                <w:bCs w:val="1"/>
                <w:color w:val="auto"/>
                <w:w w:val="89"/>
              </w:rPr>
              <w:t>2005</w:t>
            </w:r>
          </w:p>
        </w:tc>
        <w:tc>
          <w:tcPr>
            <w:tcW w:w="400" w:type="dxa"/>
            <w:vAlign w:val="bottom"/>
          </w:tcPr>
          <w:p>
            <w:pPr>
              <w:spacing w:after="0"/>
              <w:rPr>
                <w:sz w:val="8"/>
                <w:szCs w:val="8"/>
                <w:color w:val="auto"/>
              </w:rPr>
            </w:pPr>
          </w:p>
        </w:tc>
        <w:tc>
          <w:tcPr>
            <w:tcW w:w="580" w:type="dxa"/>
            <w:vAlign w:val="bottom"/>
            <w:tcBorders>
              <w:bottom w:val="single" w:sz="8" w:color="auto"/>
            </w:tcBorders>
          </w:tcPr>
          <w:p>
            <w:pPr>
              <w:jc w:val="right"/>
              <w:ind w:right="111"/>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r>
      <w:tr>
        <w:trPr>
          <w:trHeight w:val="131"/>
        </w:trPr>
        <w:tc>
          <w:tcPr>
            <w:tcW w:w="7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3"/>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3"/>
        </w:trPr>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Income taxes at statutory rate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4"/>
              </w:rPr>
              <w:t>431,075</w:t>
            </w:r>
          </w:p>
        </w:tc>
        <w:tc>
          <w:tcPr>
            <w:tcW w:w="1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409,822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9"/>
              </w:rPr>
              <w:t>$ 373,283</w:t>
            </w:r>
          </w:p>
        </w:tc>
      </w:tr>
      <w:tr>
        <w:trPr>
          <w:trHeight w:val="167"/>
        </w:trPr>
        <w:tc>
          <w:tcPr>
            <w:tcW w:w="7000" w:type="dxa"/>
            <w:vAlign w:val="bottom"/>
          </w:tcPr>
          <w:p>
            <w:pPr>
              <w:spacing w:after="0"/>
              <w:rPr>
                <w:sz w:val="20"/>
                <w:szCs w:val="20"/>
                <w:color w:val="auto"/>
              </w:rPr>
            </w:pPr>
            <w:r>
              <w:rPr>
                <w:rFonts w:ascii="Arial" w:cs="Arial" w:eastAsia="Arial" w:hAnsi="Arial"/>
                <w:sz w:val="14"/>
                <w:szCs w:val="14"/>
                <w:color w:val="auto"/>
              </w:rPr>
              <w:t>Increase (decrease) in taxes:</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Tax-exempt income</w:t>
            </w:r>
          </w:p>
        </w:tc>
        <w:tc>
          <w:tcPr>
            <w:tcW w:w="12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w w:val="99"/>
              </w:rPr>
              <w:t>(31,222)</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(27,548)</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(26,920)</w:t>
            </w:r>
          </w:p>
        </w:tc>
      </w:tr>
      <w:tr>
        <w:trPr>
          <w:trHeight w:val="167"/>
        </w:trPr>
        <w:tc>
          <w:tcPr>
            <w:tcW w:w="7000" w:type="dxa"/>
            <w:vAlign w:val="bottom"/>
          </w:tcPr>
          <w:p>
            <w:pPr>
              <w:ind w:left="140"/>
              <w:spacing w:after="0"/>
              <w:rPr>
                <w:sz w:val="20"/>
                <w:szCs w:val="20"/>
                <w:color w:val="auto"/>
              </w:rPr>
            </w:pPr>
            <w:r>
              <w:rPr>
                <w:rFonts w:ascii="Arial" w:cs="Arial" w:eastAsia="Arial" w:hAnsi="Arial"/>
                <w:sz w:val="14"/>
                <w:szCs w:val="14"/>
                <w:color w:val="auto"/>
              </w:rPr>
              <w:t>State and city income taxes, net of federal income tax effect, applicable to:</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70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Pre-tax income</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6,371</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9,551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15,969</w:t>
            </w:r>
          </w:p>
        </w:tc>
      </w:tr>
      <w:tr>
        <w:trPr>
          <w:trHeight w:val="167"/>
        </w:trPr>
        <w:tc>
          <w:tcPr>
            <w:tcW w:w="7000" w:type="dxa"/>
            <w:vAlign w:val="bottom"/>
          </w:tcPr>
          <w:p>
            <w:pPr>
              <w:ind w:left="280"/>
              <w:spacing w:after="0"/>
              <w:rPr>
                <w:sz w:val="20"/>
                <w:szCs w:val="20"/>
                <w:color w:val="auto"/>
              </w:rPr>
            </w:pPr>
            <w:r>
              <w:rPr>
                <w:rFonts w:ascii="Arial" w:cs="Arial" w:eastAsia="Arial" w:hAnsi="Arial"/>
                <w:sz w:val="14"/>
                <w:szCs w:val="14"/>
                <w:color w:val="auto"/>
              </w:rPr>
              <w:t>Reorganization of subsidiaries</w:t>
            </w:r>
          </w:p>
        </w:tc>
        <w:tc>
          <w:tcPr>
            <w:tcW w:w="120" w:type="dxa"/>
            <w:vAlign w:val="bottom"/>
          </w:tcPr>
          <w:p>
            <w:pPr>
              <w:spacing w:after="0"/>
              <w:rPr>
                <w:sz w:val="14"/>
                <w:szCs w:val="14"/>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(12,499)</w:t>
            </w:r>
          </w:p>
        </w:tc>
      </w:tr>
      <w:tr>
        <w:trPr>
          <w:trHeight w:val="167"/>
        </w:trPr>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w w:val="99"/>
              </w:rPr>
              <w:t>(13,771)</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(3,089)</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(5,831)</w:t>
            </w:r>
          </w:p>
        </w:tc>
      </w:tr>
      <w:tr>
        <w:trPr>
          <w:trHeight w:val="176"/>
        </w:trPr>
        <w:tc>
          <w:tcPr>
            <w:tcW w:w="70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392,453</w:t>
            </w: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388,736</w:t>
            </w:r>
          </w:p>
        </w:tc>
        <w:tc>
          <w:tcPr>
            <w:tcW w:w="40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9"/>
              </w:rPr>
              <w:t>$ 344,002</w:t>
            </w:r>
          </w:p>
        </w:tc>
        <w:tc>
          <w:tcPr>
            <w:tcW w:w="100" w:type="dxa"/>
            <w:vAlign w:val="bottom"/>
          </w:tcPr>
          <w:p>
            <w:pPr>
              <w:spacing w:after="0"/>
              <w:rPr>
                <w:sz w:val="15"/>
                <w:szCs w:val="15"/>
                <w:color w:val="auto"/>
              </w:rPr>
            </w:pPr>
          </w:p>
        </w:tc>
      </w:tr>
    </w:tbl>
    <w:p>
      <w:pPr>
        <w:spacing w:after="0" w:line="86" w:lineRule="exact"/>
        <w:rPr>
          <w:sz w:val="20"/>
          <w:szCs w:val="20"/>
          <w:color w:val="auto"/>
        </w:rPr>
      </w:pPr>
    </w:p>
    <w:p>
      <w:pPr>
        <w:ind w:left="680" w:right="160" w:firstLine="599"/>
        <w:spacing w:after="0" w:line="321" w:lineRule="auto"/>
        <w:rPr>
          <w:sz w:val="20"/>
          <w:szCs w:val="20"/>
          <w:color w:val="auto"/>
        </w:rPr>
      </w:pPr>
      <w:r>
        <w:rPr>
          <w:rFonts w:ascii="Arial" w:cs="Arial" w:eastAsia="Arial" w:hAnsi="Arial"/>
          <w:sz w:val="13"/>
          <w:szCs w:val="13"/>
          <w:color w:val="auto"/>
        </w:rPr>
        <w:t>During 2004 the Company reorganized two of its subsidiaries which altered the taxable status of such subsidiaries in certain jurisdictions thereby decreasing the Company’s effective state income tax rate. As a result of the reorganizations, both income tax expense and deferred tax liabilities were reduced by $12,499,000 in 2004.</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2" w:name="page113"/>
    <w:bookmarkEnd w:id="1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Deferred tax assets (liabilities) were comprised of the following at December 31:</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b w:val="1"/>
                <w:bCs w:val="1"/>
                <w:color w:val="auto"/>
              </w:rPr>
              <w:t>2006</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10"/>
                <w:szCs w:val="10"/>
                <w:color w:val="auto"/>
              </w:rPr>
            </w:pPr>
          </w:p>
        </w:tc>
      </w:tr>
      <w:tr>
        <w:trPr>
          <w:trHeight w:val="131"/>
        </w:trPr>
        <w:tc>
          <w:tcPr>
            <w:tcW w:w="7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3"/>
        </w:trPr>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Losses on loans and other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302,061</w:t>
            </w: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296,920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293,664</w:t>
            </w:r>
          </w:p>
        </w:tc>
      </w:tr>
      <w:tr>
        <w:trPr>
          <w:trHeight w:val="167"/>
        </w:trPr>
        <w:tc>
          <w:tcPr>
            <w:tcW w:w="7000" w:type="dxa"/>
            <w:vAlign w:val="bottom"/>
          </w:tcPr>
          <w:p>
            <w:pPr>
              <w:spacing w:after="0"/>
              <w:rPr>
                <w:sz w:val="20"/>
                <w:szCs w:val="20"/>
                <w:color w:val="auto"/>
              </w:rPr>
            </w:pPr>
            <w:r>
              <w:rPr>
                <w:rFonts w:ascii="Arial" w:cs="Arial" w:eastAsia="Arial" w:hAnsi="Arial"/>
                <w:sz w:val="14"/>
                <w:szCs w:val="14"/>
                <w:color w:val="auto"/>
              </w:rPr>
              <w:t>Postretirement and other employee benefits</w:t>
            </w:r>
          </w:p>
        </w:tc>
        <w:tc>
          <w:tcPr>
            <w:tcW w:w="14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42,348</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39,926</w:t>
            </w:r>
          </w:p>
        </w:tc>
        <w:tc>
          <w:tcPr>
            <w:tcW w:w="120" w:type="dxa"/>
            <w:vAlign w:val="bottom"/>
          </w:tcPr>
          <w:p>
            <w:pPr>
              <w:spacing w:after="0"/>
              <w:rPr>
                <w:sz w:val="14"/>
                <w:szCs w:val="14"/>
                <w:color w:val="auto"/>
              </w:rPr>
            </w:pPr>
          </w:p>
        </w:tc>
        <w:tc>
          <w:tcPr>
            <w:tcW w:w="660" w:type="dxa"/>
            <w:vAlign w:val="bottom"/>
            <w:gridSpan w:val="2"/>
          </w:tcPr>
          <w:p>
            <w:pPr>
              <w:jc w:val="right"/>
              <w:ind w:right="28"/>
              <w:spacing w:after="0"/>
              <w:rPr>
                <w:sz w:val="20"/>
                <w:szCs w:val="20"/>
                <w:color w:val="auto"/>
              </w:rPr>
            </w:pPr>
            <w:r>
              <w:rPr>
                <w:rFonts w:ascii="Arial" w:cs="Arial" w:eastAsia="Arial" w:hAnsi="Arial"/>
                <w:sz w:val="14"/>
                <w:szCs w:val="14"/>
                <w:color w:val="auto"/>
              </w:rPr>
              <w:t>43,900</w:t>
            </w:r>
          </w:p>
        </w:tc>
      </w:tr>
      <w:tr>
        <w:trPr>
          <w:trHeight w:val="167"/>
        </w:trPr>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Incentive compensation plans</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28,737</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28,786</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28,172</w:t>
            </w:r>
          </w:p>
        </w:tc>
      </w:tr>
      <w:tr>
        <w:trPr>
          <w:trHeight w:val="167"/>
        </w:trPr>
        <w:tc>
          <w:tcPr>
            <w:tcW w:w="7000" w:type="dxa"/>
            <w:vAlign w:val="bottom"/>
          </w:tcPr>
          <w:p>
            <w:pPr>
              <w:spacing w:after="0"/>
              <w:rPr>
                <w:sz w:val="20"/>
                <w:szCs w:val="20"/>
                <w:color w:val="auto"/>
              </w:rPr>
            </w:pPr>
            <w:r>
              <w:rPr>
                <w:rFonts w:ascii="Arial" w:cs="Arial" w:eastAsia="Arial" w:hAnsi="Arial"/>
                <w:sz w:val="14"/>
                <w:szCs w:val="14"/>
                <w:color w:val="auto"/>
              </w:rPr>
              <w:t>Interest on loans</w:t>
            </w:r>
          </w:p>
        </w:tc>
        <w:tc>
          <w:tcPr>
            <w:tcW w:w="14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23,399</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21,871</w:t>
            </w:r>
          </w:p>
        </w:tc>
        <w:tc>
          <w:tcPr>
            <w:tcW w:w="120" w:type="dxa"/>
            <w:vAlign w:val="bottom"/>
          </w:tcPr>
          <w:p>
            <w:pPr>
              <w:spacing w:after="0"/>
              <w:rPr>
                <w:sz w:val="14"/>
                <w:szCs w:val="14"/>
                <w:color w:val="auto"/>
              </w:rPr>
            </w:pPr>
          </w:p>
        </w:tc>
        <w:tc>
          <w:tcPr>
            <w:tcW w:w="660" w:type="dxa"/>
            <w:vAlign w:val="bottom"/>
            <w:gridSpan w:val="2"/>
          </w:tcPr>
          <w:p>
            <w:pPr>
              <w:jc w:val="right"/>
              <w:ind w:right="28"/>
              <w:spacing w:after="0"/>
              <w:rPr>
                <w:sz w:val="20"/>
                <w:szCs w:val="20"/>
                <w:color w:val="auto"/>
              </w:rPr>
            </w:pPr>
            <w:r>
              <w:rPr>
                <w:rFonts w:ascii="Arial" w:cs="Arial" w:eastAsia="Arial" w:hAnsi="Arial"/>
                <w:sz w:val="14"/>
                <w:szCs w:val="14"/>
                <w:color w:val="auto"/>
              </w:rPr>
              <w:t>19,895</w:t>
            </w:r>
          </w:p>
        </w:tc>
      </w:tr>
      <w:tr>
        <w:trPr>
          <w:trHeight w:val="167"/>
        </w:trPr>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Retirement benefits</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40,600</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64,215</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28,048</w:t>
            </w:r>
          </w:p>
        </w:tc>
      </w:tr>
      <w:tr>
        <w:trPr>
          <w:trHeight w:val="167"/>
        </w:trPr>
        <w:tc>
          <w:tcPr>
            <w:tcW w:w="700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45,729</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41,379</w:t>
            </w:r>
          </w:p>
        </w:tc>
        <w:tc>
          <w:tcPr>
            <w:tcW w:w="120" w:type="dxa"/>
            <w:vAlign w:val="bottom"/>
          </w:tcPr>
          <w:p>
            <w:pPr>
              <w:spacing w:after="0"/>
              <w:rPr>
                <w:sz w:val="14"/>
                <w:szCs w:val="14"/>
                <w:color w:val="auto"/>
              </w:rPr>
            </w:pPr>
          </w:p>
        </w:tc>
        <w:tc>
          <w:tcPr>
            <w:tcW w:w="660" w:type="dxa"/>
            <w:vAlign w:val="bottom"/>
            <w:gridSpan w:val="2"/>
          </w:tcPr>
          <w:p>
            <w:pPr>
              <w:jc w:val="right"/>
              <w:ind w:right="28"/>
              <w:spacing w:after="0"/>
              <w:rPr>
                <w:sz w:val="20"/>
                <w:szCs w:val="20"/>
                <w:color w:val="auto"/>
              </w:rPr>
            </w:pPr>
            <w:r>
              <w:rPr>
                <w:rFonts w:ascii="Arial" w:cs="Arial" w:eastAsia="Arial" w:hAnsi="Arial"/>
                <w:sz w:val="14"/>
                <w:szCs w:val="14"/>
                <w:color w:val="auto"/>
              </w:rPr>
              <w:t>39,899</w:t>
            </w:r>
          </w:p>
        </w:tc>
      </w:tr>
      <w:tr>
        <w:trPr>
          <w:trHeight w:val="167"/>
        </w:trPr>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Unrealized investment losses</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23,173</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31,281</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67"/>
        </w:trPr>
        <w:tc>
          <w:tcPr>
            <w:tcW w:w="700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8,324</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r>
      <w:tr>
        <w:trPr>
          <w:trHeight w:val="167"/>
        </w:trPr>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14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20,526</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20,324</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26,334</w:t>
            </w:r>
          </w:p>
        </w:tc>
      </w:tr>
      <w:tr>
        <w:trPr>
          <w:trHeight w:val="167"/>
        </w:trPr>
        <w:tc>
          <w:tcPr>
            <w:tcW w:w="7000" w:type="dxa"/>
            <w:vAlign w:val="bottom"/>
          </w:tcPr>
          <w:p>
            <w:pPr>
              <w:ind w:left="140"/>
              <w:spacing w:after="0"/>
              <w:rPr>
                <w:sz w:val="20"/>
                <w:szCs w:val="20"/>
                <w:color w:val="auto"/>
              </w:rPr>
            </w:pPr>
            <w:r>
              <w:rPr>
                <w:rFonts w:ascii="Arial" w:cs="Arial" w:eastAsia="Arial" w:hAnsi="Arial"/>
                <w:sz w:val="14"/>
                <w:szCs w:val="14"/>
                <w:color w:val="auto"/>
              </w:rPr>
              <w:t>Gross deferred tax assets</w:t>
            </w: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534,897</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544,702</w:t>
            </w:r>
          </w:p>
        </w:tc>
        <w:tc>
          <w:tcPr>
            <w:tcW w:w="4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479,912</w:t>
            </w:r>
          </w:p>
        </w:tc>
        <w:tc>
          <w:tcPr>
            <w:tcW w:w="100" w:type="dxa"/>
            <w:vAlign w:val="bottom"/>
          </w:tcPr>
          <w:p>
            <w:pPr>
              <w:spacing w:after="0"/>
              <w:rPr>
                <w:sz w:val="14"/>
                <w:szCs w:val="14"/>
                <w:color w:val="auto"/>
              </w:rPr>
            </w:pPr>
          </w:p>
        </w:tc>
      </w:tr>
      <w:tr>
        <w:trPr>
          <w:trHeight w:val="167"/>
        </w:trPr>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Leasing transactions</w:t>
            </w:r>
          </w:p>
        </w:tc>
        <w:tc>
          <w:tcPr>
            <w:tcW w:w="14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(317,854)</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(366,549)</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(444,467)</w:t>
            </w:r>
          </w:p>
        </w:tc>
      </w:tr>
      <w:tr>
        <w:trPr>
          <w:trHeight w:val="167"/>
        </w:trPr>
        <w:tc>
          <w:tcPr>
            <w:tcW w:w="7000" w:type="dxa"/>
            <w:vAlign w:val="bottom"/>
          </w:tcPr>
          <w:p>
            <w:pPr>
              <w:spacing w:after="0"/>
              <w:rPr>
                <w:sz w:val="20"/>
                <w:szCs w:val="20"/>
                <w:color w:val="auto"/>
              </w:rPr>
            </w:pPr>
            <w:r>
              <w:rPr>
                <w:rFonts w:ascii="Arial" w:cs="Arial" w:eastAsia="Arial" w:hAnsi="Arial"/>
                <w:sz w:val="14"/>
                <w:szCs w:val="14"/>
                <w:color w:val="auto"/>
              </w:rPr>
              <w:t>Capitalized servicing rights</w:t>
            </w:r>
          </w:p>
        </w:tc>
        <w:tc>
          <w:tcPr>
            <w:tcW w:w="140" w:type="dxa"/>
            <w:vAlign w:val="bottom"/>
          </w:tcPr>
          <w:p>
            <w:pPr>
              <w:spacing w:after="0"/>
              <w:rPr>
                <w:sz w:val="14"/>
                <w:szCs w:val="14"/>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4"/>
                <w:szCs w:val="14"/>
                <w:color w:val="auto"/>
              </w:rPr>
              <w:t>(6,031)</w:t>
            </w:r>
          </w:p>
        </w:tc>
        <w:tc>
          <w:tcPr>
            <w:tcW w:w="12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(16,964)</w:t>
            </w:r>
          </w:p>
        </w:tc>
        <w:tc>
          <w:tcPr>
            <w:tcW w:w="1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(16,199)</w:t>
            </w:r>
          </w:p>
        </w:tc>
      </w:tr>
      <w:tr>
        <w:trPr>
          <w:trHeight w:val="167"/>
        </w:trPr>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Interest on subordinated note exchange</w:t>
            </w:r>
          </w:p>
        </w:tc>
        <w:tc>
          <w:tcPr>
            <w:tcW w:w="14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(21,093)</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(22,961)</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167"/>
        </w:trPr>
        <w:tc>
          <w:tcPr>
            <w:tcW w:w="700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14"/>
                <w:szCs w:val="14"/>
                <w:color w:val="auto"/>
              </w:rPr>
            </w:pPr>
          </w:p>
        </w:tc>
        <w:tc>
          <w:tcPr>
            <w:tcW w:w="98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(342)</w:t>
            </w:r>
          </w:p>
        </w:tc>
        <w:tc>
          <w:tcPr>
            <w:tcW w:w="1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(17,975)</w:t>
            </w:r>
          </w:p>
        </w:tc>
      </w:tr>
      <w:tr>
        <w:trPr>
          <w:trHeight w:val="167"/>
        </w:trPr>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Unrealized investment gains</w:t>
            </w:r>
          </w:p>
        </w:tc>
        <w:tc>
          <w:tcPr>
            <w:tcW w:w="14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(11,748)</w:t>
            </w:r>
          </w:p>
        </w:tc>
      </w:tr>
      <w:tr>
        <w:trPr>
          <w:trHeight w:val="167"/>
        </w:trPr>
        <w:tc>
          <w:tcPr>
            <w:tcW w:w="7000" w:type="dxa"/>
            <w:vAlign w:val="bottom"/>
          </w:tcPr>
          <w:p>
            <w:pPr>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4"/>
                <w:szCs w:val="14"/>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4"/>
                <w:szCs w:val="14"/>
                <w:color w:val="auto"/>
              </w:rPr>
              <w:t>(12,191)</w:t>
            </w:r>
          </w:p>
        </w:tc>
        <w:tc>
          <w:tcPr>
            <w:tcW w:w="12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(1,784)</w:t>
            </w:r>
          </w:p>
        </w:tc>
        <w:tc>
          <w:tcPr>
            <w:tcW w:w="1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(8,086)</w:t>
            </w:r>
          </w:p>
        </w:tc>
      </w:tr>
      <w:tr>
        <w:trPr>
          <w:trHeight w:val="20"/>
        </w:trPr>
        <w:tc>
          <w:tcPr>
            <w:tcW w:w="7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Gross deferred tax liabilities</w:t>
            </w:r>
          </w:p>
        </w:tc>
        <w:tc>
          <w:tcPr>
            <w:tcW w:w="14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360"/>
              <w:spacing w:after="0"/>
              <w:rPr>
                <w:sz w:val="20"/>
                <w:szCs w:val="20"/>
                <w:color w:val="auto"/>
              </w:rPr>
            </w:pPr>
            <w:r>
              <w:rPr>
                <w:rFonts w:ascii="Arial" w:cs="Arial" w:eastAsia="Arial" w:hAnsi="Arial"/>
                <w:sz w:val="14"/>
                <w:szCs w:val="14"/>
                <w:color w:val="auto"/>
              </w:rPr>
              <w:t>(357,169)</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(408,600)</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(498,475)</w:t>
            </w:r>
          </w:p>
        </w:tc>
      </w:tr>
      <w:tr>
        <w:trPr>
          <w:trHeight w:val="176"/>
        </w:trPr>
        <w:tc>
          <w:tcPr>
            <w:tcW w:w="7000" w:type="dxa"/>
            <w:vAlign w:val="bottom"/>
          </w:tcPr>
          <w:p>
            <w:pPr>
              <w:spacing w:after="0"/>
              <w:rPr>
                <w:sz w:val="20"/>
                <w:szCs w:val="20"/>
                <w:color w:val="auto"/>
              </w:rPr>
            </w:pPr>
            <w:r>
              <w:rPr>
                <w:rFonts w:ascii="Arial" w:cs="Arial" w:eastAsia="Arial" w:hAnsi="Arial"/>
                <w:sz w:val="14"/>
                <w:szCs w:val="14"/>
                <w:color w:val="auto"/>
              </w:rPr>
              <w:t>Net deferred tax asset (liability)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177,728</w:t>
            </w:r>
          </w:p>
        </w:tc>
        <w:tc>
          <w:tcPr>
            <w:tcW w:w="2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136,102</w:t>
            </w:r>
          </w:p>
        </w:tc>
        <w:tc>
          <w:tcPr>
            <w:tcW w:w="4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(18,563</w:t>
            </w:r>
          </w:p>
        </w:tc>
        <w:tc>
          <w:tcPr>
            <w:tcW w:w="100" w:type="dxa"/>
            <w:vAlign w:val="bottom"/>
          </w:tcPr>
          <w:p>
            <w:pPr>
              <w:jc w:val="right"/>
              <w:spacing w:after="0"/>
              <w:rPr>
                <w:sz w:val="20"/>
                <w:szCs w:val="20"/>
                <w:color w:val="auto"/>
              </w:rPr>
            </w:pPr>
            <w:r>
              <w:rPr>
                <w:rFonts w:ascii="Arial" w:cs="Arial" w:eastAsia="Arial" w:hAnsi="Arial"/>
                <w:sz w:val="14"/>
                <w:szCs w:val="14"/>
                <w:color w:val="auto"/>
                <w:w w:val="84"/>
              </w:rPr>
              <w:t>)</w:t>
            </w:r>
          </w:p>
        </w:tc>
      </w:tr>
    </w:tbl>
    <w:p>
      <w:pPr>
        <w:spacing w:after="0" w:line="86"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The Company believes that it is more likely than not that the deferred tax assets will be realized through taxable earnings or alternative tax strategies.</w:t>
      </w:r>
    </w:p>
    <w:p>
      <w:pPr>
        <w:spacing w:after="0" w:line="18"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The income tax credits shown in the statement of income of M</w:t>
      </w:r>
      <w:r>
        <w:rPr>
          <w:rFonts w:ascii="Arial" w:cs="Arial" w:eastAsia="Arial" w:hAnsi="Arial"/>
          <w:sz w:val="13"/>
          <w:szCs w:val="13"/>
          <w:color w:val="auto"/>
        </w:rPr>
        <w:t>&amp;</w:t>
      </w:r>
      <w:r>
        <w:rPr>
          <w:rFonts w:ascii="Arial" w:cs="Arial" w:eastAsia="Arial" w:hAnsi="Arial"/>
          <w:sz w:val="14"/>
          <w:szCs w:val="14"/>
          <w:color w:val="auto"/>
        </w:rPr>
        <w:t>T in note 24 arise principally from operating losses before dividends from subsidiaries.</w:t>
      </w:r>
    </w:p>
    <w:p>
      <w:pPr>
        <w:spacing w:after="0" w:line="157" w:lineRule="exact"/>
        <w:rPr>
          <w:sz w:val="20"/>
          <w:szCs w:val="20"/>
          <w:color w:val="auto"/>
        </w:rPr>
      </w:pPr>
    </w:p>
    <w:p>
      <w:pPr>
        <w:ind w:left="1180" w:hanging="493"/>
        <w:spacing w:after="0"/>
        <w:tabs>
          <w:tab w:leader="none" w:pos="1180" w:val="left"/>
        </w:tabs>
        <w:numPr>
          <w:ilvl w:val="0"/>
          <w:numId w:val="33"/>
        </w:numPr>
        <w:rPr>
          <w:rFonts w:ascii="Arial" w:cs="Arial" w:eastAsia="Arial" w:hAnsi="Arial"/>
          <w:sz w:val="14"/>
          <w:szCs w:val="14"/>
          <w:b w:val="1"/>
          <w:bCs w:val="1"/>
          <w:color w:val="auto"/>
        </w:rPr>
      </w:pPr>
      <w:r>
        <w:rPr>
          <w:rFonts w:ascii="Arial" w:cs="Arial" w:eastAsia="Arial" w:hAnsi="Arial"/>
          <w:sz w:val="14"/>
          <w:szCs w:val="14"/>
          <w:b w:val="1"/>
          <w:bCs w:val="1"/>
          <w:color w:val="auto"/>
        </w:rPr>
        <w:t>Earnings per share</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computations of basic earnings per share follow: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4"/>
              </w:rPr>
              <w:t>Year Ended December 31</w:t>
            </w: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12"/>
              <w:spacing w:after="0" w:line="98" w:lineRule="exact"/>
              <w:rPr>
                <w:sz w:val="20"/>
                <w:szCs w:val="20"/>
                <w:color w:val="auto"/>
              </w:rPr>
            </w:pPr>
            <w:r>
              <w:rPr>
                <w:rFonts w:ascii="Arial" w:cs="Arial" w:eastAsia="Arial" w:hAnsi="Arial"/>
                <w:sz w:val="10"/>
                <w:szCs w:val="10"/>
                <w:b w:val="1"/>
                <w:bCs w:val="1"/>
                <w:color w:val="auto"/>
              </w:rPr>
              <w:t>2006</w:t>
            </w: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center"/>
              <w:ind w:right="33"/>
              <w:spacing w:after="0" w:line="98" w:lineRule="exact"/>
              <w:rPr>
                <w:sz w:val="20"/>
                <w:szCs w:val="20"/>
                <w:color w:val="auto"/>
              </w:rPr>
            </w:pPr>
            <w:r>
              <w:rPr>
                <w:rFonts w:ascii="Arial" w:cs="Arial" w:eastAsia="Arial" w:hAnsi="Arial"/>
                <w:sz w:val="10"/>
                <w:szCs w:val="10"/>
                <w:b w:val="1"/>
                <w:bCs w:val="1"/>
                <w:color w:val="auto"/>
                <w:w w:val="98"/>
              </w:rPr>
              <w:t>2005</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12"/>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31"/>
        </w:trPr>
        <w:tc>
          <w:tcPr>
            <w:tcW w:w="68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00" w:type="dxa"/>
            <w:vAlign w:val="bottom"/>
            <w:gridSpan w:val="6"/>
          </w:tcPr>
          <w:p>
            <w:pPr>
              <w:jc w:val="center"/>
              <w:ind w:right="29"/>
              <w:spacing w:after="0"/>
              <w:rPr>
                <w:sz w:val="20"/>
                <w:szCs w:val="20"/>
                <w:color w:val="auto"/>
              </w:rPr>
            </w:pPr>
            <w:r>
              <w:rPr>
                <w:rFonts w:ascii="Arial" w:cs="Arial" w:eastAsia="Arial" w:hAnsi="Arial"/>
                <w:sz w:val="10"/>
                <w:szCs w:val="10"/>
                <w:b w:val="1"/>
                <w:bCs w:val="1"/>
                <w:color w:val="auto"/>
                <w:w w:val="92"/>
              </w:rPr>
              <w:t>(In thousands, except per share)</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73"/>
        </w:trPr>
        <w:tc>
          <w:tcPr>
            <w:tcW w:w="68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4"/>
                <w:szCs w:val="14"/>
                <w:color w:val="auto"/>
              </w:rPr>
              <w:t>Income available to common stockholders:</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Pr>
          <w:p>
            <w:pPr>
              <w:spacing w:after="0"/>
              <w:rPr>
                <w:sz w:val="15"/>
                <w:szCs w:val="15"/>
                <w:color w:val="auto"/>
              </w:rPr>
            </w:pPr>
          </w:p>
        </w:tc>
      </w:tr>
      <w:tr>
        <w:trPr>
          <w:trHeight w:val="167"/>
        </w:trPr>
        <w:tc>
          <w:tcPr>
            <w:tcW w:w="680" w:type="dxa"/>
            <w:vAlign w:val="bottom"/>
          </w:tcPr>
          <w:p>
            <w:pPr>
              <w:spacing w:after="0"/>
              <w:rPr>
                <w:sz w:val="14"/>
                <w:szCs w:val="14"/>
                <w:color w:val="auto"/>
              </w:rPr>
            </w:pPr>
          </w:p>
        </w:tc>
        <w:tc>
          <w:tcPr>
            <w:tcW w:w="730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w w:val="98"/>
              </w:rPr>
              <w:t>839,189</w:t>
            </w:r>
          </w:p>
        </w:tc>
        <w:tc>
          <w:tcPr>
            <w:tcW w:w="1340" w:type="dxa"/>
            <w:vAlign w:val="bottom"/>
            <w:gridSpan w:val="4"/>
          </w:tcPr>
          <w:p>
            <w:pPr>
              <w:jc w:val="right"/>
              <w:ind w:right="400"/>
              <w:spacing w:after="0"/>
              <w:rPr>
                <w:sz w:val="20"/>
                <w:szCs w:val="20"/>
                <w:color w:val="auto"/>
              </w:rPr>
            </w:pPr>
            <w:r>
              <w:rPr>
                <w:rFonts w:ascii="Arial" w:cs="Arial" w:eastAsia="Arial" w:hAnsi="Arial"/>
                <w:sz w:val="14"/>
                <w:szCs w:val="14"/>
                <w:color w:val="auto"/>
              </w:rPr>
              <w:t>$ 782,183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w w:val="90"/>
              </w:rPr>
              <w:t>722,521</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4"/>
                <w:szCs w:val="14"/>
                <w:color w:val="auto"/>
              </w:rPr>
              <w:t>Weighted-average shares outstanding (including common stock issuable)</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8"/>
              </w:rPr>
              <w:t>111,173</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w w:val="90"/>
              </w:rPr>
              <w:t>113,689</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0"/>
              </w:rPr>
              <w:t>117,696</w:t>
            </w:r>
          </w:p>
        </w:tc>
        <w:tc>
          <w:tcPr>
            <w:tcW w:w="800" w:type="dxa"/>
            <w:vAlign w:val="bottom"/>
          </w:tcPr>
          <w:p>
            <w:pPr>
              <w:spacing w:after="0"/>
              <w:rPr>
                <w:sz w:val="14"/>
                <w:szCs w:val="14"/>
                <w:color w:val="auto"/>
              </w:rPr>
            </w:pPr>
          </w:p>
        </w:tc>
      </w:tr>
      <w:tr>
        <w:trPr>
          <w:trHeight w:val="182"/>
        </w:trPr>
        <w:tc>
          <w:tcPr>
            <w:tcW w:w="68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Arial" w:cs="Arial" w:eastAsia="Arial" w:hAnsi="Arial"/>
                <w:sz w:val="14"/>
                <w:szCs w:val="14"/>
                <w:color w:val="auto"/>
              </w:rPr>
              <w:t>Basic earnings per share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7.55</w:t>
            </w: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4"/>
                <w:szCs w:val="14"/>
                <w:color w:val="auto"/>
              </w:rPr>
              <w:t>6.88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6.14</w:t>
            </w:r>
          </w:p>
        </w:tc>
        <w:tc>
          <w:tcPr>
            <w:tcW w:w="800" w:type="dxa"/>
            <w:vAlign w:val="bottom"/>
          </w:tcPr>
          <w:p>
            <w:pPr>
              <w:spacing w:after="0"/>
              <w:rPr>
                <w:sz w:val="15"/>
                <w:szCs w:val="15"/>
                <w:color w:val="auto"/>
              </w:rPr>
            </w:pPr>
          </w:p>
        </w:tc>
      </w:tr>
      <w:tr>
        <w:trPr>
          <w:trHeight w:val="204"/>
        </w:trPr>
        <w:tc>
          <w:tcPr>
            <w:tcW w:w="680" w:type="dxa"/>
            <w:vAlign w:val="bottom"/>
          </w:tcPr>
          <w:p>
            <w:pPr>
              <w:spacing w:after="0"/>
              <w:rPr>
                <w:sz w:val="17"/>
                <w:szCs w:val="17"/>
                <w:color w:val="auto"/>
              </w:rPr>
            </w:pPr>
          </w:p>
        </w:tc>
        <w:tc>
          <w:tcPr>
            <w:tcW w:w="7300" w:type="dxa"/>
            <w:vAlign w:val="bottom"/>
          </w:tcPr>
          <w:p>
            <w:pPr>
              <w:ind w:left="600"/>
              <w:spacing w:after="0"/>
              <w:rPr>
                <w:sz w:val="20"/>
                <w:szCs w:val="20"/>
                <w:color w:val="auto"/>
              </w:rPr>
            </w:pPr>
            <w:r>
              <w:rPr>
                <w:rFonts w:ascii="Arial" w:cs="Arial" w:eastAsia="Arial" w:hAnsi="Arial"/>
                <w:sz w:val="14"/>
                <w:szCs w:val="14"/>
                <w:color w:val="auto"/>
              </w:rPr>
              <w:t>The computations of diluted earnings per share follow:</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43"/>
        </w:trPr>
        <w:tc>
          <w:tcPr>
            <w:tcW w:w="68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94"/>
              </w:rPr>
              <w:t>Year Ended December 31</w:t>
            </w:r>
          </w:p>
        </w:tc>
        <w:tc>
          <w:tcPr>
            <w:tcW w:w="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98"/>
        </w:trPr>
        <w:tc>
          <w:tcPr>
            <w:tcW w:w="680" w:type="dxa"/>
            <w:vAlign w:val="bottom"/>
          </w:tcPr>
          <w:p>
            <w:pPr>
              <w:spacing w:after="0"/>
              <w:rPr>
                <w:sz w:val="8"/>
                <w:szCs w:val="8"/>
                <w:color w:val="auto"/>
              </w:rPr>
            </w:pPr>
          </w:p>
        </w:tc>
        <w:tc>
          <w:tcPr>
            <w:tcW w:w="7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12"/>
              <w:spacing w:after="0" w:line="98" w:lineRule="exact"/>
              <w:rPr>
                <w:sz w:val="20"/>
                <w:szCs w:val="20"/>
                <w:color w:val="auto"/>
              </w:rPr>
            </w:pPr>
            <w:r>
              <w:rPr>
                <w:rFonts w:ascii="Arial" w:cs="Arial" w:eastAsia="Arial" w:hAnsi="Arial"/>
                <w:sz w:val="10"/>
                <w:szCs w:val="10"/>
                <w:b w:val="1"/>
                <w:bCs w:val="1"/>
                <w:color w:val="auto"/>
              </w:rPr>
              <w:t>2006</w:t>
            </w: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center"/>
              <w:ind w:right="33"/>
              <w:spacing w:after="0" w:line="98" w:lineRule="exact"/>
              <w:rPr>
                <w:sz w:val="20"/>
                <w:szCs w:val="20"/>
                <w:color w:val="auto"/>
              </w:rPr>
            </w:pPr>
            <w:r>
              <w:rPr>
                <w:rFonts w:ascii="Arial" w:cs="Arial" w:eastAsia="Arial" w:hAnsi="Arial"/>
                <w:sz w:val="10"/>
                <w:szCs w:val="10"/>
                <w:b w:val="1"/>
                <w:bCs w:val="1"/>
                <w:color w:val="auto"/>
                <w:w w:val="98"/>
              </w:rPr>
              <w:t>2005</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12"/>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31"/>
        </w:trPr>
        <w:tc>
          <w:tcPr>
            <w:tcW w:w="680" w:type="dxa"/>
            <w:vAlign w:val="bottom"/>
          </w:tcPr>
          <w:p>
            <w:pPr>
              <w:spacing w:after="0"/>
              <w:rPr>
                <w:sz w:val="11"/>
                <w:szCs w:val="11"/>
                <w:color w:val="auto"/>
              </w:rPr>
            </w:pPr>
          </w:p>
        </w:tc>
        <w:tc>
          <w:tcPr>
            <w:tcW w:w="7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00" w:type="dxa"/>
            <w:vAlign w:val="bottom"/>
            <w:gridSpan w:val="6"/>
          </w:tcPr>
          <w:p>
            <w:pPr>
              <w:jc w:val="center"/>
              <w:ind w:right="29"/>
              <w:spacing w:after="0"/>
              <w:rPr>
                <w:sz w:val="20"/>
                <w:szCs w:val="20"/>
                <w:color w:val="auto"/>
              </w:rPr>
            </w:pPr>
            <w:r>
              <w:rPr>
                <w:rFonts w:ascii="Arial" w:cs="Arial" w:eastAsia="Arial" w:hAnsi="Arial"/>
                <w:sz w:val="10"/>
                <w:szCs w:val="10"/>
                <w:b w:val="1"/>
                <w:bCs w:val="1"/>
                <w:color w:val="auto"/>
                <w:w w:val="92"/>
              </w:rPr>
              <w:t>(In thousands, except per share)</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73"/>
        </w:trPr>
        <w:tc>
          <w:tcPr>
            <w:tcW w:w="68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4"/>
                <w:szCs w:val="14"/>
                <w:color w:val="auto"/>
              </w:rPr>
              <w:t>Income available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8"/>
              </w:rPr>
              <w:t>839,189</w:t>
            </w:r>
          </w:p>
        </w:tc>
        <w:tc>
          <w:tcPr>
            <w:tcW w:w="1340" w:type="dxa"/>
            <w:vAlign w:val="bottom"/>
            <w:gridSpan w:val="4"/>
            <w:shd w:val="clear" w:color="auto" w:fill="CCEEFF"/>
          </w:tcPr>
          <w:p>
            <w:pPr>
              <w:jc w:val="right"/>
              <w:ind w:right="400"/>
              <w:spacing w:after="0"/>
              <w:rPr>
                <w:sz w:val="20"/>
                <w:szCs w:val="20"/>
                <w:color w:val="auto"/>
              </w:rPr>
            </w:pPr>
            <w:r>
              <w:rPr>
                <w:rFonts w:ascii="Arial" w:cs="Arial" w:eastAsia="Arial" w:hAnsi="Arial"/>
                <w:sz w:val="14"/>
                <w:szCs w:val="14"/>
                <w:color w:val="auto"/>
              </w:rPr>
              <w:t>$ 782,183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0"/>
              </w:rPr>
              <w:t>722,521</w:t>
            </w:r>
          </w:p>
        </w:tc>
        <w:tc>
          <w:tcPr>
            <w:tcW w:w="800" w:type="dxa"/>
            <w:vAlign w:val="bottom"/>
          </w:tcPr>
          <w:p>
            <w:pPr>
              <w:spacing w:after="0"/>
              <w:rPr>
                <w:sz w:val="15"/>
                <w:szCs w:val="15"/>
                <w:color w:val="auto"/>
              </w:rPr>
            </w:pPr>
          </w:p>
        </w:tc>
      </w:tr>
      <w:tr>
        <w:trPr>
          <w:trHeight w:val="167"/>
        </w:trPr>
        <w:tc>
          <w:tcPr>
            <w:tcW w:w="680" w:type="dxa"/>
            <w:vAlign w:val="bottom"/>
          </w:tcPr>
          <w:p>
            <w:pPr>
              <w:spacing w:after="0"/>
              <w:rPr>
                <w:sz w:val="14"/>
                <w:szCs w:val="14"/>
                <w:color w:val="auto"/>
              </w:rPr>
            </w:pPr>
          </w:p>
        </w:tc>
        <w:tc>
          <w:tcPr>
            <w:tcW w:w="7300" w:type="dxa"/>
            <w:vAlign w:val="bottom"/>
          </w:tcPr>
          <w:p>
            <w:pPr>
              <w:spacing w:after="0"/>
              <w:rPr>
                <w:sz w:val="20"/>
                <w:szCs w:val="20"/>
                <w:color w:val="auto"/>
              </w:rPr>
            </w:pPr>
            <w:r>
              <w:rPr>
                <w:rFonts w:ascii="Arial" w:cs="Arial" w:eastAsia="Arial" w:hAnsi="Arial"/>
                <w:sz w:val="14"/>
                <w:szCs w:val="14"/>
                <w:color w:val="auto"/>
              </w:rPr>
              <w:t>Weighted-average shares outstanding</w:t>
            </w:r>
          </w:p>
        </w:tc>
        <w:tc>
          <w:tcPr>
            <w:tcW w:w="1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w w:val="98"/>
              </w:rPr>
              <w:t>111,173</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color w:val="auto"/>
                <w:w w:val="90"/>
              </w:rPr>
              <w:t>113,689</w:t>
            </w:r>
          </w:p>
        </w:tc>
        <w:tc>
          <w:tcPr>
            <w:tcW w:w="10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w w:val="90"/>
              </w:rPr>
              <w:t>117,696</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4"/>
                <w:szCs w:val="14"/>
                <w:color w:val="auto"/>
              </w:rPr>
              <w:t>Plus: incremental shares from assumed conversion of stock options</w:t>
            </w: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2,745</w:t>
            </w: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2,543</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2,710</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300" w:type="dxa"/>
            <w:vAlign w:val="bottom"/>
          </w:tcPr>
          <w:p>
            <w:pPr>
              <w:spacing w:after="0"/>
              <w:rPr>
                <w:sz w:val="20"/>
                <w:szCs w:val="20"/>
                <w:color w:val="auto"/>
              </w:rPr>
            </w:pPr>
            <w:r>
              <w:rPr>
                <w:rFonts w:ascii="Arial" w:cs="Arial" w:eastAsia="Arial" w:hAnsi="Arial"/>
                <w:sz w:val="14"/>
                <w:szCs w:val="14"/>
                <w:color w:val="auto"/>
              </w:rPr>
              <w:t>Adjusted weighted-average shares outstanding</w:t>
            </w: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113,918</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0"/>
              </w:rPr>
              <w:t>116,232</w:t>
            </w: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0"/>
              </w:rPr>
              <w:t>120,406</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4"/>
                <w:szCs w:val="14"/>
                <w:color w:val="auto"/>
              </w:rPr>
              <w:t>Diluted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7.37</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6.73</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6.00</w:t>
            </w:r>
          </w:p>
        </w:tc>
        <w:tc>
          <w:tcPr>
            <w:tcW w:w="800" w:type="dxa"/>
            <w:vAlign w:val="bottom"/>
          </w:tcPr>
          <w:p>
            <w:pPr>
              <w:spacing w:after="0"/>
              <w:rPr>
                <w:sz w:val="14"/>
                <w:szCs w:val="14"/>
                <w:color w:val="auto"/>
              </w:rPr>
            </w:pPr>
          </w:p>
        </w:tc>
      </w:tr>
      <w:tr>
        <w:trPr>
          <w:trHeight w:val="309"/>
        </w:trPr>
        <w:tc>
          <w:tcPr>
            <w:tcW w:w="68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2"/>
                <w:szCs w:val="12"/>
                <w:color w:val="auto"/>
              </w:rPr>
              <w:t>112</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73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3" w:name="page114"/>
    <w:bookmarkEnd w:id="1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 w:type="dxa"/>
            <w:vAlign w:val="bottom"/>
          </w:tcPr>
          <w:p>
            <w:pPr>
              <w:spacing w:after="0"/>
              <w:rPr>
                <w:sz w:val="16"/>
                <w:szCs w:val="16"/>
                <w:color w:val="auto"/>
              </w:rPr>
            </w:pPr>
          </w:p>
        </w:tc>
        <w:tc>
          <w:tcPr>
            <w:tcW w:w="340" w:type="dxa"/>
            <w:vAlign w:val="bottom"/>
          </w:tcPr>
          <w:p>
            <w:pPr>
              <w:spacing w:after="0"/>
              <w:rPr>
                <w:sz w:val="20"/>
                <w:szCs w:val="20"/>
                <w:color w:val="auto"/>
              </w:rPr>
            </w:pPr>
            <w:r>
              <w:rPr>
                <w:rFonts w:ascii="Arial" w:cs="Arial" w:eastAsia="Arial" w:hAnsi="Arial"/>
                <w:sz w:val="14"/>
                <w:szCs w:val="14"/>
                <w:b w:val="1"/>
                <w:bCs w:val="1"/>
                <w:color w:val="auto"/>
              </w:rPr>
              <w:t>14.</w:t>
            </w:r>
          </w:p>
        </w:tc>
        <w:tc>
          <w:tcPr>
            <w:tcW w:w="6860" w:type="dxa"/>
            <w:vAlign w:val="bottom"/>
          </w:tcPr>
          <w:p>
            <w:pPr>
              <w:ind w:left="160"/>
              <w:spacing w:after="0"/>
              <w:rPr>
                <w:sz w:val="20"/>
                <w:szCs w:val="20"/>
                <w:color w:val="auto"/>
              </w:rPr>
            </w:pPr>
            <w:r>
              <w:rPr>
                <w:rFonts w:ascii="Arial" w:cs="Arial" w:eastAsia="Arial" w:hAnsi="Arial"/>
                <w:sz w:val="14"/>
                <w:szCs w:val="14"/>
                <w:b w:val="1"/>
                <w:bCs w:val="1"/>
                <w:color w:val="auto"/>
              </w:rPr>
              <w:t>Comprehensive income</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680" w:type="dxa"/>
            <w:vAlign w:val="bottom"/>
          </w:tcPr>
          <w:p>
            <w:pPr>
              <w:spacing w:after="0"/>
              <w:rPr>
                <w:sz w:val="24"/>
                <w:szCs w:val="24"/>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The following table displays the components of other comprehensive income:</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188"/>
              <w:spacing w:after="0"/>
              <w:rPr>
                <w:sz w:val="20"/>
                <w:szCs w:val="20"/>
                <w:color w:val="auto"/>
              </w:rPr>
            </w:pPr>
            <w:r>
              <w:rPr>
                <w:rFonts w:ascii="Arial" w:cs="Arial" w:eastAsia="Arial" w:hAnsi="Arial"/>
                <w:sz w:val="10"/>
                <w:szCs w:val="10"/>
                <w:b w:val="1"/>
                <w:bCs w:val="1"/>
                <w:color w:val="auto"/>
                <w:w w:val="96"/>
              </w:rPr>
              <w:t>Before-tax</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428"/>
              <w:spacing w:after="0"/>
              <w:rPr>
                <w:sz w:val="20"/>
                <w:szCs w:val="20"/>
                <w:color w:val="auto"/>
              </w:rPr>
            </w:pPr>
            <w:r>
              <w:rPr>
                <w:rFonts w:ascii="Arial" w:cs="Arial" w:eastAsia="Arial" w:hAnsi="Arial"/>
                <w:sz w:val="10"/>
                <w:szCs w:val="10"/>
                <w:b w:val="1"/>
                <w:bCs w:val="1"/>
                <w:color w:val="auto"/>
                <w:w w:val="96"/>
              </w:rPr>
              <w:t>Income</w:t>
            </w:r>
          </w:p>
        </w:tc>
        <w:tc>
          <w:tcPr>
            <w:tcW w:w="100" w:type="dxa"/>
            <w:vAlign w:val="bottom"/>
          </w:tcPr>
          <w:p>
            <w:pPr>
              <w:spacing w:after="0"/>
              <w:rPr>
                <w:sz w:val="16"/>
                <w:szCs w:val="16"/>
                <w:color w:val="auto"/>
              </w:rPr>
            </w:pPr>
          </w:p>
        </w:tc>
        <w:tc>
          <w:tcPr>
            <w:tcW w:w="480" w:type="dxa"/>
            <w:vAlign w:val="bottom"/>
            <w:vMerge w:val="restart"/>
          </w:tcPr>
          <w:p>
            <w:pPr>
              <w:jc w:val="right"/>
              <w:ind w:right="130"/>
              <w:spacing w:after="0"/>
              <w:rPr>
                <w:sz w:val="20"/>
                <w:szCs w:val="20"/>
                <w:color w:val="auto"/>
              </w:rPr>
            </w:pPr>
            <w:r>
              <w:rPr>
                <w:rFonts w:ascii="Arial" w:cs="Arial" w:eastAsia="Arial" w:hAnsi="Arial"/>
                <w:sz w:val="10"/>
                <w:szCs w:val="10"/>
                <w:b w:val="1"/>
                <w:bCs w:val="1"/>
                <w:color w:val="auto"/>
              </w:rPr>
              <w:t>Net</w:t>
            </w:r>
          </w:p>
        </w:tc>
        <w:tc>
          <w:tcPr>
            <w:tcW w:w="900" w:type="dxa"/>
            <w:vAlign w:val="bottom"/>
            <w:gridSpan w:val="2"/>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1"/>
              <w:spacing w:after="0"/>
              <w:rPr>
                <w:sz w:val="20"/>
                <w:szCs w:val="20"/>
                <w:color w:val="auto"/>
              </w:rPr>
            </w:pPr>
            <w:r>
              <w:rPr>
                <w:rFonts w:ascii="Arial" w:cs="Arial" w:eastAsia="Arial" w:hAnsi="Arial"/>
                <w:sz w:val="10"/>
                <w:szCs w:val="10"/>
                <w:b w:val="1"/>
                <w:bCs w:val="1"/>
                <w:color w:val="auto"/>
                <w:w w:val="95"/>
              </w:rPr>
              <w:t>Amount</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center"/>
              <w:ind w:right="31"/>
              <w:spacing w:after="0"/>
              <w:rPr>
                <w:sz w:val="20"/>
                <w:szCs w:val="20"/>
                <w:color w:val="auto"/>
              </w:rPr>
            </w:pPr>
            <w:r>
              <w:rPr>
                <w:rFonts w:ascii="Arial" w:cs="Arial" w:eastAsia="Arial" w:hAnsi="Arial"/>
                <w:sz w:val="10"/>
                <w:szCs w:val="10"/>
                <w:b w:val="1"/>
                <w:bCs w:val="1"/>
                <w:color w:val="auto"/>
                <w:w w:val="91"/>
              </w:rPr>
              <w:t>Taxes</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thousands)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80" w:type="dxa"/>
            <w:vAlign w:val="bottom"/>
          </w:tcPr>
          <w:p>
            <w:pPr>
              <w:spacing w:after="0"/>
              <w:rPr>
                <w:sz w:val="15"/>
                <w:szCs w:val="15"/>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 the year ended December 31, 2006</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Unrealized gains on investment securities: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Unrealized holding gains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33,939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(9,084)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24,855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200" w:type="dxa"/>
            <w:vAlign w:val="bottom"/>
            <w:gridSpan w:val="2"/>
          </w:tcPr>
          <w:p>
            <w:pPr>
              <w:ind w:left="140"/>
              <w:spacing w:after="0"/>
              <w:rPr>
                <w:sz w:val="20"/>
                <w:szCs w:val="20"/>
                <w:color w:val="auto"/>
              </w:rPr>
            </w:pPr>
            <w:r>
              <w:rPr>
                <w:rFonts w:ascii="Arial" w:cs="Arial" w:eastAsia="Arial" w:hAnsi="Arial"/>
                <w:sz w:val="14"/>
                <w:szCs w:val="14"/>
                <w:color w:val="auto"/>
              </w:rPr>
              <w:t>Less: reclassification adjustment for gains realized in net income</w:t>
            </w:r>
          </w:p>
        </w:tc>
        <w:tc>
          <w:tcPr>
            <w:tcW w:w="100" w:type="dxa"/>
            <w:vAlign w:val="bottom"/>
          </w:tcPr>
          <w:p>
            <w:pPr>
              <w:spacing w:after="0"/>
              <w:rPr>
                <w:sz w:val="14"/>
                <w:szCs w:val="14"/>
                <w:color w:val="auto"/>
              </w:rPr>
            </w:pPr>
          </w:p>
        </w:tc>
        <w:tc>
          <w:tcPr>
            <w:tcW w:w="780" w:type="dxa"/>
            <w:vAlign w:val="bottom"/>
            <w:gridSpan w:val="2"/>
          </w:tcPr>
          <w:p>
            <w:pPr>
              <w:jc w:val="right"/>
              <w:ind w:right="88"/>
              <w:spacing w:after="0"/>
              <w:rPr>
                <w:sz w:val="20"/>
                <w:szCs w:val="20"/>
                <w:color w:val="auto"/>
              </w:rPr>
            </w:pPr>
            <w:r>
              <w:rPr>
                <w:rFonts w:ascii="Arial" w:cs="Arial" w:eastAsia="Arial" w:hAnsi="Arial"/>
                <w:sz w:val="14"/>
                <w:szCs w:val="14"/>
                <w:color w:val="auto"/>
              </w:rPr>
              <w:t>2,566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68"/>
              <w:spacing w:after="0"/>
              <w:rPr>
                <w:sz w:val="20"/>
                <w:szCs w:val="20"/>
                <w:color w:val="auto"/>
              </w:rPr>
            </w:pPr>
            <w:r>
              <w:rPr>
                <w:rFonts w:ascii="Arial" w:cs="Arial" w:eastAsia="Arial" w:hAnsi="Arial"/>
                <w:sz w:val="14"/>
                <w:szCs w:val="14"/>
                <w:color w:val="auto"/>
              </w:rPr>
              <w:t>(976)</w:t>
            </w:r>
          </w:p>
        </w:tc>
        <w:tc>
          <w:tcPr>
            <w:tcW w:w="100" w:type="dxa"/>
            <w:vAlign w:val="bottom"/>
          </w:tcPr>
          <w:p>
            <w:pPr>
              <w:spacing w:after="0"/>
              <w:rPr>
                <w:sz w:val="14"/>
                <w:szCs w:val="14"/>
                <w:color w:val="auto"/>
              </w:rPr>
            </w:pPr>
          </w:p>
        </w:tc>
        <w:tc>
          <w:tcPr>
            <w:tcW w:w="580" w:type="dxa"/>
            <w:vAlign w:val="bottom"/>
            <w:gridSpan w:val="2"/>
          </w:tcPr>
          <w:p>
            <w:pPr>
              <w:jc w:val="right"/>
              <w:ind w:right="28"/>
              <w:spacing w:after="0"/>
              <w:rPr>
                <w:sz w:val="20"/>
                <w:szCs w:val="20"/>
                <w:color w:val="auto"/>
              </w:rPr>
            </w:pPr>
            <w:r>
              <w:rPr>
                <w:rFonts w:ascii="Arial" w:cs="Arial" w:eastAsia="Arial" w:hAnsi="Arial"/>
                <w:sz w:val="14"/>
                <w:szCs w:val="14"/>
                <w:color w:val="auto"/>
              </w:rPr>
              <w:t>1,590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31,373</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(8,108)</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23,265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Minimum pension liability adjustment</w:t>
            </w:r>
          </w:p>
        </w:tc>
        <w:tc>
          <w:tcPr>
            <w:tcW w:w="100" w:type="dxa"/>
            <w:vAlign w:val="bottom"/>
          </w:tcPr>
          <w:p>
            <w:pPr>
              <w:spacing w:after="0"/>
              <w:rPr>
                <w:sz w:val="14"/>
                <w:szCs w:val="14"/>
                <w:color w:val="auto"/>
              </w:rPr>
            </w:pPr>
          </w:p>
        </w:tc>
        <w:tc>
          <w:tcPr>
            <w:tcW w:w="780" w:type="dxa"/>
            <w:vAlign w:val="bottom"/>
            <w:gridSpan w:val="2"/>
          </w:tcPr>
          <w:p>
            <w:pPr>
              <w:jc w:val="right"/>
              <w:ind w:right="88"/>
              <w:spacing w:after="0"/>
              <w:rPr>
                <w:sz w:val="20"/>
                <w:szCs w:val="20"/>
                <w:color w:val="auto"/>
              </w:rPr>
            </w:pPr>
            <w:r>
              <w:rPr>
                <w:rFonts w:ascii="Arial" w:cs="Arial" w:eastAsia="Arial" w:hAnsi="Arial"/>
                <w:sz w:val="14"/>
                <w:szCs w:val="14"/>
                <w:color w:val="auto"/>
              </w:rPr>
              <w:t>50,708</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68"/>
              <w:spacing w:after="0"/>
              <w:rPr>
                <w:sz w:val="20"/>
                <w:szCs w:val="20"/>
                <w:color w:val="auto"/>
              </w:rPr>
            </w:pPr>
            <w:r>
              <w:rPr>
                <w:rFonts w:ascii="Arial" w:cs="Arial" w:eastAsia="Arial" w:hAnsi="Arial"/>
                <w:sz w:val="14"/>
                <w:szCs w:val="14"/>
                <w:color w:val="auto"/>
                <w:w w:val="99"/>
              </w:rPr>
              <w:t>(19,776)</w:t>
            </w:r>
          </w:p>
        </w:tc>
        <w:tc>
          <w:tcPr>
            <w:tcW w:w="100" w:type="dxa"/>
            <w:vAlign w:val="bottom"/>
          </w:tcPr>
          <w:p>
            <w:pPr>
              <w:spacing w:after="0"/>
              <w:rPr>
                <w:sz w:val="14"/>
                <w:szCs w:val="14"/>
                <w:color w:val="auto"/>
              </w:rPr>
            </w:pPr>
          </w:p>
        </w:tc>
        <w:tc>
          <w:tcPr>
            <w:tcW w:w="580" w:type="dxa"/>
            <w:vAlign w:val="bottom"/>
            <w:gridSpan w:val="2"/>
          </w:tcPr>
          <w:p>
            <w:pPr>
              <w:jc w:val="right"/>
              <w:ind w:right="28"/>
              <w:spacing w:after="0"/>
              <w:rPr>
                <w:sz w:val="20"/>
                <w:szCs w:val="20"/>
                <w:color w:val="auto"/>
              </w:rPr>
            </w:pPr>
            <w:r>
              <w:rPr>
                <w:rFonts w:ascii="Arial" w:cs="Arial" w:eastAsia="Arial" w:hAnsi="Arial"/>
                <w:sz w:val="14"/>
                <w:szCs w:val="14"/>
                <w:color w:val="auto"/>
              </w:rPr>
              <w:t>30,932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80" w:type="dxa"/>
            <w:vAlign w:val="bottom"/>
          </w:tcPr>
          <w:p>
            <w:pPr>
              <w:spacing w:after="0"/>
              <w:rPr>
                <w:sz w:val="15"/>
                <w:szCs w:val="15"/>
                <w:color w:val="auto"/>
              </w:rPr>
            </w:pPr>
          </w:p>
        </w:tc>
        <w:tc>
          <w:tcPr>
            <w:tcW w:w="7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Net unrealized gains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82,081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w w:val="99"/>
              </w:rPr>
              <w:t>(27,884)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54,197</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80" w:type="dxa"/>
            <w:vAlign w:val="bottom"/>
          </w:tcPr>
          <w:p>
            <w:pPr>
              <w:spacing w:after="0"/>
              <w:rPr>
                <w:sz w:val="15"/>
                <w:szCs w:val="15"/>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For the year ended December 31, 2005</w:t>
            </w: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Unrealized losses on investment securities:</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200" w:type="dxa"/>
            <w:vAlign w:val="bottom"/>
            <w:gridSpan w:val="2"/>
          </w:tcPr>
          <w:p>
            <w:pPr>
              <w:ind w:left="140"/>
              <w:spacing w:after="0"/>
              <w:rPr>
                <w:sz w:val="20"/>
                <w:szCs w:val="20"/>
                <w:color w:val="auto"/>
              </w:rPr>
            </w:pPr>
            <w:r>
              <w:rPr>
                <w:rFonts w:ascii="Arial" w:cs="Arial" w:eastAsia="Arial" w:hAnsi="Arial"/>
                <w:sz w:val="14"/>
                <w:szCs w:val="14"/>
                <w:color w:val="auto"/>
              </w:rPr>
              <w:t>Unrealized holding losses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(115,026)</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28"/>
              <w:spacing w:after="0"/>
              <w:rPr>
                <w:sz w:val="20"/>
                <w:szCs w:val="20"/>
                <w:color w:val="auto"/>
              </w:rPr>
            </w:pPr>
            <w:r>
              <w:rPr>
                <w:rFonts w:ascii="Arial" w:cs="Arial" w:eastAsia="Arial" w:hAnsi="Arial"/>
                <w:sz w:val="14"/>
                <w:szCs w:val="14"/>
                <w:color w:val="auto"/>
              </w:rPr>
              <w:t>42,623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w w:val="99"/>
              </w:rPr>
              <w:t>(72,403)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Less: reclassification adjustment for losses recognized in net income</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(28,133)</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(406)</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9"/>
              </w:rPr>
              <w:t>(28,539)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(86,893)</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43,029</w:t>
            </w: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8"/>
              </w:rPr>
              <w:t>(43,864)</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Minimum pension liability adjustment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(60,422)</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23,565</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9"/>
              </w:rPr>
              <w:t>(36,857)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80" w:type="dxa"/>
            <w:vAlign w:val="bottom"/>
          </w:tcPr>
          <w:p>
            <w:pPr>
              <w:spacing w:after="0"/>
              <w:rPr>
                <w:sz w:val="15"/>
                <w:szCs w:val="15"/>
                <w:color w:val="auto"/>
              </w:rPr>
            </w:pPr>
          </w:p>
        </w:tc>
        <w:tc>
          <w:tcPr>
            <w:tcW w:w="7200" w:type="dxa"/>
            <w:vAlign w:val="bottom"/>
            <w:gridSpan w:val="2"/>
          </w:tcPr>
          <w:p>
            <w:pPr>
              <w:ind w:left="140"/>
              <w:spacing w:after="0"/>
              <w:rPr>
                <w:sz w:val="20"/>
                <w:szCs w:val="20"/>
                <w:color w:val="auto"/>
              </w:rPr>
            </w:pPr>
            <w:r>
              <w:rPr>
                <w:rFonts w:ascii="Arial" w:cs="Arial" w:eastAsia="Arial" w:hAnsi="Arial"/>
                <w:sz w:val="14"/>
                <w:szCs w:val="14"/>
                <w:color w:val="auto"/>
              </w:rPr>
              <w:t>Net unrealized losses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(147,315</w:t>
            </w:r>
          </w:p>
        </w:tc>
        <w:tc>
          <w:tcPr>
            <w:tcW w:w="180" w:type="dxa"/>
            <w:vAlign w:val="bottom"/>
          </w:tcPr>
          <w:p>
            <w:pPr>
              <w:jc w:val="right"/>
              <w:ind w:right="48"/>
              <w:spacing w:after="0"/>
              <w:rPr>
                <w:sz w:val="20"/>
                <w:szCs w:val="20"/>
                <w:color w:val="auto"/>
              </w:rPr>
            </w:pPr>
            <w:r>
              <w:rPr>
                <w:rFonts w:ascii="Arial" w:cs="Arial" w:eastAsia="Arial" w:hAnsi="Arial"/>
                <w:sz w:val="14"/>
                <w:szCs w:val="14"/>
                <w:color w:val="auto"/>
                <w:w w:val="84"/>
              </w:rPr>
              <w:t>)</w:t>
            </w:r>
          </w:p>
        </w:tc>
        <w:tc>
          <w:tcPr>
            <w:tcW w:w="2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66,594</w:t>
            </w:r>
          </w:p>
        </w:tc>
        <w:tc>
          <w:tcPr>
            <w:tcW w:w="4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(80,721</w:t>
            </w:r>
          </w:p>
        </w:tc>
        <w:tc>
          <w:tcPr>
            <w:tcW w:w="10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80" w:type="dxa"/>
            <w:vAlign w:val="bottom"/>
          </w:tcPr>
          <w:p>
            <w:pPr>
              <w:spacing w:after="0"/>
              <w:rPr>
                <w:sz w:val="14"/>
                <w:szCs w:val="14"/>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For the year ended December 31, 2004</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Unrealized losses on investment securities: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Unrealized holding losses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(52,686)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11,616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9"/>
              </w:rPr>
              <w:t>(41,070)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200" w:type="dxa"/>
            <w:vAlign w:val="bottom"/>
            <w:gridSpan w:val="2"/>
          </w:tcPr>
          <w:p>
            <w:pPr>
              <w:ind w:left="140"/>
              <w:spacing w:after="0"/>
              <w:rPr>
                <w:sz w:val="20"/>
                <w:szCs w:val="20"/>
                <w:color w:val="auto"/>
              </w:rPr>
            </w:pPr>
            <w:r>
              <w:rPr>
                <w:rFonts w:ascii="Arial" w:cs="Arial" w:eastAsia="Arial" w:hAnsi="Arial"/>
                <w:sz w:val="14"/>
                <w:szCs w:val="14"/>
                <w:color w:val="auto"/>
              </w:rPr>
              <w:t>Less: reclassification adjustment for gains realized in net income</w:t>
            </w:r>
          </w:p>
        </w:tc>
        <w:tc>
          <w:tcPr>
            <w:tcW w:w="100" w:type="dxa"/>
            <w:vAlign w:val="bottom"/>
          </w:tcPr>
          <w:p>
            <w:pPr>
              <w:spacing w:after="0"/>
              <w:rPr>
                <w:sz w:val="14"/>
                <w:szCs w:val="14"/>
                <w:color w:val="auto"/>
              </w:rPr>
            </w:pPr>
          </w:p>
        </w:tc>
        <w:tc>
          <w:tcPr>
            <w:tcW w:w="780" w:type="dxa"/>
            <w:vAlign w:val="bottom"/>
            <w:gridSpan w:val="2"/>
          </w:tcPr>
          <w:p>
            <w:pPr>
              <w:jc w:val="right"/>
              <w:ind w:right="88"/>
              <w:spacing w:after="0"/>
              <w:rPr>
                <w:sz w:val="20"/>
                <w:szCs w:val="20"/>
                <w:color w:val="auto"/>
              </w:rPr>
            </w:pPr>
            <w:r>
              <w:rPr>
                <w:rFonts w:ascii="Arial" w:cs="Arial" w:eastAsia="Arial" w:hAnsi="Arial"/>
                <w:sz w:val="14"/>
                <w:szCs w:val="14"/>
                <w:color w:val="auto"/>
              </w:rPr>
              <w:t>2,874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68"/>
              <w:spacing w:after="0"/>
              <w:rPr>
                <w:sz w:val="20"/>
                <w:szCs w:val="20"/>
                <w:color w:val="auto"/>
              </w:rPr>
            </w:pPr>
            <w:r>
              <w:rPr>
                <w:rFonts w:ascii="Arial" w:cs="Arial" w:eastAsia="Arial" w:hAnsi="Arial"/>
                <w:sz w:val="14"/>
                <w:szCs w:val="14"/>
                <w:color w:val="auto"/>
              </w:rPr>
              <w:t>(1,121)</w:t>
            </w:r>
          </w:p>
        </w:tc>
        <w:tc>
          <w:tcPr>
            <w:tcW w:w="100" w:type="dxa"/>
            <w:vAlign w:val="bottom"/>
          </w:tcPr>
          <w:p>
            <w:pPr>
              <w:spacing w:after="0"/>
              <w:rPr>
                <w:sz w:val="14"/>
                <w:szCs w:val="14"/>
                <w:color w:val="auto"/>
              </w:rPr>
            </w:pPr>
          </w:p>
        </w:tc>
        <w:tc>
          <w:tcPr>
            <w:tcW w:w="580" w:type="dxa"/>
            <w:vAlign w:val="bottom"/>
            <w:gridSpan w:val="2"/>
          </w:tcPr>
          <w:p>
            <w:pPr>
              <w:jc w:val="right"/>
              <w:ind w:right="28"/>
              <w:spacing w:after="0"/>
              <w:rPr>
                <w:sz w:val="20"/>
                <w:szCs w:val="20"/>
                <w:color w:val="auto"/>
              </w:rPr>
            </w:pPr>
            <w:r>
              <w:rPr>
                <w:rFonts w:ascii="Arial" w:cs="Arial" w:eastAsia="Arial" w:hAnsi="Arial"/>
                <w:sz w:val="14"/>
                <w:szCs w:val="14"/>
                <w:color w:val="auto"/>
              </w:rPr>
              <w:t>1,753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(55,560)</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12,737</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9"/>
              </w:rPr>
              <w:t>(42,823)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Minimum pension liability adjustment</w:t>
            </w:r>
          </w:p>
        </w:tc>
        <w:tc>
          <w:tcPr>
            <w:tcW w:w="100" w:type="dxa"/>
            <w:vAlign w:val="bottom"/>
          </w:tcPr>
          <w:p>
            <w:pPr>
              <w:spacing w:after="0"/>
              <w:rPr>
                <w:sz w:val="14"/>
                <w:szCs w:val="14"/>
                <w:color w:val="auto"/>
              </w:rPr>
            </w:pP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(64)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(39)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80" w:type="dxa"/>
            <w:vAlign w:val="bottom"/>
          </w:tcPr>
          <w:p>
            <w:pPr>
              <w:spacing w:after="0"/>
              <w:rPr>
                <w:sz w:val="15"/>
                <w:szCs w:val="15"/>
                <w:color w:val="auto"/>
              </w:rPr>
            </w:pPr>
          </w:p>
        </w:tc>
        <w:tc>
          <w:tcPr>
            <w:tcW w:w="72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Net unrealized losses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(55,624)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12,762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9"/>
              </w:rPr>
              <w:t>(42,862)</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60" w:type="dxa"/>
            <w:vAlign w:val="bottom"/>
          </w:tcPr>
          <w:p>
            <w:pPr>
              <w:ind w:left="260"/>
              <w:spacing w:after="0"/>
              <w:rPr>
                <w:sz w:val="20"/>
                <w:szCs w:val="20"/>
                <w:color w:val="auto"/>
              </w:rPr>
            </w:pPr>
            <w:r>
              <w:rPr>
                <w:rFonts w:ascii="Arial" w:cs="Arial" w:eastAsia="Arial" w:hAnsi="Arial"/>
                <w:sz w:val="14"/>
                <w:szCs w:val="14"/>
                <w:color w:val="auto"/>
              </w:rPr>
              <w:t>Accumulated other comprehensive income (loss), net consisted of unrealized gains (losses) as follows:</w:t>
            </w:r>
          </w:p>
        </w:tc>
        <w:tc>
          <w:tcPr>
            <w:tcW w:w="10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restart"/>
          </w:tcPr>
          <w:p>
            <w:pPr>
              <w:jc w:val="center"/>
              <w:ind w:right="208"/>
              <w:spacing w:after="0"/>
              <w:rPr>
                <w:sz w:val="20"/>
                <w:szCs w:val="20"/>
                <w:color w:val="auto"/>
              </w:rPr>
            </w:pPr>
            <w:r>
              <w:rPr>
                <w:rFonts w:ascii="Arial" w:cs="Arial" w:eastAsia="Arial" w:hAnsi="Arial"/>
                <w:sz w:val="10"/>
                <w:szCs w:val="10"/>
                <w:b w:val="1"/>
                <w:bCs w:val="1"/>
                <w:color w:val="auto"/>
                <w:w w:val="94"/>
              </w:rPr>
              <w:t>Investment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428"/>
              <w:spacing w:after="0"/>
              <w:rPr>
                <w:sz w:val="20"/>
                <w:szCs w:val="20"/>
                <w:color w:val="auto"/>
              </w:rPr>
            </w:pPr>
            <w:r>
              <w:rPr>
                <w:rFonts w:ascii="Arial" w:cs="Arial" w:eastAsia="Arial" w:hAnsi="Arial"/>
                <w:sz w:val="10"/>
                <w:szCs w:val="10"/>
                <w:b w:val="1"/>
                <w:bCs w:val="1"/>
                <w:color w:val="auto"/>
                <w:w w:val="92"/>
              </w:rPr>
              <w:t>Defined</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448"/>
              <w:spacing w:after="0" w:line="108" w:lineRule="exact"/>
              <w:rPr>
                <w:sz w:val="20"/>
                <w:szCs w:val="20"/>
                <w:color w:val="auto"/>
              </w:rPr>
            </w:pPr>
            <w:r>
              <w:rPr>
                <w:rFonts w:ascii="Arial" w:cs="Arial" w:eastAsia="Arial" w:hAnsi="Arial"/>
                <w:sz w:val="10"/>
                <w:szCs w:val="10"/>
                <w:b w:val="1"/>
                <w:bCs w:val="1"/>
                <w:color w:val="auto"/>
                <w:w w:val="94"/>
              </w:rPr>
              <w:t>Benefit</w:t>
            </w:r>
          </w:p>
        </w:tc>
        <w:tc>
          <w:tcPr>
            <w:tcW w:w="100" w:type="dxa"/>
            <w:vAlign w:val="bottom"/>
          </w:tcPr>
          <w:p>
            <w:pPr>
              <w:spacing w:after="0"/>
              <w:rPr>
                <w:sz w:val="9"/>
                <w:szCs w:val="9"/>
                <w:color w:val="auto"/>
              </w:rPr>
            </w:pPr>
          </w:p>
        </w:tc>
        <w:tc>
          <w:tcPr>
            <w:tcW w:w="480" w:type="dxa"/>
            <w:vAlign w:val="bottom"/>
            <w:vMerge w:val="restart"/>
          </w:tcPr>
          <w:p>
            <w:pPr>
              <w:jc w:val="right"/>
              <w:ind w:right="110"/>
              <w:spacing w:after="0"/>
              <w:rPr>
                <w:sz w:val="20"/>
                <w:szCs w:val="20"/>
                <w:color w:val="auto"/>
              </w:rPr>
            </w:pPr>
            <w:r>
              <w:rPr>
                <w:rFonts w:ascii="Arial" w:cs="Arial" w:eastAsia="Arial" w:hAnsi="Arial"/>
                <w:sz w:val="10"/>
                <w:szCs w:val="10"/>
                <w:b w:val="1"/>
                <w:bCs w:val="1"/>
                <w:color w:val="auto"/>
              </w:rPr>
              <w:t>Total</w:t>
            </w:r>
          </w:p>
        </w:tc>
        <w:tc>
          <w:tcPr>
            <w:tcW w:w="90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1"/>
              <w:spacing w:after="0"/>
              <w:rPr>
                <w:sz w:val="20"/>
                <w:szCs w:val="20"/>
                <w:color w:val="auto"/>
              </w:rPr>
            </w:pPr>
            <w:r>
              <w:rPr>
                <w:rFonts w:ascii="Arial" w:cs="Arial" w:eastAsia="Arial" w:hAnsi="Arial"/>
                <w:sz w:val="10"/>
                <w:szCs w:val="10"/>
                <w:b w:val="1"/>
                <w:bCs w:val="1"/>
                <w:color w:val="auto"/>
                <w:w w:val="91"/>
              </w:rPr>
              <w:t>Securities</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center"/>
              <w:ind w:right="31"/>
              <w:spacing w:after="0"/>
              <w:rPr>
                <w:sz w:val="20"/>
                <w:szCs w:val="20"/>
                <w:color w:val="auto"/>
              </w:rPr>
            </w:pPr>
            <w:r>
              <w:rPr>
                <w:rFonts w:ascii="Arial" w:cs="Arial" w:eastAsia="Arial" w:hAnsi="Arial"/>
                <w:sz w:val="10"/>
                <w:szCs w:val="10"/>
                <w:b w:val="1"/>
                <w:bCs w:val="1"/>
                <w:color w:val="auto"/>
                <w:w w:val="97"/>
              </w:rPr>
              <w:t>Plans</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thousands)</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80" w:type="dxa"/>
            <w:vAlign w:val="bottom"/>
          </w:tcPr>
          <w:p>
            <w:pPr>
              <w:spacing w:after="0"/>
              <w:rPr>
                <w:sz w:val="15"/>
                <w:szCs w:val="15"/>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at January 1, 2004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38,111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w w:val="99"/>
              </w:rPr>
              <w:t>(12,458)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25,653</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Net gain (loss) during 2004</w:t>
            </w:r>
          </w:p>
        </w:tc>
        <w:tc>
          <w:tcPr>
            <w:tcW w:w="100" w:type="dxa"/>
            <w:vAlign w:val="bottom"/>
          </w:tcPr>
          <w:p>
            <w:pPr>
              <w:spacing w:after="0"/>
              <w:rPr>
                <w:sz w:val="14"/>
                <w:szCs w:val="14"/>
                <w:color w:val="auto"/>
              </w:rPr>
            </w:pP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(42,823)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6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w w:val="99"/>
              </w:rPr>
              <w:t>(42,862)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at December 31, 2004</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(4,712)</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w w:val="99"/>
              </w:rPr>
              <w:t>(12,497)</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9"/>
              </w:rPr>
              <w:t>(17,209)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Net gain (loss) during 2005</w:t>
            </w:r>
          </w:p>
        </w:tc>
        <w:tc>
          <w:tcPr>
            <w:tcW w:w="100" w:type="dxa"/>
            <w:vAlign w:val="bottom"/>
          </w:tcPr>
          <w:p>
            <w:pPr>
              <w:spacing w:after="0"/>
              <w:rPr>
                <w:sz w:val="14"/>
                <w:szCs w:val="14"/>
                <w:color w:val="auto"/>
              </w:rPr>
            </w:pPr>
          </w:p>
        </w:tc>
        <w:tc>
          <w:tcPr>
            <w:tcW w:w="780" w:type="dxa"/>
            <w:vAlign w:val="bottom"/>
            <w:gridSpan w:val="2"/>
          </w:tcPr>
          <w:p>
            <w:pPr>
              <w:jc w:val="right"/>
              <w:ind w:right="48"/>
              <w:spacing w:after="0"/>
              <w:rPr>
                <w:sz w:val="20"/>
                <w:szCs w:val="20"/>
                <w:color w:val="auto"/>
              </w:rPr>
            </w:pPr>
            <w:r>
              <w:rPr>
                <w:rFonts w:ascii="Arial" w:cs="Arial" w:eastAsia="Arial" w:hAnsi="Arial"/>
                <w:sz w:val="14"/>
                <w:szCs w:val="14"/>
                <w:color w:val="auto"/>
              </w:rPr>
              <w:t>(43,864)</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68"/>
              <w:spacing w:after="0"/>
              <w:rPr>
                <w:sz w:val="20"/>
                <w:szCs w:val="20"/>
                <w:color w:val="auto"/>
              </w:rPr>
            </w:pPr>
            <w:r>
              <w:rPr>
                <w:rFonts w:ascii="Arial" w:cs="Arial" w:eastAsia="Arial" w:hAnsi="Arial"/>
                <w:sz w:val="14"/>
                <w:szCs w:val="14"/>
                <w:color w:val="auto"/>
                <w:w w:val="99"/>
              </w:rPr>
              <w:t>(36,857)</w:t>
            </w:r>
          </w:p>
        </w:tc>
        <w:tc>
          <w:tcPr>
            <w:tcW w:w="10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color w:val="auto"/>
                <w:w w:val="99"/>
              </w:rPr>
              <w:t>(80,721)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at December 31, 2005</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(48,576)</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w w:val="99"/>
              </w:rPr>
              <w:t>(49,354)</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99"/>
              </w:rPr>
              <w:t>(97,930)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Net gain (loss) during 2006</w:t>
            </w:r>
          </w:p>
        </w:tc>
        <w:tc>
          <w:tcPr>
            <w:tcW w:w="100" w:type="dxa"/>
            <w:vAlign w:val="bottom"/>
          </w:tcPr>
          <w:p>
            <w:pPr>
              <w:spacing w:after="0"/>
              <w:rPr>
                <w:sz w:val="14"/>
                <w:szCs w:val="14"/>
                <w:color w:val="auto"/>
              </w:rPr>
            </w:pPr>
          </w:p>
        </w:tc>
        <w:tc>
          <w:tcPr>
            <w:tcW w:w="780" w:type="dxa"/>
            <w:vAlign w:val="bottom"/>
            <w:gridSpan w:val="2"/>
          </w:tcPr>
          <w:p>
            <w:pPr>
              <w:jc w:val="right"/>
              <w:ind w:right="88"/>
              <w:spacing w:after="0"/>
              <w:rPr>
                <w:sz w:val="20"/>
                <w:szCs w:val="20"/>
                <w:color w:val="auto"/>
              </w:rPr>
            </w:pPr>
            <w:r>
              <w:rPr>
                <w:rFonts w:ascii="Arial" w:cs="Arial" w:eastAsia="Arial" w:hAnsi="Arial"/>
                <w:sz w:val="14"/>
                <w:szCs w:val="14"/>
                <w:color w:val="auto"/>
              </w:rPr>
              <w:t>23,265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28"/>
              <w:spacing w:after="0"/>
              <w:rPr>
                <w:sz w:val="20"/>
                <w:szCs w:val="20"/>
                <w:color w:val="auto"/>
              </w:rPr>
            </w:pPr>
            <w:r>
              <w:rPr>
                <w:rFonts w:ascii="Arial" w:cs="Arial" w:eastAsia="Arial" w:hAnsi="Arial"/>
                <w:sz w:val="14"/>
                <w:szCs w:val="14"/>
                <w:color w:val="auto"/>
              </w:rPr>
              <w:t>30,932</w:t>
            </w:r>
          </w:p>
        </w:tc>
        <w:tc>
          <w:tcPr>
            <w:tcW w:w="100" w:type="dxa"/>
            <w:vAlign w:val="bottom"/>
          </w:tcPr>
          <w:p>
            <w:pPr>
              <w:spacing w:after="0"/>
              <w:rPr>
                <w:sz w:val="14"/>
                <w:szCs w:val="14"/>
                <w:color w:val="auto"/>
              </w:rPr>
            </w:pPr>
          </w:p>
        </w:tc>
        <w:tc>
          <w:tcPr>
            <w:tcW w:w="580" w:type="dxa"/>
            <w:vAlign w:val="bottom"/>
            <w:gridSpan w:val="2"/>
          </w:tcPr>
          <w:p>
            <w:pPr>
              <w:jc w:val="right"/>
              <w:ind w:right="28"/>
              <w:spacing w:after="0"/>
              <w:rPr>
                <w:sz w:val="20"/>
                <w:szCs w:val="20"/>
                <w:color w:val="auto"/>
              </w:rPr>
            </w:pPr>
            <w:r>
              <w:rPr>
                <w:rFonts w:ascii="Arial" w:cs="Arial" w:eastAsia="Arial" w:hAnsi="Arial"/>
                <w:sz w:val="14"/>
                <w:szCs w:val="14"/>
                <w:color w:val="auto"/>
              </w:rPr>
              <w:t>54,197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Change in accounting for defined benefit plans (note 11)</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8"/>
              <w:spacing w:after="0"/>
              <w:rPr>
                <w:sz w:val="20"/>
                <w:szCs w:val="20"/>
                <w:color w:val="auto"/>
              </w:rPr>
            </w:pPr>
            <w:r>
              <w:rPr>
                <w:rFonts w:ascii="Arial" w:cs="Arial" w:eastAsia="Arial" w:hAnsi="Arial"/>
                <w:sz w:val="14"/>
                <w:szCs w:val="14"/>
                <w:color w:val="auto"/>
              </w:rPr>
              <w:t>(9,841)</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(9,841)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80" w:type="dxa"/>
            <w:vAlign w:val="bottom"/>
          </w:tcPr>
          <w:p>
            <w:pPr>
              <w:spacing w:after="0"/>
              <w:rPr>
                <w:sz w:val="15"/>
                <w:szCs w:val="15"/>
                <w:color w:val="auto"/>
              </w:rPr>
            </w:pPr>
          </w:p>
        </w:tc>
        <w:tc>
          <w:tcPr>
            <w:tcW w:w="7200" w:type="dxa"/>
            <w:vAlign w:val="bottom"/>
            <w:gridSpan w:val="2"/>
          </w:tcPr>
          <w:p>
            <w:pPr>
              <w:spacing w:after="0"/>
              <w:rPr>
                <w:sz w:val="20"/>
                <w:szCs w:val="20"/>
                <w:color w:val="auto"/>
              </w:rPr>
            </w:pPr>
            <w:r>
              <w:rPr>
                <w:rFonts w:ascii="Arial" w:cs="Arial" w:eastAsia="Arial" w:hAnsi="Arial"/>
                <w:sz w:val="14"/>
                <w:szCs w:val="14"/>
                <w:color w:val="auto"/>
              </w:rPr>
              <w:t>Balance at December 31, 2006</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(25,311</w:t>
            </w:r>
          </w:p>
        </w:tc>
        <w:tc>
          <w:tcPr>
            <w:tcW w:w="180" w:type="dxa"/>
            <w:vAlign w:val="bottom"/>
          </w:tcPr>
          <w:p>
            <w:pPr>
              <w:jc w:val="right"/>
              <w:ind w:right="48"/>
              <w:spacing w:after="0"/>
              <w:rPr>
                <w:sz w:val="20"/>
                <w:szCs w:val="20"/>
                <w:color w:val="auto"/>
              </w:rPr>
            </w:pPr>
            <w:r>
              <w:rPr>
                <w:rFonts w:ascii="Arial" w:cs="Arial" w:eastAsia="Arial" w:hAnsi="Arial"/>
                <w:sz w:val="14"/>
                <w:szCs w:val="14"/>
                <w:color w:val="auto"/>
                <w:w w:val="84"/>
              </w:rPr>
              <w:t>)</w:t>
            </w:r>
          </w:p>
        </w:tc>
        <w:tc>
          <w:tcPr>
            <w:tcW w:w="2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(28,263</w:t>
            </w:r>
          </w:p>
        </w:tc>
        <w:tc>
          <w:tcPr>
            <w:tcW w:w="400" w:type="dxa"/>
            <w:vAlign w:val="bottom"/>
          </w:tcPr>
          <w:p>
            <w:pPr>
              <w:jc w:val="right"/>
              <w:ind w:right="268"/>
              <w:spacing w:after="0"/>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(53,574</w:t>
            </w:r>
          </w:p>
        </w:tc>
        <w:tc>
          <w:tcPr>
            <w:tcW w:w="100" w:type="dxa"/>
            <w:vAlign w:val="bottom"/>
          </w:tcPr>
          <w:p>
            <w:pPr>
              <w:jc w:val="right"/>
              <w:spacing w:after="0"/>
              <w:rPr>
                <w:sz w:val="20"/>
                <w:szCs w:val="20"/>
                <w:color w:val="auto"/>
              </w:rPr>
            </w:pPr>
            <w:r>
              <w:rPr>
                <w:rFonts w:ascii="Arial" w:cs="Arial" w:eastAsia="Arial" w:hAnsi="Arial"/>
                <w:sz w:val="14"/>
                <w:szCs w:val="14"/>
                <w:color w:val="auto"/>
                <w:w w:val="84"/>
              </w:rPr>
              <w:t>)</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9"/>
        </w:trPr>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3"/>
          </w:tcPr>
          <w:p>
            <w:pPr>
              <w:jc w:val="right"/>
              <w:ind w:right="800"/>
              <w:spacing w:after="0"/>
              <w:rPr>
                <w:sz w:val="20"/>
                <w:szCs w:val="20"/>
                <w:color w:val="auto"/>
              </w:rPr>
            </w:pPr>
            <w:r>
              <w:rPr>
                <w:rFonts w:ascii="Arial" w:cs="Arial" w:eastAsia="Arial" w:hAnsi="Arial"/>
                <w:sz w:val="12"/>
                <w:szCs w:val="12"/>
                <w:color w:val="auto"/>
              </w:rPr>
              <w:t>113</w:t>
            </w:r>
          </w:p>
        </w:tc>
        <w:tc>
          <w:tcPr>
            <w:tcW w:w="0" w:type="dxa"/>
            <w:vAlign w:val="bottom"/>
          </w:tcPr>
          <w:p>
            <w:pPr>
              <w:spacing w:after="0"/>
              <w:rPr>
                <w:sz w:val="1"/>
                <w:szCs w:val="1"/>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68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4" w:name="page115"/>
    <w:bookmarkEnd w:id="1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52" w:lineRule="exact"/>
        <w:rPr>
          <w:sz w:val="20"/>
          <w:szCs w:val="20"/>
          <w:color w:val="auto"/>
        </w:rPr>
      </w:pPr>
    </w:p>
    <w:p>
      <w:pPr>
        <w:ind w:left="1180" w:hanging="493"/>
        <w:spacing w:after="0"/>
        <w:tabs>
          <w:tab w:leader="none" w:pos="1180" w:val="left"/>
        </w:tabs>
        <w:numPr>
          <w:ilvl w:val="0"/>
          <w:numId w:val="34"/>
        </w:numPr>
        <w:rPr>
          <w:rFonts w:ascii="Arial" w:cs="Arial" w:eastAsia="Arial" w:hAnsi="Arial"/>
          <w:sz w:val="14"/>
          <w:szCs w:val="14"/>
          <w:b w:val="1"/>
          <w:bCs w:val="1"/>
          <w:color w:val="auto"/>
        </w:rPr>
      </w:pPr>
      <w:r>
        <w:rPr>
          <w:rFonts w:ascii="Arial" w:cs="Arial" w:eastAsia="Arial" w:hAnsi="Arial"/>
          <w:sz w:val="14"/>
          <w:szCs w:val="14"/>
          <w:b w:val="1"/>
          <w:bCs w:val="1"/>
          <w:color w:val="auto"/>
        </w:rPr>
        <w:t>Other income and other expense</w:t>
      </w:r>
    </w:p>
    <w:p>
      <w:pPr>
        <w:spacing w:after="0" w:line="167" w:lineRule="exact"/>
        <w:rPr>
          <w:sz w:val="20"/>
          <w:szCs w:val="20"/>
          <w:color w:val="auto"/>
        </w:rPr>
      </w:pPr>
    </w:p>
    <w:p>
      <w:pPr>
        <w:ind w:left="680" w:right="280"/>
        <w:spacing w:after="0" w:line="280" w:lineRule="auto"/>
        <w:rPr>
          <w:sz w:val="20"/>
          <w:szCs w:val="20"/>
          <w:color w:val="auto"/>
        </w:rPr>
      </w:pPr>
      <w:r>
        <w:rPr>
          <w:rFonts w:ascii="Arial" w:cs="Arial" w:eastAsia="Arial" w:hAnsi="Arial"/>
          <w:sz w:val="14"/>
          <w:szCs w:val="14"/>
          <w:color w:val="auto"/>
        </w:rPr>
        <w:t>The following items, which exceeded 1% of total interest income and other income in the respective period, were included in either “other revenues from operations” or “other costs of operations” in the consolidated statement of income:</w:t>
      </w:r>
    </w:p>
    <w:p>
      <w:pPr>
        <w:spacing w:after="0" w:line="53"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50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0"/>
                <w:szCs w:val="10"/>
                <w:b w:val="1"/>
                <w:bCs w:val="1"/>
                <w:color w:val="auto"/>
                <w:w w:val="94"/>
              </w:rPr>
              <w:t>Year Ended December 31</w:t>
            </w: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500" w:type="dxa"/>
            <w:vAlign w:val="bottom"/>
          </w:tcPr>
          <w:p>
            <w:pPr>
              <w:spacing w:after="0"/>
              <w:rPr>
                <w:sz w:val="8"/>
                <w:szCs w:val="8"/>
                <w:color w:val="auto"/>
              </w:rPr>
            </w:pPr>
          </w:p>
        </w:tc>
        <w:tc>
          <w:tcPr>
            <w:tcW w:w="500" w:type="dxa"/>
            <w:vAlign w:val="bottom"/>
          </w:tcPr>
          <w:p>
            <w:pPr>
              <w:jc w:val="right"/>
              <w:ind w:right="73"/>
              <w:spacing w:after="0" w:line="98" w:lineRule="exact"/>
              <w:rPr>
                <w:sz w:val="20"/>
                <w:szCs w:val="20"/>
                <w:color w:val="auto"/>
              </w:rPr>
            </w:pPr>
            <w:r>
              <w:rPr>
                <w:rFonts w:ascii="Arial" w:cs="Arial" w:eastAsia="Arial" w:hAnsi="Arial"/>
                <w:sz w:val="10"/>
                <w:szCs w:val="10"/>
                <w:b w:val="1"/>
                <w:bCs w:val="1"/>
                <w:color w:val="auto"/>
              </w:rPr>
              <w:t>2006</w:t>
            </w:r>
          </w:p>
        </w:tc>
        <w:tc>
          <w:tcPr>
            <w:tcW w:w="60" w:type="dxa"/>
            <w:vAlign w:val="bottom"/>
          </w:tcPr>
          <w:p>
            <w:pPr>
              <w:spacing w:after="0"/>
              <w:rPr>
                <w:sz w:val="8"/>
                <w:szCs w:val="8"/>
                <w:color w:val="auto"/>
              </w:rPr>
            </w:pPr>
          </w:p>
        </w:tc>
        <w:tc>
          <w:tcPr>
            <w:tcW w:w="940" w:type="dxa"/>
            <w:vAlign w:val="bottom"/>
            <w:gridSpan w:val="2"/>
          </w:tcPr>
          <w:p>
            <w:pPr>
              <w:jc w:val="center"/>
              <w:ind w:left="275"/>
              <w:spacing w:after="0" w:line="98" w:lineRule="exact"/>
              <w:rPr>
                <w:sz w:val="20"/>
                <w:szCs w:val="20"/>
                <w:color w:val="auto"/>
              </w:rPr>
            </w:pPr>
            <w:r>
              <w:rPr>
                <w:rFonts w:ascii="Arial" w:cs="Arial" w:eastAsia="Arial" w:hAnsi="Arial"/>
                <w:sz w:val="10"/>
                <w:szCs w:val="10"/>
                <w:b w:val="1"/>
                <w:bCs w:val="1"/>
                <w:color w:val="auto"/>
                <w:w w:val="89"/>
              </w:rPr>
              <w:t>2005</w:t>
            </w:r>
          </w:p>
        </w:tc>
        <w:tc>
          <w:tcPr>
            <w:tcW w:w="380" w:type="dxa"/>
            <w:vAlign w:val="bottom"/>
          </w:tcPr>
          <w:p>
            <w:pPr>
              <w:spacing w:after="0"/>
              <w:rPr>
                <w:sz w:val="8"/>
                <w:szCs w:val="8"/>
                <w:color w:val="auto"/>
              </w:rPr>
            </w:pPr>
          </w:p>
        </w:tc>
        <w:tc>
          <w:tcPr>
            <w:tcW w:w="500" w:type="dxa"/>
            <w:vAlign w:val="bottom"/>
          </w:tcPr>
          <w:p>
            <w:pPr>
              <w:jc w:val="right"/>
              <w:ind w:right="71"/>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r>
      <w:tr>
        <w:trPr>
          <w:trHeight w:val="131"/>
        </w:trPr>
        <w:tc>
          <w:tcPr>
            <w:tcW w:w="75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(In thousands)</w:t>
            </w:r>
          </w:p>
        </w:tc>
        <w:tc>
          <w:tcPr>
            <w:tcW w:w="38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73"/>
        </w:trPr>
        <w:tc>
          <w:tcPr>
            <w:tcW w:w="7500" w:type="dxa"/>
            <w:vAlign w:val="bottom"/>
            <w:shd w:val="clear" w:color="auto" w:fill="CCEEFF"/>
          </w:tcPr>
          <w:p>
            <w:pPr>
              <w:spacing w:after="0"/>
              <w:rPr>
                <w:sz w:val="20"/>
                <w:szCs w:val="20"/>
                <w:color w:val="auto"/>
              </w:rPr>
            </w:pPr>
            <w:r>
              <w:rPr>
                <w:rFonts w:ascii="Arial" w:cs="Arial" w:eastAsia="Arial" w:hAnsi="Arial"/>
                <w:sz w:val="14"/>
                <w:szCs w:val="14"/>
                <w:color w:val="auto"/>
              </w:rPr>
              <w:t>Other income:</w:t>
            </w: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7"/>
        </w:trPr>
        <w:tc>
          <w:tcPr>
            <w:tcW w:w="7500" w:type="dxa"/>
            <w:vAlign w:val="bottom"/>
          </w:tcPr>
          <w:p>
            <w:pPr>
              <w:ind w:left="140"/>
              <w:spacing w:after="0"/>
              <w:rPr>
                <w:sz w:val="20"/>
                <w:szCs w:val="20"/>
                <w:color w:val="auto"/>
              </w:rPr>
            </w:pPr>
            <w:r>
              <w:rPr>
                <w:rFonts w:ascii="Arial" w:cs="Arial" w:eastAsia="Arial" w:hAnsi="Arial"/>
                <w:sz w:val="14"/>
                <w:szCs w:val="14"/>
                <w:color w:val="auto"/>
              </w:rPr>
              <w:t>Bank owned life insurance</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w w:val="88"/>
              </w:rPr>
              <w:t>$ 52,690</w:t>
            </w:r>
          </w:p>
        </w:tc>
        <w:tc>
          <w:tcPr>
            <w:tcW w:w="1320" w:type="dxa"/>
            <w:vAlign w:val="bottom"/>
            <w:gridSpan w:val="3"/>
          </w:tcPr>
          <w:p>
            <w:pPr>
              <w:jc w:val="right"/>
              <w:ind w:right="380"/>
              <w:spacing w:after="0"/>
              <w:rPr>
                <w:sz w:val="20"/>
                <w:szCs w:val="20"/>
                <w:color w:val="auto"/>
              </w:rPr>
            </w:pPr>
            <w:r>
              <w:rPr>
                <w:rFonts w:ascii="Arial" w:cs="Arial" w:eastAsia="Arial" w:hAnsi="Arial"/>
                <w:sz w:val="14"/>
                <w:szCs w:val="14"/>
                <w:color w:val="auto"/>
              </w:rPr>
              <w:t>$  46,695</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w w:val="88"/>
              </w:rPr>
              <w:t>$ 48,010</w:t>
            </w:r>
          </w:p>
        </w:tc>
      </w:tr>
      <w:tr>
        <w:trPr>
          <w:trHeight w:val="167"/>
        </w:trPr>
        <w:tc>
          <w:tcPr>
            <w:tcW w:w="7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Letter of credit fees</w:t>
            </w: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38,600</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33,579</w:t>
            </w:r>
          </w:p>
        </w:tc>
      </w:tr>
      <w:tr>
        <w:trPr>
          <w:trHeight w:val="167"/>
        </w:trPr>
        <w:tc>
          <w:tcPr>
            <w:tcW w:w="7500" w:type="dxa"/>
            <w:vAlign w:val="bottom"/>
          </w:tcPr>
          <w:p>
            <w:pPr>
              <w:spacing w:after="0"/>
              <w:rPr>
                <w:sz w:val="20"/>
                <w:szCs w:val="20"/>
                <w:color w:val="auto"/>
              </w:rPr>
            </w:pPr>
            <w:r>
              <w:rPr>
                <w:rFonts w:ascii="Arial" w:cs="Arial" w:eastAsia="Arial" w:hAnsi="Arial"/>
                <w:sz w:val="14"/>
                <w:szCs w:val="14"/>
                <w:color w:val="auto"/>
              </w:rPr>
              <w:t>Other expense:</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7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Professional services</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85,421</w:t>
            </w:r>
          </w:p>
        </w:tc>
        <w:tc>
          <w:tcPr>
            <w:tcW w:w="1320" w:type="dxa"/>
            <w:vAlign w:val="bottom"/>
            <w:gridSpan w:val="3"/>
            <w:shd w:val="clear" w:color="auto" w:fill="CCEEFF"/>
          </w:tcPr>
          <w:p>
            <w:pPr>
              <w:jc w:val="right"/>
              <w:ind w:right="380"/>
              <w:spacing w:after="0"/>
              <w:rPr>
                <w:sz w:val="20"/>
                <w:szCs w:val="20"/>
                <w:color w:val="auto"/>
              </w:rPr>
            </w:pPr>
            <w:r>
              <w:rPr>
                <w:rFonts w:ascii="Arial" w:cs="Arial" w:eastAsia="Arial" w:hAnsi="Arial"/>
                <w:sz w:val="14"/>
                <w:szCs w:val="14"/>
                <w:color w:val="auto"/>
              </w:rPr>
              <w:t>101,096</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76,868</w:t>
            </w:r>
          </w:p>
        </w:tc>
      </w:tr>
      <w:tr>
        <w:trPr>
          <w:trHeight w:val="167"/>
        </w:trPr>
        <w:tc>
          <w:tcPr>
            <w:tcW w:w="7500" w:type="dxa"/>
            <w:vAlign w:val="bottom"/>
          </w:tcPr>
          <w:p>
            <w:pPr>
              <w:ind w:left="140"/>
              <w:spacing w:after="0"/>
              <w:rPr>
                <w:sz w:val="20"/>
                <w:szCs w:val="20"/>
                <w:color w:val="auto"/>
              </w:rPr>
            </w:pPr>
            <w:r>
              <w:rPr>
                <w:rFonts w:ascii="Arial" w:cs="Arial" w:eastAsia="Arial" w:hAnsi="Arial"/>
                <w:sz w:val="14"/>
                <w:szCs w:val="14"/>
                <w:color w:val="auto"/>
              </w:rPr>
              <w:t>Amortization of capitalized servicing rights</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61,007</w:t>
            </w:r>
          </w:p>
        </w:tc>
        <w:tc>
          <w:tcPr>
            <w:tcW w:w="1320" w:type="dxa"/>
            <w:vAlign w:val="bottom"/>
            <w:gridSpan w:val="3"/>
          </w:tcPr>
          <w:p>
            <w:pPr>
              <w:jc w:val="right"/>
              <w:ind w:right="380"/>
              <w:spacing w:after="0"/>
              <w:rPr>
                <w:sz w:val="20"/>
                <w:szCs w:val="20"/>
                <w:color w:val="auto"/>
              </w:rPr>
            </w:pPr>
            <w:r>
              <w:rPr>
                <w:rFonts w:ascii="Arial" w:cs="Arial" w:eastAsia="Arial" w:hAnsi="Arial"/>
                <w:sz w:val="14"/>
                <w:szCs w:val="14"/>
                <w:color w:val="auto"/>
              </w:rPr>
              <w:t>58,467</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57,885</w:t>
            </w:r>
          </w:p>
        </w:tc>
      </w:tr>
      <w:tr>
        <w:trPr>
          <w:trHeight w:val="167"/>
        </w:trPr>
        <w:tc>
          <w:tcPr>
            <w:tcW w:w="7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Advertising and promotion</w:t>
            </w: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32,742</w:t>
            </w:r>
          </w:p>
        </w:tc>
      </w:tr>
    </w:tbl>
    <w:p>
      <w:pPr>
        <w:spacing w:after="0" w:line="150" w:lineRule="exact"/>
        <w:rPr>
          <w:sz w:val="20"/>
          <w:szCs w:val="20"/>
          <w:color w:val="auto"/>
        </w:rPr>
      </w:pPr>
    </w:p>
    <w:p>
      <w:pPr>
        <w:ind w:left="1180" w:hanging="493"/>
        <w:spacing w:after="0"/>
        <w:tabs>
          <w:tab w:leader="none" w:pos="1180" w:val="left"/>
        </w:tabs>
        <w:numPr>
          <w:ilvl w:val="0"/>
          <w:numId w:val="35"/>
        </w:numPr>
        <w:rPr>
          <w:rFonts w:ascii="Arial" w:cs="Arial" w:eastAsia="Arial" w:hAnsi="Arial"/>
          <w:sz w:val="14"/>
          <w:szCs w:val="14"/>
          <w:b w:val="1"/>
          <w:bCs w:val="1"/>
          <w:color w:val="auto"/>
        </w:rPr>
      </w:pPr>
      <w:r>
        <w:rPr>
          <w:rFonts w:ascii="Arial" w:cs="Arial" w:eastAsia="Arial" w:hAnsi="Arial"/>
          <w:sz w:val="14"/>
          <w:szCs w:val="14"/>
          <w:b w:val="1"/>
          <w:bCs w:val="1"/>
          <w:color w:val="auto"/>
        </w:rPr>
        <w:t>International activities</w:t>
      </w:r>
    </w:p>
    <w:p>
      <w:pPr>
        <w:spacing w:after="0" w:line="22" w:lineRule="exact"/>
        <w:rPr>
          <w:sz w:val="20"/>
          <w:szCs w:val="20"/>
          <w:color w:val="auto"/>
        </w:rPr>
      </w:pPr>
    </w:p>
    <w:p>
      <w:pPr>
        <w:ind w:left="680" w:right="20"/>
        <w:spacing w:after="0" w:line="276" w:lineRule="auto"/>
        <w:rPr>
          <w:sz w:val="20"/>
          <w:szCs w:val="20"/>
          <w:color w:val="auto"/>
        </w:rPr>
      </w:pPr>
      <w:r>
        <w:rPr>
          <w:rFonts w:ascii="Arial" w:cs="Arial" w:eastAsia="Arial" w:hAnsi="Arial"/>
          <w:sz w:val="13"/>
          <w:szCs w:val="13"/>
          <w:color w:val="auto"/>
        </w:rPr>
        <w:t>The Company engages in certain international activities consisting largely of collecting Eurodollar deposits, engaging in foreign currency trading, providing credit to support the international activities of domestic companies and holding certain loans to foreign borrowers. Net assets identified with international activities amounted to $185,175,000 and $230,021,000 at December 31, 2006 and 2005, respectively. Such assets included $175,528,000 and $216,798,000, respectively, of loans to foreign borrowers. Deposits at M</w:t>
      </w:r>
      <w:r>
        <w:rPr>
          <w:rFonts w:ascii="Arial" w:cs="Arial" w:eastAsia="Arial" w:hAnsi="Arial"/>
          <w:sz w:val="12"/>
          <w:szCs w:val="12"/>
          <w:color w:val="auto"/>
        </w:rPr>
        <w:t>&amp;</w:t>
      </w:r>
      <w:r>
        <w:rPr>
          <w:rFonts w:ascii="Arial" w:cs="Arial" w:eastAsia="Arial" w:hAnsi="Arial"/>
          <w:sz w:val="13"/>
          <w:szCs w:val="13"/>
          <w:color w:val="auto"/>
        </w:rPr>
        <w:t>T Bank’s offshore branch office were $5,429,668,000 and $2,809,532,000 at December 31, 2006 and 2005, respectively. The Company uses such deposits to facilitate customer demand and as an alternative to short-term borrowings when the costs of such deposits seem reasonable.</w:t>
      </w:r>
    </w:p>
    <w:p>
      <w:pPr>
        <w:spacing w:after="0" w:line="127" w:lineRule="exact"/>
        <w:rPr>
          <w:sz w:val="20"/>
          <w:szCs w:val="20"/>
          <w:color w:val="auto"/>
        </w:rPr>
      </w:pPr>
    </w:p>
    <w:p>
      <w:pPr>
        <w:ind w:left="1180" w:hanging="493"/>
        <w:spacing w:after="0"/>
        <w:tabs>
          <w:tab w:leader="none" w:pos="1180" w:val="left"/>
        </w:tabs>
        <w:numPr>
          <w:ilvl w:val="0"/>
          <w:numId w:val="36"/>
        </w:numPr>
        <w:rPr>
          <w:rFonts w:ascii="Arial" w:cs="Arial" w:eastAsia="Arial" w:hAnsi="Arial"/>
          <w:sz w:val="14"/>
          <w:szCs w:val="14"/>
          <w:b w:val="1"/>
          <w:bCs w:val="1"/>
          <w:color w:val="auto"/>
        </w:rPr>
      </w:pPr>
      <w:r>
        <w:rPr>
          <w:rFonts w:ascii="Arial" w:cs="Arial" w:eastAsia="Arial" w:hAnsi="Arial"/>
          <w:sz w:val="14"/>
          <w:szCs w:val="14"/>
          <w:b w:val="1"/>
          <w:bCs w:val="1"/>
          <w:color w:val="auto"/>
        </w:rPr>
        <w:t>Derivative financial instruments</w:t>
      </w:r>
    </w:p>
    <w:p>
      <w:pPr>
        <w:spacing w:after="0" w:line="22" w:lineRule="exact"/>
        <w:rPr>
          <w:sz w:val="20"/>
          <w:szCs w:val="20"/>
          <w:color w:val="auto"/>
        </w:rPr>
      </w:pPr>
    </w:p>
    <w:p>
      <w:pPr>
        <w:ind w:left="680" w:right="100"/>
        <w:spacing w:after="0" w:line="249" w:lineRule="auto"/>
        <w:rPr>
          <w:sz w:val="20"/>
          <w:szCs w:val="20"/>
          <w:color w:val="auto"/>
        </w:rPr>
      </w:pPr>
      <w:r>
        <w:rPr>
          <w:rFonts w:ascii="Arial" w:cs="Arial" w:eastAsia="Arial" w:hAnsi="Arial"/>
          <w:sz w:val="14"/>
          <w:szCs w:val="14"/>
          <w:color w:val="auto"/>
        </w:rPr>
        <w:t>As part of managing interest rate risk, the Company has entered into several interest rate swap agreements. The agreements modify the repricing characteristics of certain portions of the Company’s portfolios of earning assets and interest-bearing liabilities. Interest rate swap agreements are generally entered into with counterparties that meet established credit standards and most contain collateral provisions protecting the at-risk party. The Company believes that the credit risk inherent in these contracts is not significant.</w:t>
      </w:r>
    </w:p>
    <w:p>
      <w:pPr>
        <w:jc w:val="both"/>
        <w:ind w:left="680" w:right="80" w:firstLine="599"/>
        <w:spacing w:after="0" w:line="256" w:lineRule="auto"/>
        <w:rPr>
          <w:sz w:val="20"/>
          <w:szCs w:val="20"/>
          <w:color w:val="auto"/>
        </w:rPr>
      </w:pPr>
      <w:r>
        <w:rPr>
          <w:rFonts w:ascii="Arial" w:cs="Arial" w:eastAsia="Arial" w:hAnsi="Arial"/>
          <w:sz w:val="14"/>
          <w:szCs w:val="14"/>
          <w:color w:val="auto"/>
        </w:rPr>
        <w:t>The Company designates interest rate swap agreements utilized in the management of interest rate risk as either fair value hedges or cash flow hedges as defined in SFAS No. 133. Fair value hedges are intended to protect against exposure to changes in the fair value of designated assets or liabilities. Cash flow hedges are intended to protect against the variability of cash flows associated with designated assets or liabilities.</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5" w:name="page116"/>
    <w:bookmarkEnd w:id="1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56" w:lineRule="exact"/>
        <w:rPr>
          <w:sz w:val="20"/>
          <w:szCs w:val="20"/>
          <w:color w:val="auto"/>
        </w:rPr>
      </w:pPr>
    </w:p>
    <w:p>
      <w:pPr>
        <w:ind w:left="680" w:right="280" w:firstLine="599"/>
        <w:spacing w:after="0" w:line="280" w:lineRule="auto"/>
        <w:rPr>
          <w:sz w:val="20"/>
          <w:szCs w:val="20"/>
          <w:color w:val="auto"/>
        </w:rPr>
      </w:pPr>
      <w:r>
        <w:rPr>
          <w:rFonts w:ascii="Arial" w:cs="Arial" w:eastAsia="Arial" w:hAnsi="Arial"/>
          <w:sz w:val="14"/>
          <w:szCs w:val="14"/>
          <w:color w:val="auto"/>
        </w:rPr>
        <w:t>Information about interest rate swap agreements entered into for interest rate risk management purposes summarized by type of financial instrument the swap agreements were intended to hedge follows:</w:t>
      </w:r>
    </w:p>
    <w:p>
      <w:pPr>
        <w:spacing w:after="0" w:line="46"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gridSpan w:val="3"/>
          </w:tcPr>
          <w:p>
            <w:pPr>
              <w:jc w:val="right"/>
              <w:ind w:right="780"/>
              <w:spacing w:after="0"/>
              <w:rPr>
                <w:sz w:val="20"/>
                <w:szCs w:val="20"/>
                <w:color w:val="auto"/>
              </w:rPr>
            </w:pPr>
            <w:r>
              <w:rPr>
                <w:rFonts w:ascii="Arial" w:cs="Arial" w:eastAsia="Arial" w:hAnsi="Arial"/>
                <w:sz w:val="10"/>
                <w:szCs w:val="10"/>
                <w:b w:val="1"/>
                <w:bCs w:val="1"/>
                <w:color w:val="auto"/>
                <w:w w:val="90"/>
              </w:rPr>
              <w:t>Weighted-</w:t>
            </w:r>
          </w:p>
        </w:tc>
        <w:tc>
          <w:tcPr>
            <w:tcW w:w="8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8"/>
              </w:rPr>
              <w:t>Estimated Fair</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tcPr>
          <w:p>
            <w:pPr>
              <w:jc w:val="center"/>
              <w:ind w:right="500"/>
              <w:spacing w:after="0"/>
              <w:rPr>
                <w:sz w:val="20"/>
                <w:szCs w:val="20"/>
                <w:color w:val="auto"/>
              </w:rPr>
            </w:pPr>
            <w:r>
              <w:rPr>
                <w:rFonts w:ascii="Arial" w:cs="Arial" w:eastAsia="Arial" w:hAnsi="Arial"/>
                <w:sz w:val="10"/>
                <w:szCs w:val="10"/>
                <w:b w:val="1"/>
                <w:bCs w:val="1"/>
                <w:color w:val="auto"/>
                <w:w w:val="94"/>
              </w:rPr>
              <w:t>Notional</w:t>
            </w:r>
          </w:p>
        </w:tc>
        <w:tc>
          <w:tcPr>
            <w:tcW w:w="9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6"/>
              </w:rPr>
              <w:t>Average</w:t>
            </w:r>
          </w:p>
        </w:tc>
        <w:tc>
          <w:tcPr>
            <w:tcW w:w="1600" w:type="dxa"/>
            <w:vAlign w:val="bottom"/>
            <w:gridSpan w:val="4"/>
          </w:tcPr>
          <w:p>
            <w:pPr>
              <w:jc w:val="right"/>
              <w:ind w:right="720"/>
              <w:spacing w:after="0"/>
              <w:rPr>
                <w:sz w:val="20"/>
                <w:szCs w:val="20"/>
                <w:color w:val="auto"/>
              </w:rPr>
            </w:pPr>
            <w:r>
              <w:rPr>
                <w:rFonts w:ascii="Arial" w:cs="Arial" w:eastAsia="Arial" w:hAnsi="Arial"/>
                <w:sz w:val="10"/>
                <w:szCs w:val="10"/>
                <w:b w:val="1"/>
                <w:bCs w:val="1"/>
                <w:color w:val="auto"/>
              </w:rPr>
              <w:t>Average Rate</w:t>
            </w:r>
          </w:p>
        </w:tc>
        <w:tc>
          <w:tcPr>
            <w:tcW w:w="80" w:type="dxa"/>
            <w:vAlign w:val="bottom"/>
          </w:tcPr>
          <w:p>
            <w:pPr>
              <w:spacing w:after="0"/>
              <w:rPr>
                <w:sz w:val="10"/>
                <w:szCs w:val="10"/>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9"/>
              </w:rPr>
              <w:t>Value — Gain</w:t>
            </w: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3"/>
          </w:tcPr>
          <w:p>
            <w:pPr>
              <w:jc w:val="center"/>
              <w:ind w:right="480"/>
              <w:spacing w:after="0" w:line="98" w:lineRule="exact"/>
              <w:rPr>
                <w:sz w:val="20"/>
                <w:szCs w:val="20"/>
                <w:color w:val="auto"/>
              </w:rPr>
            </w:pPr>
            <w:r>
              <w:rPr>
                <w:rFonts w:ascii="Arial" w:cs="Arial" w:eastAsia="Arial" w:hAnsi="Arial"/>
                <w:sz w:val="10"/>
                <w:szCs w:val="10"/>
                <w:b w:val="1"/>
                <w:bCs w:val="1"/>
                <w:color w:val="auto"/>
                <w:w w:val="95"/>
              </w:rPr>
              <w:t>Amount</w:t>
            </w:r>
          </w:p>
        </w:tc>
        <w:tc>
          <w:tcPr>
            <w:tcW w:w="980" w:type="dxa"/>
            <w:vAlign w:val="bottom"/>
            <w:gridSpan w:val="2"/>
          </w:tcPr>
          <w:p>
            <w:pPr>
              <w:jc w:val="center"/>
              <w:ind w:right="400"/>
              <w:spacing w:after="0" w:line="98" w:lineRule="exact"/>
              <w:rPr>
                <w:sz w:val="20"/>
                <w:szCs w:val="20"/>
                <w:color w:val="auto"/>
              </w:rPr>
            </w:pPr>
            <w:r>
              <w:rPr>
                <w:rFonts w:ascii="Arial" w:cs="Arial" w:eastAsia="Arial" w:hAnsi="Arial"/>
                <w:sz w:val="10"/>
                <w:szCs w:val="10"/>
                <w:b w:val="1"/>
                <w:bCs w:val="1"/>
                <w:color w:val="auto"/>
              </w:rPr>
              <w:t>Maturity</w:t>
            </w:r>
          </w:p>
        </w:tc>
        <w:tc>
          <w:tcPr>
            <w:tcW w:w="780" w:type="dxa"/>
            <w:vAlign w:val="bottom"/>
            <w:tcBorders>
              <w:top w:val="single" w:sz="8" w:color="auto"/>
            </w:tcBorders>
            <w:gridSpan w:val="2"/>
          </w:tcPr>
          <w:p>
            <w:pPr>
              <w:jc w:val="right"/>
              <w:ind w:right="428"/>
              <w:spacing w:after="0" w:line="98" w:lineRule="exact"/>
              <w:rPr>
                <w:sz w:val="20"/>
                <w:szCs w:val="20"/>
                <w:color w:val="auto"/>
              </w:rPr>
            </w:pPr>
            <w:r>
              <w:rPr>
                <w:rFonts w:ascii="Arial" w:cs="Arial" w:eastAsia="Arial" w:hAnsi="Arial"/>
                <w:sz w:val="10"/>
                <w:szCs w:val="10"/>
                <w:b w:val="1"/>
                <w:bCs w:val="1"/>
                <w:color w:val="auto"/>
              </w:rPr>
              <w:t>Fixed</w:t>
            </w:r>
          </w:p>
        </w:tc>
        <w:tc>
          <w:tcPr>
            <w:tcW w:w="3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2"/>
              </w:rPr>
              <w:t>Variable</w:t>
            </w: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2"/>
          </w:tcPr>
          <w:p>
            <w:pPr>
              <w:jc w:val="center"/>
              <w:ind w:right="180"/>
              <w:spacing w:after="0" w:line="98" w:lineRule="exact"/>
              <w:rPr>
                <w:sz w:val="20"/>
                <w:szCs w:val="20"/>
                <w:color w:val="auto"/>
              </w:rPr>
            </w:pPr>
            <w:r>
              <w:rPr>
                <w:rFonts w:ascii="Arial" w:cs="Arial" w:eastAsia="Arial" w:hAnsi="Arial"/>
                <w:sz w:val="10"/>
                <w:szCs w:val="10"/>
                <w:b w:val="1"/>
                <w:bCs w:val="1"/>
                <w:color w:val="auto"/>
                <w:w w:val="93"/>
              </w:rPr>
              <w:t>(Loss)</w:t>
            </w: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15"/>
              <w:spacing w:after="0"/>
              <w:rPr>
                <w:sz w:val="20"/>
                <w:szCs w:val="20"/>
                <w:color w:val="auto"/>
              </w:rPr>
            </w:pPr>
            <w:r>
              <w:rPr>
                <w:rFonts w:ascii="Arial" w:cs="Arial" w:eastAsia="Arial" w:hAnsi="Arial"/>
                <w:sz w:val="10"/>
                <w:szCs w:val="10"/>
                <w:b w:val="1"/>
                <w:bCs w:val="1"/>
                <w:color w:val="auto"/>
                <w:w w:val="92"/>
              </w:rPr>
              <w:t>(In thousands)</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(In years)</w:t>
            </w:r>
          </w:p>
        </w:tc>
        <w:tc>
          <w:tcPr>
            <w:tcW w:w="4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ind w:right="16"/>
              <w:spacing w:after="0"/>
              <w:rPr>
                <w:sz w:val="20"/>
                <w:szCs w:val="20"/>
                <w:color w:val="auto"/>
              </w:rPr>
            </w:pPr>
            <w:r>
              <w:rPr>
                <w:rFonts w:ascii="Arial" w:cs="Arial" w:eastAsia="Arial" w:hAnsi="Arial"/>
                <w:sz w:val="10"/>
                <w:szCs w:val="10"/>
                <w:b w:val="1"/>
                <w:bCs w:val="1"/>
                <w:color w:val="auto"/>
                <w:w w:val="92"/>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December 31, 2006</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120" w:type="dxa"/>
            <w:vAlign w:val="bottom"/>
            <w:gridSpan w:val="2"/>
          </w:tcPr>
          <w:p>
            <w:pPr>
              <w:spacing w:after="0"/>
              <w:rPr>
                <w:sz w:val="20"/>
                <w:szCs w:val="20"/>
                <w:color w:val="auto"/>
              </w:rPr>
            </w:pPr>
            <w:r>
              <w:rPr>
                <w:rFonts w:ascii="Arial" w:cs="Arial" w:eastAsia="Arial" w:hAnsi="Arial"/>
                <w:sz w:val="14"/>
                <w:szCs w:val="14"/>
                <w:color w:val="auto"/>
              </w:rPr>
              <w:t>Fair value hedges: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Fixed rate time deposits(a)</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390,000</w:t>
            </w:r>
          </w:p>
        </w:tc>
        <w:tc>
          <w:tcPr>
            <w:tcW w:w="3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2.9</w:t>
            </w:r>
          </w:p>
        </w:tc>
        <w:tc>
          <w:tcPr>
            <w:tcW w:w="78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4.58%</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5.24%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(2,380)</w:t>
            </w:r>
          </w:p>
        </w:tc>
        <w:tc>
          <w:tcPr>
            <w:tcW w:w="0" w:type="dxa"/>
            <w:vAlign w:val="bottom"/>
          </w:tcPr>
          <w:p>
            <w:pPr>
              <w:spacing w:after="0"/>
              <w:rPr>
                <w:sz w:val="1"/>
                <w:szCs w:val="1"/>
                <w:color w:val="auto"/>
              </w:rPr>
            </w:pPr>
          </w:p>
        </w:tc>
      </w:tr>
      <w:tr>
        <w:trPr>
          <w:trHeight w:val="167"/>
        </w:trPr>
        <w:tc>
          <w:tcPr>
            <w:tcW w:w="5120" w:type="dxa"/>
            <w:vAlign w:val="bottom"/>
            <w:gridSpan w:val="2"/>
          </w:tcPr>
          <w:p>
            <w:pPr>
              <w:spacing w:after="0"/>
              <w:rPr>
                <w:sz w:val="20"/>
                <w:szCs w:val="20"/>
                <w:color w:val="auto"/>
              </w:rPr>
            </w:pPr>
            <w:r>
              <w:rPr>
                <w:rFonts w:ascii="Arial" w:cs="Arial" w:eastAsia="Arial" w:hAnsi="Arial"/>
                <w:sz w:val="14"/>
                <w:szCs w:val="14"/>
                <w:color w:val="auto"/>
              </w:rPr>
              <w:t>Fixed rate long-term borrowings(a)</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637,241</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8.6</w:t>
            </w:r>
          </w:p>
        </w:tc>
        <w:tc>
          <w:tcPr>
            <w:tcW w:w="780" w:type="dxa"/>
            <w:vAlign w:val="bottom"/>
            <w:gridSpan w:val="2"/>
          </w:tcPr>
          <w:p>
            <w:pPr>
              <w:jc w:val="right"/>
              <w:ind w:right="248"/>
              <w:spacing w:after="0"/>
              <w:rPr>
                <w:sz w:val="20"/>
                <w:szCs w:val="20"/>
                <w:color w:val="auto"/>
              </w:rPr>
            </w:pPr>
            <w:r>
              <w:rPr>
                <w:rFonts w:ascii="Arial" w:cs="Arial" w:eastAsia="Arial" w:hAnsi="Arial"/>
                <w:sz w:val="14"/>
                <w:szCs w:val="14"/>
                <w:color w:val="auto"/>
              </w:rPr>
              <w:t>6.14%</w:t>
            </w: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rPr>
              <w:t>6.71%</w:t>
            </w:r>
          </w:p>
        </w:tc>
        <w:tc>
          <w:tcPr>
            <w:tcW w:w="80" w:type="dxa"/>
            <w:vAlign w:val="bottom"/>
          </w:tcPr>
          <w:p>
            <w:pPr>
              <w:spacing w:after="0"/>
              <w:rPr>
                <w:sz w:val="14"/>
                <w:szCs w:val="1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(12,625)</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300" w:type="dxa"/>
            <w:vAlign w:val="bottom"/>
            <w:shd w:val="clear" w:color="auto" w:fill="CCEEFF"/>
          </w:tcPr>
          <w:p>
            <w:pPr>
              <w:spacing w:after="0"/>
              <w:rPr>
                <w:sz w:val="15"/>
                <w:szCs w:val="15"/>
                <w:color w:val="auto"/>
              </w:rPr>
            </w:pPr>
          </w:p>
        </w:tc>
        <w:tc>
          <w:tcPr>
            <w:tcW w:w="38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1,027,241</w:t>
            </w: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6.4</w:t>
            </w:r>
          </w:p>
        </w:tc>
        <w:tc>
          <w:tcPr>
            <w:tcW w:w="78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5.55%</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6.15%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(15,005)</w:t>
            </w:r>
          </w:p>
        </w:tc>
        <w:tc>
          <w:tcPr>
            <w:tcW w:w="0" w:type="dxa"/>
            <w:vAlign w:val="bottom"/>
          </w:tcPr>
          <w:p>
            <w:pPr>
              <w:spacing w:after="0"/>
              <w:rPr>
                <w:sz w:val="1"/>
                <w:szCs w:val="1"/>
                <w:color w:val="auto"/>
              </w:rPr>
            </w:pPr>
          </w:p>
        </w:tc>
      </w:tr>
      <w:tr>
        <w:trPr>
          <w:trHeight w:val="177"/>
        </w:trPr>
        <w:tc>
          <w:tcPr>
            <w:tcW w:w="5120" w:type="dxa"/>
            <w:vAlign w:val="bottom"/>
            <w:gridSpan w:val="2"/>
          </w:tcPr>
          <w:p>
            <w:pPr>
              <w:spacing w:after="0"/>
              <w:rPr>
                <w:sz w:val="20"/>
                <w:szCs w:val="20"/>
                <w:color w:val="auto"/>
              </w:rPr>
            </w:pPr>
            <w:r>
              <w:rPr>
                <w:rFonts w:ascii="Arial" w:cs="Arial" w:eastAsia="Arial" w:hAnsi="Arial"/>
                <w:sz w:val="14"/>
                <w:szCs w:val="14"/>
                <w:color w:val="auto"/>
              </w:rPr>
              <w:t>December 31, 2005</w:t>
            </w: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Fair value hedges:</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120" w:type="dxa"/>
            <w:vAlign w:val="bottom"/>
            <w:gridSpan w:val="2"/>
          </w:tcPr>
          <w:p>
            <w:pPr>
              <w:spacing w:after="0"/>
              <w:rPr>
                <w:sz w:val="20"/>
                <w:szCs w:val="20"/>
                <w:color w:val="auto"/>
              </w:rPr>
            </w:pPr>
            <w:r>
              <w:rPr>
                <w:rFonts w:ascii="Arial" w:cs="Arial" w:eastAsia="Arial" w:hAnsi="Arial"/>
                <w:sz w:val="14"/>
                <w:szCs w:val="14"/>
                <w:color w:val="auto"/>
              </w:rPr>
              <w:t>Fixed rate time deposits(a)</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515,000</w:t>
            </w:r>
          </w:p>
        </w:tc>
        <w:tc>
          <w:tcPr>
            <w:tcW w:w="38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rPr>
              <w:t>2.9</w:t>
            </w:r>
          </w:p>
        </w:tc>
        <w:tc>
          <w:tcPr>
            <w:tcW w:w="780" w:type="dxa"/>
            <w:vAlign w:val="bottom"/>
            <w:gridSpan w:val="2"/>
          </w:tcPr>
          <w:p>
            <w:pPr>
              <w:jc w:val="right"/>
              <w:ind w:right="248"/>
              <w:spacing w:after="0"/>
              <w:rPr>
                <w:sz w:val="20"/>
                <w:szCs w:val="20"/>
                <w:color w:val="auto"/>
              </w:rPr>
            </w:pPr>
            <w:r>
              <w:rPr>
                <w:rFonts w:ascii="Arial" w:cs="Arial" w:eastAsia="Arial" w:hAnsi="Arial"/>
                <w:sz w:val="14"/>
                <w:szCs w:val="14"/>
                <w:color w:val="auto"/>
              </w:rPr>
              <w:t>4.15%</w:t>
            </w: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rPr>
              <w:t>4.14%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(3,851)</w:t>
            </w:r>
          </w:p>
        </w:tc>
        <w:tc>
          <w:tcPr>
            <w:tcW w:w="0" w:type="dxa"/>
            <w:vAlign w:val="bottom"/>
          </w:tcPr>
          <w:p>
            <w:pPr>
              <w:spacing w:after="0"/>
              <w:rPr>
                <w:sz w:val="1"/>
                <w:szCs w:val="1"/>
                <w:color w:val="auto"/>
              </w:rPr>
            </w:pPr>
          </w:p>
        </w:tc>
      </w:tr>
      <w:tr>
        <w:trPr>
          <w:trHeight w:val="167"/>
        </w:trPr>
        <w:tc>
          <w:tcPr>
            <w:tcW w:w="5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Fixed rate long-term borrowings(a)</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137,241</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4.8</w:t>
            </w:r>
          </w:p>
        </w:tc>
        <w:tc>
          <w:tcPr>
            <w:tcW w:w="78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8.00%</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7.97%</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(4,997)</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30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652,241</w:t>
            </w:r>
          </w:p>
        </w:tc>
        <w:tc>
          <w:tcPr>
            <w:tcW w:w="2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w:t>
            </w:r>
          </w:p>
        </w:tc>
        <w:tc>
          <w:tcPr>
            <w:tcW w:w="400" w:type="dxa"/>
            <w:vAlign w:val="bottom"/>
            <w:vMerge w:val="continue"/>
          </w:tcPr>
          <w:p>
            <w:pPr>
              <w:spacing w:after="0"/>
              <w:rPr>
                <w:sz w:val="15"/>
                <w:szCs w:val="15"/>
                <w:color w:val="auto"/>
              </w:rPr>
            </w:pPr>
          </w:p>
        </w:tc>
        <w:tc>
          <w:tcPr>
            <w:tcW w:w="780" w:type="dxa"/>
            <w:vAlign w:val="bottom"/>
            <w:gridSpan w:val="2"/>
          </w:tcPr>
          <w:p>
            <w:pPr>
              <w:jc w:val="right"/>
              <w:ind w:right="248"/>
              <w:spacing w:after="0"/>
              <w:rPr>
                <w:sz w:val="20"/>
                <w:szCs w:val="20"/>
                <w:color w:val="auto"/>
              </w:rPr>
            </w:pPr>
            <w:r>
              <w:rPr>
                <w:rFonts w:ascii="Arial" w:cs="Arial" w:eastAsia="Arial" w:hAnsi="Arial"/>
                <w:sz w:val="14"/>
                <w:szCs w:val="14"/>
                <w:color w:val="auto"/>
              </w:rPr>
              <w:t>4.96%</w:t>
            </w:r>
          </w:p>
        </w:tc>
        <w:tc>
          <w:tcPr>
            <w:tcW w:w="820" w:type="dxa"/>
            <w:vAlign w:val="bottom"/>
            <w:gridSpan w:val="2"/>
          </w:tcPr>
          <w:p>
            <w:pPr>
              <w:jc w:val="right"/>
              <w:ind w:right="320"/>
              <w:spacing w:after="0"/>
              <w:rPr>
                <w:sz w:val="20"/>
                <w:szCs w:val="20"/>
                <w:color w:val="auto"/>
              </w:rPr>
            </w:pPr>
            <w:r>
              <w:rPr>
                <w:rFonts w:ascii="Arial" w:cs="Arial" w:eastAsia="Arial" w:hAnsi="Arial"/>
                <w:sz w:val="14"/>
                <w:szCs w:val="14"/>
                <w:color w:val="auto"/>
              </w:rPr>
              <w:t>4.95%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(8,848)</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38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940"/>
        <w:spacing w:after="0"/>
        <w:rPr>
          <w:sz w:val="20"/>
          <w:szCs w:val="20"/>
          <w:color w:val="auto"/>
        </w:rPr>
      </w:pPr>
      <w:r>
        <w:rPr>
          <w:rFonts w:ascii="Arial" w:cs="Arial" w:eastAsia="Arial" w:hAnsi="Arial"/>
          <w:sz w:val="13"/>
          <w:szCs w:val="13"/>
          <w:i w:val="1"/>
          <w:iCs w:val="1"/>
          <w:color w:val="auto"/>
        </w:rPr>
        <w:t>(a)  Under the terms of these agreements, the Company receives settlement amounts at a fixed rate and pays at a variable rate.</w:t>
      </w:r>
    </w:p>
    <w:p>
      <w:pPr>
        <w:spacing w:after="0" w:line="92" w:lineRule="exact"/>
        <w:rPr>
          <w:sz w:val="20"/>
          <w:szCs w:val="20"/>
          <w:color w:val="auto"/>
        </w:rPr>
      </w:pPr>
    </w:p>
    <w:p>
      <w:pPr>
        <w:ind w:left="680" w:right="20" w:firstLine="599"/>
        <w:spacing w:after="0" w:line="273" w:lineRule="auto"/>
        <w:rPr>
          <w:sz w:val="20"/>
          <w:szCs w:val="20"/>
          <w:color w:val="auto"/>
        </w:rPr>
      </w:pPr>
      <w:r>
        <w:rPr>
          <w:rFonts w:ascii="Arial" w:cs="Arial" w:eastAsia="Arial" w:hAnsi="Arial"/>
          <w:sz w:val="13"/>
          <w:szCs w:val="13"/>
          <w:color w:val="auto"/>
        </w:rPr>
        <w:t>The estimated fair value of interest rate swap agreements represents the amount the Company would have expected to receive (pay) to terminate such contracts. The estimated fair value of such swap agreements at December 31, 2006 and 2005 included gross unrealized gains of $115,000 and $81,000, respectively, and gross unrealized losses of $15,120,000 and $8,929,000, respectively. At December 31, 2006 and 2005, the estimated fair values of interest rate swap agreements designated as fair value hedges were substantially offset by unrealized gains and losses resulting from changes in the fair values of the hedged items.</w:t>
      </w:r>
    </w:p>
    <w:p>
      <w:pPr>
        <w:ind w:left="1280"/>
        <w:spacing w:after="0"/>
        <w:rPr>
          <w:sz w:val="20"/>
          <w:szCs w:val="20"/>
          <w:color w:val="auto"/>
        </w:rPr>
      </w:pPr>
      <w:r>
        <w:rPr>
          <w:rFonts w:ascii="Arial" w:cs="Arial" w:eastAsia="Arial" w:hAnsi="Arial"/>
          <w:sz w:val="13"/>
          <w:szCs w:val="13"/>
          <w:color w:val="auto"/>
        </w:rPr>
        <w:t>The notional amount of interest rate swap agreements entered into for risk management purposes that were outstanding at December 31, 2006 mature as follows:</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9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ind w:left="40"/>
              <w:spacing w:after="0"/>
              <w:rPr>
                <w:sz w:val="20"/>
                <w:szCs w:val="20"/>
                <w:color w:val="auto"/>
              </w:rPr>
            </w:pPr>
            <w:r>
              <w:rPr>
                <w:rFonts w:ascii="Arial" w:cs="Arial" w:eastAsia="Arial" w:hAnsi="Arial"/>
                <w:sz w:val="10"/>
                <w:szCs w:val="10"/>
                <w:b w:val="1"/>
                <w:bCs w:val="1"/>
                <w:color w:val="auto"/>
              </w:rPr>
              <w:t>(In thousands)</w:t>
            </w:r>
          </w:p>
        </w:tc>
      </w:tr>
      <w:tr>
        <w:trPr>
          <w:trHeight w:val="29"/>
        </w:trPr>
        <w:tc>
          <w:tcPr>
            <w:tcW w:w="9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7"/>
        </w:trPr>
        <w:tc>
          <w:tcPr>
            <w:tcW w:w="9000" w:type="dxa"/>
            <w:vAlign w:val="bottom"/>
            <w:shd w:val="clear" w:color="auto" w:fill="CCEEFF"/>
          </w:tcPr>
          <w:p>
            <w:pPr>
              <w:spacing w:after="0"/>
              <w:rPr>
                <w:sz w:val="20"/>
                <w:szCs w:val="20"/>
                <w:color w:val="auto"/>
              </w:rPr>
            </w:pPr>
            <w:r>
              <w:rPr>
                <w:rFonts w:ascii="Arial" w:cs="Arial" w:eastAsia="Arial" w:hAnsi="Arial"/>
                <w:sz w:val="14"/>
                <w:szCs w:val="14"/>
                <w:color w:val="auto"/>
              </w:rPr>
              <w:t>Year ending December 31:</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7"/>
        </w:trPr>
        <w:tc>
          <w:tcPr>
            <w:tcW w:w="9000" w:type="dxa"/>
            <w:vAlign w:val="bottom"/>
          </w:tcPr>
          <w:p>
            <w:pPr>
              <w:ind w:left="140"/>
              <w:spacing w:after="0"/>
              <w:rPr>
                <w:sz w:val="20"/>
                <w:szCs w:val="20"/>
                <w:color w:val="auto"/>
              </w:rPr>
            </w:pPr>
            <w:r>
              <w:rPr>
                <w:rFonts w:ascii="Arial" w:cs="Arial" w:eastAsia="Arial" w:hAnsi="Arial"/>
                <w:sz w:val="14"/>
                <w:szCs w:val="14"/>
                <w:color w:val="auto"/>
              </w:rPr>
              <w:t>2007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150,000</w:t>
            </w:r>
          </w:p>
        </w:tc>
      </w:tr>
      <w:tr>
        <w:trPr>
          <w:trHeight w:val="167"/>
        </w:trPr>
        <w:tc>
          <w:tcPr>
            <w:tcW w:w="9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2008</w:t>
            </w:r>
          </w:p>
        </w:tc>
        <w:tc>
          <w:tcPr>
            <w:tcW w:w="8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20,000</w:t>
            </w:r>
          </w:p>
        </w:tc>
      </w:tr>
      <w:tr>
        <w:trPr>
          <w:trHeight w:val="167"/>
        </w:trPr>
        <w:tc>
          <w:tcPr>
            <w:tcW w:w="9000" w:type="dxa"/>
            <w:vAlign w:val="bottom"/>
          </w:tcPr>
          <w:p>
            <w:pPr>
              <w:ind w:left="140"/>
              <w:spacing w:after="0"/>
              <w:rPr>
                <w:sz w:val="20"/>
                <w:szCs w:val="20"/>
                <w:color w:val="auto"/>
              </w:rPr>
            </w:pPr>
            <w:r>
              <w:rPr>
                <w:rFonts w:ascii="Arial" w:cs="Arial" w:eastAsia="Arial" w:hAnsi="Arial"/>
                <w:sz w:val="14"/>
                <w:szCs w:val="14"/>
                <w:color w:val="auto"/>
              </w:rPr>
              <w:t>2009</w:t>
            </w:r>
          </w:p>
        </w:tc>
        <w:tc>
          <w:tcPr>
            <w:tcW w:w="80" w:type="dxa"/>
            <w:vAlign w:val="bottom"/>
          </w:tcPr>
          <w:p>
            <w:pPr>
              <w:spacing w:after="0"/>
              <w:rPr>
                <w:sz w:val="14"/>
                <w:szCs w:val="14"/>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r>
      <w:tr>
        <w:trPr>
          <w:trHeight w:val="167"/>
        </w:trPr>
        <w:tc>
          <w:tcPr>
            <w:tcW w:w="9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2010</w:t>
            </w:r>
          </w:p>
        </w:tc>
        <w:tc>
          <w:tcPr>
            <w:tcW w:w="8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207,241</w:t>
            </w:r>
          </w:p>
        </w:tc>
      </w:tr>
      <w:tr>
        <w:trPr>
          <w:trHeight w:val="167"/>
        </w:trPr>
        <w:tc>
          <w:tcPr>
            <w:tcW w:w="9000" w:type="dxa"/>
            <w:vAlign w:val="bottom"/>
          </w:tcPr>
          <w:p>
            <w:pPr>
              <w:ind w:left="140"/>
              <w:spacing w:after="0"/>
              <w:rPr>
                <w:sz w:val="20"/>
                <w:szCs w:val="20"/>
                <w:color w:val="auto"/>
              </w:rPr>
            </w:pPr>
            <w:r>
              <w:rPr>
                <w:rFonts w:ascii="Arial" w:cs="Arial" w:eastAsia="Arial" w:hAnsi="Arial"/>
                <w:sz w:val="14"/>
                <w:szCs w:val="14"/>
                <w:color w:val="auto"/>
              </w:rPr>
              <w:t>2011</w:t>
            </w:r>
          </w:p>
        </w:tc>
        <w:tc>
          <w:tcPr>
            <w:tcW w:w="80" w:type="dxa"/>
            <w:vAlign w:val="bottom"/>
          </w:tcPr>
          <w:p>
            <w:pPr>
              <w:spacing w:after="0"/>
              <w:rPr>
                <w:sz w:val="14"/>
                <w:szCs w:val="14"/>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4"/>
                <w:szCs w:val="14"/>
                <w:color w:val="auto"/>
              </w:rPr>
              <w:t>70,000</w:t>
            </w:r>
          </w:p>
        </w:tc>
      </w:tr>
      <w:tr>
        <w:trPr>
          <w:trHeight w:val="167"/>
        </w:trPr>
        <w:tc>
          <w:tcPr>
            <w:tcW w:w="9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Later years</w:t>
            </w:r>
          </w:p>
        </w:tc>
        <w:tc>
          <w:tcPr>
            <w:tcW w:w="8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580,000</w:t>
            </w:r>
          </w:p>
        </w:tc>
      </w:tr>
      <w:tr>
        <w:trPr>
          <w:trHeight w:val="176"/>
        </w:trPr>
        <w:tc>
          <w:tcPr>
            <w:tcW w:w="90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1,027,241</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bl>
    <w:p>
      <w:pPr>
        <w:spacing w:after="0" w:line="86" w:lineRule="exact"/>
        <w:rPr>
          <w:sz w:val="20"/>
          <w:szCs w:val="20"/>
          <w:color w:val="auto"/>
        </w:rPr>
      </w:pPr>
    </w:p>
    <w:p>
      <w:pPr>
        <w:ind w:left="680" w:right="200" w:firstLine="599"/>
        <w:spacing w:after="0" w:line="253" w:lineRule="auto"/>
        <w:rPr>
          <w:sz w:val="20"/>
          <w:szCs w:val="20"/>
          <w:color w:val="auto"/>
        </w:rPr>
      </w:pPr>
      <w:r>
        <w:rPr>
          <w:rFonts w:ascii="Arial" w:cs="Arial" w:eastAsia="Arial" w:hAnsi="Arial"/>
          <w:sz w:val="14"/>
          <w:szCs w:val="14"/>
          <w:color w:val="auto"/>
        </w:rPr>
        <w:t>The net effect of interest rate swap agreements was to decrease net interest income by $4,281,000 in 2006, and to increase net interest income by $5,526,000 in 2005 and $18,276,000 in 2004. The average notional amounts of interest rate swap agreements impacting net interest income that were entered into for interest rate risk management purposes were $774,268,000 in 2006, $767,175,000 in 2005 and $696,284,000 in 2004. The amount of hedge ineffectiveness recognized in 2006, 2005 and 2004 was not material to the Company’s results of operations.</w:t>
      </w:r>
    </w:p>
    <w:p>
      <w:pPr>
        <w:spacing w:after="0" w:line="2" w:lineRule="exact"/>
        <w:rPr>
          <w:sz w:val="20"/>
          <w:szCs w:val="20"/>
          <w:color w:val="auto"/>
        </w:rPr>
      </w:pPr>
    </w:p>
    <w:p>
      <w:pPr>
        <w:ind w:left="680" w:right="60" w:firstLine="599"/>
        <w:spacing w:after="0" w:line="301" w:lineRule="auto"/>
        <w:rPr>
          <w:sz w:val="20"/>
          <w:szCs w:val="20"/>
          <w:color w:val="auto"/>
        </w:rPr>
      </w:pPr>
      <w:r>
        <w:rPr>
          <w:rFonts w:ascii="Arial" w:cs="Arial" w:eastAsia="Arial" w:hAnsi="Arial"/>
          <w:sz w:val="13"/>
          <w:szCs w:val="13"/>
          <w:color w:val="auto"/>
        </w:rPr>
        <w:t>The Company utilizes commitments to sell residential and commercial real estate loans to hedge the exposure to changes in the fair value of real estate loans held for sale. Such commitments have been designated as fair value hedges. The Company also utilizes commitments to sell real estate loans to offset</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6" w:name="page117"/>
    <w:bookmarkEnd w:id="1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56" w:lineRule="exact"/>
        <w:rPr>
          <w:sz w:val="20"/>
          <w:szCs w:val="20"/>
          <w:color w:val="auto"/>
        </w:rPr>
      </w:pPr>
    </w:p>
    <w:p>
      <w:pPr>
        <w:ind w:left="680" w:right="80"/>
        <w:spacing w:after="0" w:line="253" w:lineRule="auto"/>
        <w:rPr>
          <w:sz w:val="20"/>
          <w:szCs w:val="20"/>
          <w:color w:val="auto"/>
        </w:rPr>
      </w:pPr>
      <w:r>
        <w:rPr>
          <w:rFonts w:ascii="Arial" w:cs="Arial" w:eastAsia="Arial" w:hAnsi="Arial"/>
          <w:sz w:val="14"/>
          <w:szCs w:val="14"/>
          <w:color w:val="auto"/>
        </w:rPr>
        <w:t>the exposure to changes in the fair value of certain commitments to originate real estate loans for sale. As a result of these activities, net unrealized pre-tax gains related to hedged loans held for sale, commitments to originate loans for sale, and commitments to sell loans were approximately $4 million at December 31, 2006, compared with unrealized pre-tax losses of $5 million at December 31, 2005. Changes in unrealized gains or losses are included in mortgage banking revenues and, in general, are realized in subsequent periods as the related loans are sold and commitments satisfied.</w:t>
      </w:r>
    </w:p>
    <w:p>
      <w:pPr>
        <w:spacing w:after="0" w:line="2"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Derivative financial instruments used for trading purposes included interest rate contracts, foreign exchange and other option contracts, foreign exchange forward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and spot contracts, and financial futures. Interest rate contracts entered into for trading purposes had notional values and estimated fair value gains of $7.6 billion and</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$17,122,000, respectively, at December 31, 2006 and notional values and estimated fair value gains of $6.7 billion and $12,486,000, respectively, at December 31, 2005.</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Foreign exchange and other option and futures contracts totaled approximately $613 million and $679 million at December 31, 2006 and 2005, respectively. Such contracts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were valued at gains of $477,000 and $428,000 at December 31, 2006 and 2005, respectively. Trading account assets and liabilities are recorded in the consolidated balance</w:t>
      </w:r>
    </w:p>
    <w:p>
      <w:pPr>
        <w:spacing w:after="0" w:line="2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sheet at estimated fair value. The following table includes information about the estimated fair value of derivative financial instruments used for trading purposes:</w:t>
      </w:r>
    </w:p>
    <w:p>
      <w:pPr>
        <w:spacing w:after="0" w:line="4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480" w:type="dxa"/>
            <w:vAlign w:val="bottom"/>
          </w:tcPr>
          <w:p>
            <w:pPr>
              <w:spacing w:after="0"/>
              <w:rPr>
                <w:sz w:val="10"/>
                <w:szCs w:val="10"/>
                <w:color w:val="auto"/>
              </w:rPr>
            </w:pPr>
          </w:p>
        </w:tc>
        <w:tc>
          <w:tcPr>
            <w:tcW w:w="520" w:type="dxa"/>
            <w:vAlign w:val="bottom"/>
            <w:tcBorders>
              <w:bottom w:val="single" w:sz="8" w:color="auto"/>
            </w:tcBorders>
          </w:tcPr>
          <w:p>
            <w:pPr>
              <w:jc w:val="right"/>
              <w:ind w:right="95"/>
              <w:spacing w:after="0"/>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10"/>
                <w:szCs w:val="10"/>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r>
      <w:tr>
        <w:trPr>
          <w:trHeight w:val="131"/>
        </w:trPr>
        <w:tc>
          <w:tcPr>
            <w:tcW w:w="84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880" w:type="dxa"/>
            <w:vAlign w:val="bottom"/>
            <w:gridSpan w:val="2"/>
          </w:tcPr>
          <w:p>
            <w:pPr>
              <w:jc w:val="right"/>
              <w:ind w:right="292"/>
              <w:spacing w:after="0"/>
              <w:rPr>
                <w:sz w:val="20"/>
                <w:szCs w:val="20"/>
                <w:color w:val="auto"/>
              </w:rPr>
            </w:pPr>
            <w:r>
              <w:rPr>
                <w:rFonts w:ascii="Arial" w:cs="Arial" w:eastAsia="Arial" w:hAnsi="Arial"/>
                <w:sz w:val="10"/>
                <w:szCs w:val="10"/>
                <w:b w:val="1"/>
                <w:bCs w:val="1"/>
                <w:color w:val="auto"/>
                <w:w w:val="92"/>
              </w:rPr>
              <w:t>thousands)</w:t>
            </w:r>
          </w:p>
        </w:tc>
        <w:tc>
          <w:tcPr>
            <w:tcW w:w="100" w:type="dxa"/>
            <w:vAlign w:val="bottom"/>
          </w:tcPr>
          <w:p>
            <w:pPr>
              <w:spacing w:after="0"/>
              <w:rPr>
                <w:sz w:val="11"/>
                <w:szCs w:val="11"/>
                <w:color w:val="auto"/>
              </w:rPr>
            </w:pPr>
          </w:p>
        </w:tc>
      </w:tr>
      <w:tr>
        <w:trPr>
          <w:trHeight w:val="173"/>
        </w:trPr>
        <w:tc>
          <w:tcPr>
            <w:tcW w:w="8480" w:type="dxa"/>
            <w:vAlign w:val="bottom"/>
            <w:shd w:val="clear" w:color="auto" w:fill="CCEEFF"/>
          </w:tcPr>
          <w:p>
            <w:pPr>
              <w:spacing w:after="0"/>
              <w:rPr>
                <w:sz w:val="20"/>
                <w:szCs w:val="20"/>
                <w:color w:val="auto"/>
              </w:rPr>
            </w:pPr>
            <w:r>
              <w:rPr>
                <w:rFonts w:ascii="Arial" w:cs="Arial" w:eastAsia="Arial" w:hAnsi="Arial"/>
                <w:sz w:val="14"/>
                <w:szCs w:val="14"/>
                <w:color w:val="auto"/>
              </w:rPr>
              <w:t>December 31:</w:t>
            </w:r>
          </w:p>
        </w:tc>
        <w:tc>
          <w:tcPr>
            <w:tcW w:w="5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7"/>
        </w:trPr>
        <w:tc>
          <w:tcPr>
            <w:tcW w:w="8480" w:type="dxa"/>
            <w:vAlign w:val="bottom"/>
          </w:tcPr>
          <w:p>
            <w:pPr>
              <w:ind w:left="140"/>
              <w:spacing w:after="0"/>
              <w:rPr>
                <w:sz w:val="20"/>
                <w:szCs w:val="20"/>
                <w:color w:val="auto"/>
              </w:rPr>
            </w:pPr>
            <w:r>
              <w:rPr>
                <w:rFonts w:ascii="Arial" w:cs="Arial" w:eastAsia="Arial" w:hAnsi="Arial"/>
                <w:sz w:val="14"/>
                <w:szCs w:val="14"/>
                <w:color w:val="auto"/>
              </w:rPr>
              <w:t>Gross unrealized gains</w:t>
            </w:r>
          </w:p>
        </w:tc>
        <w:tc>
          <w:tcPr>
            <w:tcW w:w="900" w:type="dxa"/>
            <w:vAlign w:val="bottom"/>
            <w:gridSpan w:val="2"/>
          </w:tcPr>
          <w:p>
            <w:pPr>
              <w:jc w:val="right"/>
              <w:ind w:right="328"/>
              <w:spacing w:after="0"/>
              <w:rPr>
                <w:sz w:val="20"/>
                <w:szCs w:val="20"/>
                <w:color w:val="auto"/>
              </w:rPr>
            </w:pPr>
            <w:r>
              <w:rPr>
                <w:rFonts w:ascii="Arial" w:cs="Arial" w:eastAsia="Arial" w:hAnsi="Arial"/>
                <w:sz w:val="14"/>
                <w:szCs w:val="14"/>
                <w:color w:val="auto"/>
                <w:w w:val="91"/>
              </w:rPr>
              <w:t>$ 82,864</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w w:val="88"/>
              </w:rPr>
              <w:t>$ 89,810</w:t>
            </w:r>
          </w:p>
        </w:tc>
      </w:tr>
      <w:tr>
        <w:trPr>
          <w:trHeight w:val="167"/>
        </w:trPr>
        <w:tc>
          <w:tcPr>
            <w:tcW w:w="8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Gross unrealized losses</w:t>
            </w:r>
          </w:p>
        </w:tc>
        <w:tc>
          <w:tcPr>
            <w:tcW w:w="90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65,265</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76,896</w:t>
            </w:r>
          </w:p>
        </w:tc>
      </w:tr>
      <w:tr>
        <w:trPr>
          <w:trHeight w:val="167"/>
        </w:trPr>
        <w:tc>
          <w:tcPr>
            <w:tcW w:w="8480" w:type="dxa"/>
            <w:vAlign w:val="bottom"/>
          </w:tcPr>
          <w:p>
            <w:pPr>
              <w:spacing w:after="0"/>
              <w:rPr>
                <w:sz w:val="20"/>
                <w:szCs w:val="20"/>
                <w:color w:val="auto"/>
              </w:rPr>
            </w:pPr>
            <w:r>
              <w:rPr>
                <w:rFonts w:ascii="Arial" w:cs="Arial" w:eastAsia="Arial" w:hAnsi="Arial"/>
                <w:sz w:val="14"/>
                <w:szCs w:val="14"/>
                <w:color w:val="auto"/>
              </w:rPr>
              <w:t>Year ended December 31:</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84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Average gross unrealized gains</w:t>
            </w:r>
          </w:p>
        </w:tc>
        <w:tc>
          <w:tcPr>
            <w:tcW w:w="90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w w:val="91"/>
              </w:rPr>
              <w:t>$ 96,041</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8"/>
              </w:rPr>
              <w:t>$ 93,465</w:t>
            </w:r>
          </w:p>
        </w:tc>
      </w:tr>
      <w:tr>
        <w:trPr>
          <w:trHeight w:val="182"/>
        </w:trPr>
        <w:tc>
          <w:tcPr>
            <w:tcW w:w="8480" w:type="dxa"/>
            <w:vAlign w:val="bottom"/>
          </w:tcPr>
          <w:p>
            <w:pPr>
              <w:ind w:left="140"/>
              <w:spacing w:after="0"/>
              <w:rPr>
                <w:sz w:val="20"/>
                <w:szCs w:val="20"/>
                <w:color w:val="auto"/>
              </w:rPr>
            </w:pPr>
            <w:r>
              <w:rPr>
                <w:rFonts w:ascii="Arial" w:cs="Arial" w:eastAsia="Arial" w:hAnsi="Arial"/>
                <w:sz w:val="14"/>
                <w:szCs w:val="14"/>
                <w:color w:val="auto"/>
              </w:rPr>
              <w:t>Average gross unrealized losses</w:t>
            </w:r>
          </w:p>
        </w:tc>
        <w:tc>
          <w:tcPr>
            <w:tcW w:w="900" w:type="dxa"/>
            <w:vAlign w:val="bottom"/>
            <w:gridSpan w:val="2"/>
          </w:tcPr>
          <w:p>
            <w:pPr>
              <w:jc w:val="right"/>
              <w:ind w:right="328"/>
              <w:spacing w:after="0"/>
              <w:rPr>
                <w:sz w:val="20"/>
                <w:szCs w:val="20"/>
                <w:color w:val="auto"/>
              </w:rPr>
            </w:pPr>
            <w:r>
              <w:rPr>
                <w:rFonts w:ascii="Arial" w:cs="Arial" w:eastAsia="Arial" w:hAnsi="Arial"/>
                <w:sz w:val="14"/>
                <w:szCs w:val="14"/>
                <w:color w:val="auto"/>
              </w:rPr>
              <w:t>80,626</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82,389</w:t>
            </w:r>
          </w:p>
        </w:tc>
      </w:tr>
    </w:tbl>
    <w:p>
      <w:pPr>
        <w:spacing w:after="0" w:line="61" w:lineRule="exact"/>
        <w:rPr>
          <w:sz w:val="20"/>
          <w:szCs w:val="20"/>
          <w:color w:val="auto"/>
        </w:rPr>
      </w:pPr>
    </w:p>
    <w:p>
      <w:pPr>
        <w:ind w:left="680" w:right="360" w:firstLine="599"/>
        <w:spacing w:after="0" w:line="280" w:lineRule="auto"/>
        <w:rPr>
          <w:sz w:val="20"/>
          <w:szCs w:val="20"/>
          <w:color w:val="auto"/>
        </w:rPr>
      </w:pPr>
      <w:r>
        <w:rPr>
          <w:rFonts w:ascii="Arial" w:cs="Arial" w:eastAsia="Arial" w:hAnsi="Arial"/>
          <w:sz w:val="14"/>
          <w:szCs w:val="14"/>
          <w:color w:val="auto"/>
        </w:rPr>
        <w:t>Net gains realized from derivative financial instruments used for trading purposes were $14,800,000, $14,380,000 and $11,144,000 in 2006, 2005 and 2004, respectively.</w:t>
      </w:r>
    </w:p>
    <w:p>
      <w:pPr>
        <w:spacing w:after="0" w:line="122" w:lineRule="exact"/>
        <w:rPr>
          <w:sz w:val="20"/>
          <w:szCs w:val="20"/>
          <w:color w:val="auto"/>
        </w:rPr>
      </w:pPr>
    </w:p>
    <w:p>
      <w:pPr>
        <w:ind w:left="1180" w:hanging="493"/>
        <w:spacing w:after="0"/>
        <w:tabs>
          <w:tab w:leader="none" w:pos="1180" w:val="left"/>
        </w:tabs>
        <w:numPr>
          <w:ilvl w:val="0"/>
          <w:numId w:val="37"/>
        </w:numPr>
        <w:rPr>
          <w:rFonts w:ascii="Arial" w:cs="Arial" w:eastAsia="Arial" w:hAnsi="Arial"/>
          <w:sz w:val="14"/>
          <w:szCs w:val="14"/>
          <w:b w:val="1"/>
          <w:bCs w:val="1"/>
          <w:color w:val="auto"/>
        </w:rPr>
      </w:pPr>
      <w:r>
        <w:rPr>
          <w:rFonts w:ascii="Arial" w:cs="Arial" w:eastAsia="Arial" w:hAnsi="Arial"/>
          <w:sz w:val="14"/>
          <w:szCs w:val="14"/>
          <w:b w:val="1"/>
          <w:bCs w:val="1"/>
          <w:color w:val="auto"/>
        </w:rPr>
        <w:t>Variable interest entities and asset securitizations</w:t>
      </w:r>
    </w:p>
    <w:p>
      <w:pPr>
        <w:spacing w:after="0" w:line="138"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Variable interest entities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Variable interest entities in which the Company holds a significant variable interest are described below.</w:t>
      </w:r>
    </w:p>
    <w:p>
      <w:pPr>
        <w:spacing w:after="0" w:line="6" w:lineRule="exact"/>
        <w:rPr>
          <w:sz w:val="20"/>
          <w:szCs w:val="20"/>
          <w:color w:val="auto"/>
        </w:rPr>
      </w:pPr>
    </w:p>
    <w:p>
      <w:pPr>
        <w:ind w:left="680" w:right="60" w:firstLine="599"/>
        <w:spacing w:after="0" w:line="268" w:lineRule="auto"/>
        <w:rPr>
          <w:sz w:val="20"/>
          <w:szCs w:val="20"/>
          <w:color w:val="auto"/>
        </w:rPr>
      </w:pPr>
      <w:r>
        <w:rPr>
          <w:rFonts w:ascii="Arial" w:cs="Arial" w:eastAsia="Arial" w:hAnsi="Arial"/>
          <w:sz w:val="13"/>
          <w:szCs w:val="13"/>
          <w:color w:val="auto"/>
        </w:rPr>
        <w:t>M</w:t>
      </w:r>
      <w:r>
        <w:rPr>
          <w:rFonts w:ascii="Arial" w:cs="Arial" w:eastAsia="Arial" w:hAnsi="Arial"/>
          <w:sz w:val="12"/>
          <w:szCs w:val="12"/>
          <w:color w:val="auto"/>
        </w:rPr>
        <w:t>&amp;</w:t>
      </w:r>
      <w:r>
        <w:rPr>
          <w:rFonts w:ascii="Arial" w:cs="Arial" w:eastAsia="Arial" w:hAnsi="Arial"/>
          <w:sz w:val="13"/>
          <w:szCs w:val="13"/>
          <w:color w:val="auto"/>
        </w:rPr>
        <w:t>T Auto Receivables I, LLC is a special purpose subsidiary of M</w:t>
      </w:r>
      <w:r>
        <w:rPr>
          <w:rFonts w:ascii="Arial" w:cs="Arial" w:eastAsia="Arial" w:hAnsi="Arial"/>
          <w:sz w:val="12"/>
          <w:szCs w:val="12"/>
          <w:color w:val="auto"/>
        </w:rPr>
        <w:t>&amp;</w:t>
      </w:r>
      <w:r>
        <w:rPr>
          <w:rFonts w:ascii="Arial" w:cs="Arial" w:eastAsia="Arial" w:hAnsi="Arial"/>
          <w:sz w:val="13"/>
          <w:szCs w:val="13"/>
          <w:color w:val="auto"/>
        </w:rPr>
        <w:t>T Bank formed in 2002 for the purpose of borrowing $500 million in a revolving asset-backed structured borrowing with an unaffiliated conduit lender. The revolving asset-backed structured borrowing is secured by automobile loans and other assets transferred to the special purpose subsidiary by M</w:t>
      </w:r>
      <w:r>
        <w:rPr>
          <w:rFonts w:ascii="Arial" w:cs="Arial" w:eastAsia="Arial" w:hAnsi="Arial"/>
          <w:sz w:val="12"/>
          <w:szCs w:val="12"/>
          <w:color w:val="auto"/>
        </w:rPr>
        <w:t>&amp;</w:t>
      </w:r>
      <w:r>
        <w:rPr>
          <w:rFonts w:ascii="Arial" w:cs="Arial" w:eastAsia="Arial" w:hAnsi="Arial"/>
          <w:sz w:val="13"/>
          <w:szCs w:val="13"/>
          <w:color w:val="auto"/>
        </w:rPr>
        <w:t>T Bank or other of its subsidiaries that totaled $565 million and $572 million at December 31, 2006 and 2005, respectively. The activities of M</w:t>
      </w:r>
      <w:r>
        <w:rPr>
          <w:rFonts w:ascii="Arial" w:cs="Arial" w:eastAsia="Arial" w:hAnsi="Arial"/>
          <w:sz w:val="12"/>
          <w:szCs w:val="12"/>
          <w:color w:val="auto"/>
        </w:rPr>
        <w:t>&amp;</w:t>
      </w:r>
      <w:r>
        <w:rPr>
          <w:rFonts w:ascii="Arial" w:cs="Arial" w:eastAsia="Arial" w:hAnsi="Arial"/>
          <w:sz w:val="13"/>
          <w:szCs w:val="13"/>
          <w:color w:val="auto"/>
        </w:rPr>
        <w:t>T Auto Receivables I, LLC are generally restricted to purchasing and owning automobile loans for the purpose of securing this revolving borrowing arrangement. Proceeds from payments on the automobile loans are required to be applied in priority order for fees, principal and interest on the borrowing, and funding the monthly replenishment of loans. Any remaining proceeds are available for distribution to M</w:t>
      </w:r>
      <w:r>
        <w:rPr>
          <w:rFonts w:ascii="Arial" w:cs="Arial" w:eastAsia="Arial" w:hAnsi="Arial"/>
          <w:sz w:val="12"/>
          <w:szCs w:val="12"/>
          <w:color w:val="auto"/>
        </w:rPr>
        <w:t>&amp;</w:t>
      </w:r>
      <w:r>
        <w:rPr>
          <w:rFonts w:ascii="Arial" w:cs="Arial" w:eastAsia="Arial" w:hAnsi="Arial"/>
          <w:sz w:val="13"/>
          <w:szCs w:val="13"/>
          <w:color w:val="auto"/>
        </w:rPr>
        <w:t>T Bank. The secured borrowing is prepayable, in whole or in part, at any time and is non-recourse to M</w:t>
      </w:r>
      <w:r>
        <w:rPr>
          <w:rFonts w:ascii="Arial" w:cs="Arial" w:eastAsia="Arial" w:hAnsi="Arial"/>
          <w:sz w:val="12"/>
          <w:szCs w:val="12"/>
          <w:color w:val="auto"/>
        </w:rPr>
        <w:t>&amp;</w:t>
      </w:r>
      <w:r>
        <w:rPr>
          <w:rFonts w:ascii="Arial" w:cs="Arial" w:eastAsia="Arial" w:hAnsi="Arial"/>
          <w:sz w:val="13"/>
          <w:szCs w:val="13"/>
          <w:color w:val="auto"/>
        </w:rPr>
        <w:t>T Bank and the Company. However, 80% of the borrowing can be put back to M</w:t>
      </w:r>
      <w:r>
        <w:rPr>
          <w:rFonts w:ascii="Arial" w:cs="Arial" w:eastAsia="Arial" w:hAnsi="Arial"/>
          <w:sz w:val="12"/>
          <w:szCs w:val="12"/>
          <w:color w:val="auto"/>
        </w:rPr>
        <w:t>&amp;</w:t>
      </w:r>
      <w:r>
        <w:rPr>
          <w:rFonts w:ascii="Arial" w:cs="Arial" w:eastAsia="Arial" w:hAnsi="Arial"/>
          <w:sz w:val="13"/>
          <w:szCs w:val="13"/>
          <w:color w:val="auto"/>
        </w:rPr>
        <w:t>T Bank upon demand. The Company’s maximum incremental exposure to loss resulting from the structure of this borrowing arrangement is generally restricted to the amount that such borrowing is overcollateralized. Management currently estimates no material losses as a result of the pledging of assets and the terms of the borrowing arrangement. The assets and liabilities of M</w:t>
      </w:r>
      <w:r>
        <w:rPr>
          <w:rFonts w:ascii="Arial" w:cs="Arial" w:eastAsia="Arial" w:hAnsi="Arial"/>
          <w:sz w:val="12"/>
          <w:szCs w:val="12"/>
          <w:color w:val="auto"/>
        </w:rPr>
        <w:t>&amp;</w:t>
      </w:r>
      <w:r>
        <w:rPr>
          <w:rFonts w:ascii="Arial" w:cs="Arial" w:eastAsia="Arial" w:hAnsi="Arial"/>
          <w:sz w:val="13"/>
          <w:szCs w:val="13"/>
          <w:color w:val="auto"/>
        </w:rPr>
        <w:t>T Auto Receivables I, LLC have been included in the Company’s consolidated financial statements.</w:t>
      </w:r>
    </w:p>
    <w:p>
      <w:pPr>
        <w:spacing w:after="0" w:line="2" w:lineRule="exact"/>
        <w:rPr>
          <w:sz w:val="20"/>
          <w:szCs w:val="20"/>
          <w:color w:val="auto"/>
        </w:rPr>
      </w:pPr>
    </w:p>
    <w:p>
      <w:pPr>
        <w:ind w:left="680" w:right="100" w:firstLine="599"/>
        <w:spacing w:after="0" w:line="256" w:lineRule="auto"/>
        <w:rPr>
          <w:sz w:val="20"/>
          <w:szCs w:val="20"/>
          <w:color w:val="auto"/>
        </w:rPr>
      </w:pPr>
      <w:r>
        <w:rPr>
          <w:rFonts w:ascii="Arial" w:cs="Arial" w:eastAsia="Arial" w:hAnsi="Arial"/>
          <w:sz w:val="14"/>
          <w:szCs w:val="14"/>
          <w:color w:val="auto"/>
        </w:rPr>
        <w:t>M</w:t>
      </w:r>
      <w:r>
        <w:rPr>
          <w:rFonts w:ascii="Arial" w:cs="Arial" w:eastAsia="Arial" w:hAnsi="Arial"/>
          <w:sz w:val="13"/>
          <w:szCs w:val="13"/>
          <w:color w:val="auto"/>
        </w:rPr>
        <w:t>&amp;</w:t>
      </w:r>
      <w:r>
        <w:rPr>
          <w:rFonts w:ascii="Arial" w:cs="Arial" w:eastAsia="Arial" w:hAnsi="Arial"/>
          <w:sz w:val="14"/>
          <w:szCs w:val="14"/>
          <w:color w:val="auto"/>
        </w:rPr>
        <w:t>T has a variable interest in a trust that holds American Depositary Shares of AIB (“AIB ADSs”) for the purpose of satisfying options to purchase such shares for certain employees. The trust purchased the AIB ADSs with the proceeds of a loan from an entity subsequently acquired by M</w:t>
      </w:r>
      <w:r>
        <w:rPr>
          <w:rFonts w:ascii="Arial" w:cs="Arial" w:eastAsia="Arial" w:hAnsi="Arial"/>
          <w:sz w:val="13"/>
          <w:szCs w:val="13"/>
          <w:color w:val="auto"/>
        </w:rPr>
        <w:t>&amp;</w:t>
      </w:r>
      <w:r>
        <w:rPr>
          <w:rFonts w:ascii="Arial" w:cs="Arial" w:eastAsia="Arial" w:hAnsi="Arial"/>
          <w:sz w:val="14"/>
          <w:szCs w:val="14"/>
          <w:color w:val="auto"/>
        </w:rPr>
        <w:t>T. Proceeds from option exercises and any dividends and other earnings on the trust assets are used to repay the loan plus</w:t>
      </w:r>
    </w:p>
    <w:p>
      <w:pPr>
        <w:spacing w:after="0" w:line="14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7" w:name="page118"/>
    <w:bookmarkEnd w:id="1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56" w:lineRule="exact"/>
        <w:rPr>
          <w:sz w:val="20"/>
          <w:szCs w:val="20"/>
          <w:color w:val="auto"/>
        </w:rPr>
      </w:pPr>
    </w:p>
    <w:p>
      <w:pPr>
        <w:ind w:left="680" w:right="320"/>
        <w:spacing w:after="0" w:line="252" w:lineRule="auto"/>
        <w:rPr>
          <w:sz w:val="20"/>
          <w:szCs w:val="20"/>
          <w:color w:val="auto"/>
        </w:rPr>
      </w:pPr>
      <w:r>
        <w:rPr>
          <w:rFonts w:ascii="Arial" w:cs="Arial" w:eastAsia="Arial" w:hAnsi="Arial"/>
          <w:sz w:val="13"/>
          <w:szCs w:val="13"/>
          <w:color w:val="auto"/>
        </w:rPr>
        <w:t>interest. Option holders have no preferential right with respect to the trust assets and the trust assets are subject to the claims of M&amp;</w:t>
      </w:r>
      <w:r>
        <w:rPr>
          <w:rFonts w:ascii="Arial" w:cs="Arial" w:eastAsia="Arial" w:hAnsi="Arial"/>
          <w:sz w:val="14"/>
          <w:szCs w:val="14"/>
          <w:color w:val="auto"/>
        </w:rPr>
        <w:t>T’s creditors. The trust has been included in the</w:t>
      </w:r>
      <w:r>
        <w:rPr>
          <w:rFonts w:ascii="Arial" w:cs="Arial" w:eastAsia="Arial" w:hAnsi="Arial"/>
          <w:sz w:val="13"/>
          <w:szCs w:val="13"/>
          <w:color w:val="auto"/>
        </w:rPr>
        <w:t xml:space="preserve"> </w:t>
      </w:r>
      <w:r>
        <w:rPr>
          <w:rFonts w:ascii="Arial" w:cs="Arial" w:eastAsia="Arial" w:hAnsi="Arial"/>
          <w:sz w:val="14"/>
          <w:szCs w:val="14"/>
          <w:color w:val="auto"/>
        </w:rPr>
        <w:t>Company’s consolidated financial statements. As a result, included in investment securities available for sale were 651,688 AIB ADSs with a carrying value of approximately $15 million at December 31, 2006, compared with 797,438 AIB ADSs with a carrying value of approximately $18 million at December 31, 2005. Outstanding options granted to employees who have continued service with M</w:t>
      </w:r>
      <w:r>
        <w:rPr>
          <w:rFonts w:ascii="Arial" w:cs="Arial" w:eastAsia="Arial" w:hAnsi="Arial"/>
          <w:sz w:val="13"/>
          <w:szCs w:val="13"/>
          <w:color w:val="auto"/>
        </w:rPr>
        <w:t>&amp;</w:t>
      </w:r>
      <w:r>
        <w:rPr>
          <w:rFonts w:ascii="Arial" w:cs="Arial" w:eastAsia="Arial" w:hAnsi="Arial"/>
          <w:sz w:val="14"/>
          <w:szCs w:val="14"/>
          <w:color w:val="auto"/>
        </w:rPr>
        <w:t>T totaled 381,460 and 529,410 at December 31, 2006 and 2005, respectively. All outstanding options were fully vested and exercisable at both December 31, 2006 and 2005. The options expire at various dates through June 2012. M</w:t>
      </w:r>
      <w:r>
        <w:rPr>
          <w:rFonts w:ascii="Arial" w:cs="Arial" w:eastAsia="Arial" w:hAnsi="Arial"/>
          <w:sz w:val="13"/>
          <w:szCs w:val="13"/>
          <w:color w:val="auto"/>
        </w:rPr>
        <w:t>&amp;</w:t>
      </w:r>
      <w:r>
        <w:rPr>
          <w:rFonts w:ascii="Arial" w:cs="Arial" w:eastAsia="Arial" w:hAnsi="Arial"/>
          <w:sz w:val="14"/>
          <w:szCs w:val="14"/>
          <w:color w:val="auto"/>
        </w:rPr>
        <w:t>T’s maximum exposure to loss is $15 million at December 31, 2006.</w:t>
      </w:r>
    </w:p>
    <w:p>
      <w:pPr>
        <w:ind w:left="680" w:firstLine="599"/>
        <w:spacing w:after="0" w:line="268" w:lineRule="auto"/>
        <w:rPr>
          <w:sz w:val="20"/>
          <w:szCs w:val="20"/>
          <w:color w:val="auto"/>
        </w:rPr>
      </w:pPr>
      <w:r>
        <w:rPr>
          <w:rFonts w:ascii="Arial" w:cs="Arial" w:eastAsia="Arial" w:hAnsi="Arial"/>
          <w:sz w:val="13"/>
          <w:szCs w:val="13"/>
          <w:color w:val="auto"/>
        </w:rPr>
        <w:t>As described in note 9, M</w:t>
      </w:r>
      <w:r>
        <w:rPr>
          <w:rFonts w:ascii="Arial" w:cs="Arial" w:eastAsia="Arial" w:hAnsi="Arial"/>
          <w:sz w:val="12"/>
          <w:szCs w:val="12"/>
          <w:color w:val="auto"/>
        </w:rPr>
        <w:t>&amp;</w:t>
      </w:r>
      <w:r>
        <w:rPr>
          <w:rFonts w:ascii="Arial" w:cs="Arial" w:eastAsia="Arial" w:hAnsi="Arial"/>
          <w:sz w:val="13"/>
          <w:szCs w:val="13"/>
          <w:color w:val="auto"/>
        </w:rPr>
        <w:t>T has issued junior subordinated debentures payable to the Trusts and the Allfirst Asset Trust and owns the common securities of those entities. The Trusts and the Allfirst Asset Trust are not included in the Company’s consolidated financial statements because the Company is not considered to be the primary beneficiary of those entities. Accordingly, at December 31, 2006 and 2005, the Company included the Junior Subordinated Debentures payable to the Trusts and the Floating Rate Junior Subordinated Debentures payable to the Allfirst Asset Trust as long-term borrowings in its consolidated balance sheet. The Company has recognized $30 million in other assets for its “investment” in the common securities of the Trusts and Allfirst Asset Trust that will be concomitantly repaid to M</w:t>
      </w:r>
      <w:r>
        <w:rPr>
          <w:rFonts w:ascii="Arial" w:cs="Arial" w:eastAsia="Arial" w:hAnsi="Arial"/>
          <w:sz w:val="12"/>
          <w:szCs w:val="12"/>
          <w:color w:val="auto"/>
        </w:rPr>
        <w:t>&amp;</w:t>
      </w:r>
      <w:r>
        <w:rPr>
          <w:rFonts w:ascii="Arial" w:cs="Arial" w:eastAsia="Arial" w:hAnsi="Arial"/>
          <w:sz w:val="13"/>
          <w:szCs w:val="13"/>
          <w:color w:val="auto"/>
        </w:rPr>
        <w:t>T by the respective trust from the proceeds of M</w:t>
      </w:r>
      <w:r>
        <w:rPr>
          <w:rFonts w:ascii="Arial" w:cs="Arial" w:eastAsia="Arial" w:hAnsi="Arial"/>
          <w:sz w:val="12"/>
          <w:szCs w:val="12"/>
          <w:color w:val="auto"/>
        </w:rPr>
        <w:t>&amp;</w:t>
      </w:r>
      <w:r>
        <w:rPr>
          <w:rFonts w:ascii="Arial" w:cs="Arial" w:eastAsia="Arial" w:hAnsi="Arial"/>
          <w:sz w:val="13"/>
          <w:szCs w:val="13"/>
          <w:color w:val="auto"/>
        </w:rPr>
        <w:t>T’s repayment of the junior subordinated debentures associated with preferred capital securities described in note 9.</w:t>
      </w:r>
    </w:p>
    <w:p>
      <w:pPr>
        <w:spacing w:after="0" w:line="1" w:lineRule="exact"/>
        <w:rPr>
          <w:sz w:val="20"/>
          <w:szCs w:val="20"/>
          <w:color w:val="auto"/>
        </w:rPr>
      </w:pPr>
    </w:p>
    <w:p>
      <w:pPr>
        <w:ind w:left="680" w:right="20" w:firstLine="599"/>
        <w:spacing w:after="0" w:line="272" w:lineRule="auto"/>
        <w:rPr>
          <w:sz w:val="20"/>
          <w:szCs w:val="20"/>
          <w:color w:val="auto"/>
        </w:rPr>
      </w:pPr>
      <w:r>
        <w:rPr>
          <w:rFonts w:ascii="Arial" w:cs="Arial" w:eastAsia="Arial" w:hAnsi="Arial"/>
          <w:sz w:val="13"/>
          <w:szCs w:val="13"/>
          <w:color w:val="auto"/>
        </w:rPr>
        <w:t>The Company has invested as a limited partner in various real estate partnerships that collectively had total assets of approximately $339 million and $331 million at December 31, 2006 and 2005, respectively. Those partnerships generally construct or acquire properties for which the investing partners are eligible to receive certain federal income tax credits in accordance with government guidelines. Such investments may also provide tax deductible losses to the partners. The partnership investments also assist the Company in achieving its community reinvestment initiatives. As a limited partner, there is no recourse to the Company by creditors of the partnerships. However, the tax credits that result from the Company’s investments in such partnerships are generally subject to recapture should a partnership fail to comply with the respective government regulations. The Company’s maximum exposure to loss of its investments in such partnerships was $142 million, including $25 million of unfunded commitments, at December 31, 2006 and $143 million, including $27 million of unfunded commitments, at December 31, 2005. Management currently estimates that no material losses are probable as a result of the Company’s involvement with such entities. In accordance with the accounting provisions for variable interest entities, the partnership entities are not included in the Company’s consolidated financial statements.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Securitizations</w:t>
      </w:r>
    </w:p>
    <w:p>
      <w:pPr>
        <w:spacing w:after="0" w:line="18" w:lineRule="exact"/>
        <w:rPr>
          <w:sz w:val="20"/>
          <w:szCs w:val="20"/>
          <w:color w:val="auto"/>
        </w:rPr>
      </w:pPr>
    </w:p>
    <w:p>
      <w:pPr>
        <w:jc w:val="both"/>
        <w:ind w:left="680" w:right="300"/>
        <w:spacing w:after="0" w:line="268" w:lineRule="auto"/>
        <w:rPr>
          <w:sz w:val="20"/>
          <w:szCs w:val="20"/>
          <w:color w:val="auto"/>
        </w:rPr>
      </w:pPr>
      <w:r>
        <w:rPr>
          <w:rFonts w:ascii="Arial" w:cs="Arial" w:eastAsia="Arial" w:hAnsi="Arial"/>
          <w:sz w:val="13"/>
          <w:szCs w:val="13"/>
          <w:color w:val="auto"/>
        </w:rPr>
        <w:t>In December 2005, the Company securitized approximately $126 million, of one-to-four family residential mortgage loans in a guaranteed mortgage securitization with FNMA. The Company recognized no gain or loss on the transaction as it retained all of the resulting securities. Such securities were classified as investment securities available for sale. The Company expects no material credit-related losses on the retained securities as a result of the guarantees by FNMA.</w:t>
      </w:r>
    </w:p>
    <w:p>
      <w:pPr>
        <w:ind w:left="680" w:firstLine="599"/>
        <w:spacing w:after="0" w:line="250" w:lineRule="auto"/>
        <w:rPr>
          <w:sz w:val="20"/>
          <w:szCs w:val="20"/>
          <w:color w:val="auto"/>
        </w:rPr>
      </w:pPr>
      <w:r>
        <w:rPr>
          <w:rFonts w:ascii="Arial" w:cs="Arial" w:eastAsia="Arial" w:hAnsi="Arial"/>
          <w:sz w:val="14"/>
          <w:szCs w:val="14"/>
          <w:color w:val="auto"/>
        </w:rPr>
        <w:t>In prior years, the Company transferred approximately $1.9 billion one-to-four family residential mortgage loans to qualified special purpose trusts in non-recourse securitization transactions. In exchange for the loans, the Company received cash, no more than 88% of the resulting securities, and the servicing rights to the loans. All of the retained securities were classified as investment securities available for sale. The qualified special purpose trusts are not included in the Company’s consolidated financial statements. Because the transactions were non-recourse, the Company’s maximum exposure to loss as a result of its association with the trusts is limited to realizing the carrying value of the retained securities and servicing rights. The combined outstanding principal amount of mortgage-backed securities issued by the qualified special purpose trusts was $732 million at December 31, 2006 and $877 million at December 31, 2005. The principal amount of such securities held by the Company was $627 million and $757 million at December 31, 2006 and 2005, respectively. At December 31, 2006 and 2005, loans of the trusts that were 30 or more days delinquent totaled $14 million and $16 million, respectively. Credit losses, net of recoveries, for the trusts in 2006 and 2005 were insignificant. There were no significant repurchases of</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8" w:name="page119"/>
    <w:bookmarkEnd w:id="1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56" w:lineRule="exact"/>
        <w:rPr>
          <w:sz w:val="20"/>
          <w:szCs w:val="20"/>
          <w:color w:val="auto"/>
        </w:rPr>
      </w:pPr>
    </w:p>
    <w:p>
      <w:pPr>
        <w:ind w:left="680"/>
        <w:spacing w:after="0"/>
        <w:rPr>
          <w:sz w:val="20"/>
          <w:szCs w:val="20"/>
          <w:color w:val="auto"/>
        </w:rPr>
      </w:pPr>
      <w:r>
        <w:rPr>
          <w:rFonts w:ascii="Arial" w:cs="Arial" w:eastAsia="Arial" w:hAnsi="Arial"/>
          <w:sz w:val="14"/>
          <w:szCs w:val="14"/>
          <w:color w:val="auto"/>
        </w:rPr>
        <w:t>delinquent or foreclosed loans from the trusts by the Company in 2006 or 2005. Certain cash flows between the Company and the trusts were as follows:</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00" w:type="dxa"/>
            <w:vAlign w:val="bottom"/>
          </w:tcPr>
          <w:p>
            <w:pPr>
              <w:spacing w:after="0"/>
              <w:rPr>
                <w:sz w:val="10"/>
                <w:szCs w:val="10"/>
                <w:color w:val="auto"/>
              </w:rPr>
            </w:pPr>
          </w:p>
        </w:tc>
        <w:tc>
          <w:tcPr>
            <w:tcW w:w="1580" w:type="dxa"/>
            <w:vAlign w:val="bottom"/>
            <w:tcBorders>
              <w:bottom w:val="single" w:sz="8" w:color="auto"/>
            </w:tcBorders>
            <w:gridSpan w:val="3"/>
          </w:tcPr>
          <w:p>
            <w:pPr>
              <w:jc w:val="right"/>
              <w:ind w:right="155"/>
              <w:spacing w:after="0"/>
              <w:rPr>
                <w:sz w:val="20"/>
                <w:szCs w:val="20"/>
                <w:color w:val="auto"/>
              </w:rPr>
            </w:pPr>
            <w:r>
              <w:rPr>
                <w:rFonts w:ascii="Arial" w:cs="Arial" w:eastAsia="Arial" w:hAnsi="Arial"/>
                <w:sz w:val="10"/>
                <w:szCs w:val="10"/>
                <w:b w:val="1"/>
                <w:bCs w:val="1"/>
                <w:color w:val="auto"/>
              </w:rPr>
              <w:t>Year Ended December 31</w:t>
            </w:r>
          </w:p>
        </w:tc>
      </w:tr>
      <w:tr>
        <w:trPr>
          <w:trHeight w:val="98"/>
        </w:trPr>
        <w:tc>
          <w:tcPr>
            <w:tcW w:w="8300" w:type="dxa"/>
            <w:vAlign w:val="bottom"/>
          </w:tcPr>
          <w:p>
            <w:pPr>
              <w:spacing w:after="0"/>
              <w:rPr>
                <w:sz w:val="8"/>
                <w:szCs w:val="8"/>
                <w:color w:val="auto"/>
              </w:rPr>
            </w:pPr>
          </w:p>
        </w:tc>
        <w:tc>
          <w:tcPr>
            <w:tcW w:w="600" w:type="dxa"/>
            <w:vAlign w:val="bottom"/>
            <w:tcBorders>
              <w:bottom w:val="single" w:sz="8" w:color="auto"/>
            </w:tcBorders>
          </w:tcPr>
          <w:p>
            <w:pPr>
              <w:jc w:val="right"/>
              <w:ind w:right="140"/>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58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2005</w:t>
            </w:r>
          </w:p>
        </w:tc>
      </w:tr>
      <w:tr>
        <w:trPr>
          <w:trHeight w:val="125"/>
        </w:trPr>
        <w:tc>
          <w:tcPr>
            <w:tcW w:w="83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980" w:type="dxa"/>
            <w:vAlign w:val="bottom"/>
            <w:gridSpan w:val="2"/>
          </w:tcPr>
          <w:p>
            <w:pPr>
              <w:jc w:val="right"/>
              <w:ind w:right="395"/>
              <w:spacing w:after="0"/>
              <w:rPr>
                <w:sz w:val="20"/>
                <w:szCs w:val="20"/>
                <w:color w:val="auto"/>
              </w:rPr>
            </w:pPr>
            <w:r>
              <w:rPr>
                <w:rFonts w:ascii="Arial" w:cs="Arial" w:eastAsia="Arial" w:hAnsi="Arial"/>
                <w:sz w:val="10"/>
                <w:szCs w:val="10"/>
                <w:b w:val="1"/>
                <w:bCs w:val="1"/>
                <w:color w:val="auto"/>
                <w:w w:val="92"/>
              </w:rPr>
              <w:t>thousands)</w:t>
            </w:r>
          </w:p>
        </w:tc>
      </w:tr>
      <w:tr>
        <w:trPr>
          <w:trHeight w:val="167"/>
        </w:trPr>
        <w:tc>
          <w:tcPr>
            <w:tcW w:w="8300" w:type="dxa"/>
            <w:vAlign w:val="bottom"/>
          </w:tcPr>
          <w:p>
            <w:pPr>
              <w:spacing w:after="0"/>
              <w:rPr>
                <w:sz w:val="20"/>
                <w:szCs w:val="20"/>
                <w:color w:val="auto"/>
              </w:rPr>
            </w:pPr>
            <w:r>
              <w:rPr>
                <w:rFonts w:ascii="Arial" w:cs="Arial" w:eastAsia="Arial" w:hAnsi="Arial"/>
                <w:sz w:val="14"/>
                <w:szCs w:val="14"/>
                <w:color w:val="auto"/>
              </w:rPr>
              <w:t>Principal and interest payments on retained securities</w:t>
            </w:r>
          </w:p>
        </w:tc>
        <w:tc>
          <w:tcPr>
            <w:tcW w:w="1000" w:type="dxa"/>
            <w:vAlign w:val="bottom"/>
            <w:gridSpan w:val="2"/>
          </w:tcPr>
          <w:p>
            <w:pPr>
              <w:jc w:val="right"/>
              <w:ind w:right="348"/>
              <w:spacing w:after="0"/>
              <w:rPr>
                <w:sz w:val="20"/>
                <w:szCs w:val="20"/>
                <w:color w:val="auto"/>
              </w:rPr>
            </w:pPr>
            <w:r>
              <w:rPr>
                <w:rFonts w:ascii="Arial" w:cs="Arial" w:eastAsia="Arial" w:hAnsi="Arial"/>
                <w:sz w:val="14"/>
                <w:szCs w:val="14"/>
                <w:color w:val="auto"/>
                <w:w w:val="93"/>
              </w:rPr>
              <w:t>$ 173,207</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$ 240,211</w:t>
            </w:r>
          </w:p>
        </w:tc>
      </w:tr>
      <w:tr>
        <w:trPr>
          <w:trHeight w:val="182"/>
        </w:trPr>
        <w:tc>
          <w:tcPr>
            <w:tcW w:w="8300" w:type="dxa"/>
            <w:vAlign w:val="bottom"/>
          </w:tcPr>
          <w:p>
            <w:pPr>
              <w:spacing w:after="0"/>
              <w:rPr>
                <w:sz w:val="20"/>
                <w:szCs w:val="20"/>
                <w:color w:val="auto"/>
              </w:rPr>
            </w:pPr>
            <w:r>
              <w:rPr>
                <w:rFonts w:ascii="Arial" w:cs="Arial" w:eastAsia="Arial" w:hAnsi="Arial"/>
                <w:sz w:val="14"/>
                <w:szCs w:val="14"/>
                <w:color w:val="auto"/>
              </w:rPr>
              <w:t>Servicing fees received</w:t>
            </w:r>
          </w:p>
        </w:tc>
        <w:tc>
          <w:tcPr>
            <w:tcW w:w="1000" w:type="dxa"/>
            <w:vAlign w:val="bottom"/>
            <w:gridSpan w:val="2"/>
          </w:tcPr>
          <w:p>
            <w:pPr>
              <w:jc w:val="right"/>
              <w:ind w:right="348"/>
              <w:spacing w:after="0"/>
              <w:rPr>
                <w:sz w:val="20"/>
                <w:szCs w:val="20"/>
                <w:color w:val="auto"/>
              </w:rPr>
            </w:pPr>
            <w:r>
              <w:rPr>
                <w:rFonts w:ascii="Arial" w:cs="Arial" w:eastAsia="Arial" w:hAnsi="Arial"/>
                <w:sz w:val="14"/>
                <w:szCs w:val="14"/>
                <w:color w:val="auto"/>
              </w:rPr>
              <w:t>2,223</w:t>
            </w:r>
          </w:p>
        </w:tc>
        <w:tc>
          <w:tcPr>
            <w:tcW w:w="580" w:type="dxa"/>
            <w:vAlign w:val="bottom"/>
          </w:tcPr>
          <w:p>
            <w:pPr>
              <w:jc w:val="right"/>
              <w:spacing w:after="0"/>
              <w:rPr>
                <w:sz w:val="20"/>
                <w:szCs w:val="20"/>
                <w:color w:val="auto"/>
              </w:rPr>
            </w:pPr>
            <w:r>
              <w:rPr>
                <w:rFonts w:ascii="Arial" w:cs="Arial" w:eastAsia="Arial" w:hAnsi="Arial"/>
                <w:sz w:val="14"/>
                <w:szCs w:val="14"/>
                <w:color w:val="auto"/>
              </w:rPr>
              <w:t>2,735</w:t>
            </w:r>
          </w:p>
        </w:tc>
      </w:tr>
    </w:tbl>
    <w:p>
      <w:pPr>
        <w:spacing w:after="0" w:line="73" w:lineRule="exact"/>
        <w:rPr>
          <w:sz w:val="20"/>
          <w:szCs w:val="20"/>
          <w:color w:val="auto"/>
        </w:rPr>
      </w:pPr>
    </w:p>
    <w:p>
      <w:pPr>
        <w:ind w:left="680" w:right="20" w:firstLine="599"/>
        <w:spacing w:after="0" w:line="278" w:lineRule="auto"/>
        <w:rPr>
          <w:sz w:val="20"/>
          <w:szCs w:val="20"/>
          <w:color w:val="auto"/>
        </w:rPr>
      </w:pPr>
      <w:r>
        <w:rPr>
          <w:rFonts w:ascii="Arial" w:cs="Arial" w:eastAsia="Arial" w:hAnsi="Arial"/>
          <w:sz w:val="13"/>
          <w:szCs w:val="13"/>
          <w:color w:val="auto"/>
        </w:rPr>
        <w:t>A summary of the fair values of retained subordinated interests resulting from the Company’s residential mortgage loan securitization activities follows. Although the estimated fair values of the retained subordinated interests were obtained from independent pricing sources, the Company has modeled the sensitivity of such fair values to changes in certain assumptions as summarized in the table below. These calculated sensitivities are hypothetical and actual changes in the fair value may differ significantly from the amounts presented herein. The effect of a variation in a particular assumption on the fair values is calculated without changing any other assumption. In reality, changes in one factor may result in changes in another which may magnify or counteract the sensitivities. The changes in assumptions are presumed to be instantaneous. The hypothetical effect of adverse changes on the Company’s retained capitalized servicing assets at December 31, 2006 is included in note 7.</w:t>
      </w:r>
    </w:p>
    <w:p>
      <w:pPr>
        <w:spacing w:after="0" w:line="5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448"/>
              <w:spacing w:after="0"/>
              <w:rPr>
                <w:sz w:val="20"/>
                <w:szCs w:val="20"/>
                <w:color w:val="auto"/>
              </w:rPr>
            </w:pPr>
            <w:r>
              <w:rPr>
                <w:rFonts w:ascii="Arial" w:cs="Arial" w:eastAsia="Arial" w:hAnsi="Arial"/>
                <w:sz w:val="10"/>
                <w:szCs w:val="10"/>
                <w:b w:val="1"/>
                <w:bCs w:val="1"/>
                <w:color w:val="auto"/>
                <w:w w:val="95"/>
              </w:rPr>
              <w:t>Weighted-</w:t>
            </w:r>
          </w:p>
        </w:tc>
        <w:tc>
          <w:tcPr>
            <w:tcW w:w="100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5"/>
              </w:rPr>
              <w:t>Weighted-</w:t>
            </w:r>
          </w:p>
        </w:tc>
        <w:tc>
          <w:tcPr>
            <w:tcW w:w="62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rPr>
              <w:t>Annual</w:t>
            </w:r>
          </w:p>
        </w:tc>
        <w:tc>
          <w:tcPr>
            <w:tcW w:w="0" w:type="dxa"/>
            <w:vAlign w:val="bottom"/>
          </w:tcPr>
          <w:p>
            <w:pPr>
              <w:spacing w:after="0"/>
              <w:rPr>
                <w:sz w:val="1"/>
                <w:szCs w:val="1"/>
                <w:color w:val="auto"/>
              </w:rPr>
            </w:pPr>
          </w:p>
        </w:tc>
      </w:tr>
      <w:tr>
        <w:trPr>
          <w:trHeight w:val="108"/>
        </w:trPr>
        <w:tc>
          <w:tcPr>
            <w:tcW w:w="6340" w:type="dxa"/>
            <w:vAlign w:val="bottom"/>
          </w:tcPr>
          <w:p>
            <w:pPr>
              <w:spacing w:after="0"/>
              <w:rPr>
                <w:sz w:val="9"/>
                <w:szCs w:val="9"/>
                <w:color w:val="auto"/>
              </w:rPr>
            </w:pPr>
          </w:p>
        </w:tc>
        <w:tc>
          <w:tcPr>
            <w:tcW w:w="9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rPr>
              <w:t>Fair</w:t>
            </w:r>
          </w:p>
        </w:tc>
        <w:tc>
          <w:tcPr>
            <w:tcW w:w="80" w:type="dxa"/>
            <w:vAlign w:val="bottom"/>
          </w:tcPr>
          <w:p>
            <w:pPr>
              <w:spacing w:after="0"/>
              <w:rPr>
                <w:sz w:val="9"/>
                <w:szCs w:val="9"/>
                <w:color w:val="auto"/>
              </w:rPr>
            </w:pPr>
          </w:p>
        </w:tc>
        <w:tc>
          <w:tcPr>
            <w:tcW w:w="1040" w:type="dxa"/>
            <w:vAlign w:val="bottom"/>
            <w:gridSpan w:val="2"/>
          </w:tcPr>
          <w:p>
            <w:pPr>
              <w:jc w:val="center"/>
              <w:ind w:right="468"/>
              <w:spacing w:after="0" w:line="108" w:lineRule="exact"/>
              <w:rPr>
                <w:sz w:val="20"/>
                <w:szCs w:val="20"/>
                <w:color w:val="auto"/>
              </w:rPr>
            </w:pPr>
            <w:r>
              <w:rPr>
                <w:rFonts w:ascii="Arial" w:cs="Arial" w:eastAsia="Arial" w:hAnsi="Arial"/>
                <w:sz w:val="10"/>
                <w:szCs w:val="10"/>
                <w:b w:val="1"/>
                <w:bCs w:val="1"/>
                <w:color w:val="auto"/>
                <w:w w:val="91"/>
              </w:rPr>
              <w:t>Average</w:t>
            </w:r>
          </w:p>
        </w:tc>
        <w:tc>
          <w:tcPr>
            <w:tcW w:w="100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6"/>
              </w:rPr>
              <w:t>Average</w:t>
            </w:r>
          </w:p>
        </w:tc>
        <w:tc>
          <w:tcPr>
            <w:tcW w:w="62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w w:val="94"/>
              </w:rPr>
              <w:t>Expected</w:t>
            </w:r>
          </w:p>
        </w:tc>
        <w:tc>
          <w:tcPr>
            <w:tcW w:w="0" w:type="dxa"/>
            <w:vAlign w:val="bottom"/>
          </w:tcPr>
          <w:p>
            <w:pPr>
              <w:spacing w:after="0"/>
              <w:rPr>
                <w:sz w:val="1"/>
                <w:szCs w:val="1"/>
                <w:color w:val="auto"/>
              </w:rPr>
            </w:pPr>
          </w:p>
        </w:tc>
      </w:tr>
      <w:tr>
        <w:trPr>
          <w:trHeight w:val="108"/>
        </w:trPr>
        <w:tc>
          <w:tcPr>
            <w:tcW w:w="63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tcPr>
          <w:p>
            <w:pPr>
              <w:jc w:val="center"/>
              <w:ind w:right="448"/>
              <w:spacing w:after="0" w:line="108" w:lineRule="exact"/>
              <w:rPr>
                <w:sz w:val="20"/>
                <w:szCs w:val="20"/>
                <w:color w:val="auto"/>
              </w:rPr>
            </w:pPr>
            <w:r>
              <w:rPr>
                <w:rFonts w:ascii="Arial" w:cs="Arial" w:eastAsia="Arial" w:hAnsi="Arial"/>
                <w:sz w:val="10"/>
                <w:szCs w:val="10"/>
                <w:b w:val="1"/>
                <w:bCs w:val="1"/>
                <w:color w:val="auto"/>
                <w:w w:val="94"/>
              </w:rPr>
              <w:t>Prepayment</w:t>
            </w:r>
          </w:p>
        </w:tc>
        <w:tc>
          <w:tcPr>
            <w:tcW w:w="100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88"/>
              </w:rPr>
              <w:t>Discount</w:t>
            </w:r>
          </w:p>
        </w:tc>
        <w:tc>
          <w:tcPr>
            <w:tcW w:w="620" w:type="dxa"/>
            <w:vAlign w:val="bottom"/>
            <w:gridSpan w:val="2"/>
          </w:tcPr>
          <w:p>
            <w:pPr>
              <w:jc w:val="center"/>
              <w:ind w:right="120"/>
              <w:spacing w:after="0" w:line="108" w:lineRule="exact"/>
              <w:rPr>
                <w:sz w:val="20"/>
                <w:szCs w:val="20"/>
                <w:color w:val="auto"/>
              </w:rPr>
            </w:pPr>
            <w:r>
              <w:rPr>
                <w:rFonts w:ascii="Arial" w:cs="Arial" w:eastAsia="Arial" w:hAnsi="Arial"/>
                <w:sz w:val="10"/>
                <w:szCs w:val="10"/>
                <w:b w:val="1"/>
                <w:bCs w:val="1"/>
                <w:color w:val="auto"/>
              </w:rPr>
              <w:t>Credit</w:t>
            </w:r>
          </w:p>
        </w:tc>
        <w:tc>
          <w:tcPr>
            <w:tcW w:w="0" w:type="dxa"/>
            <w:vAlign w:val="bottom"/>
          </w:tcPr>
          <w:p>
            <w:pPr>
              <w:spacing w:after="0"/>
              <w:rPr>
                <w:sz w:val="1"/>
                <w:szCs w:val="1"/>
                <w:color w:val="auto"/>
              </w:rPr>
            </w:pPr>
          </w:p>
        </w:tc>
      </w:tr>
      <w:tr>
        <w:trPr>
          <w:trHeight w:val="125"/>
        </w:trPr>
        <w:tc>
          <w:tcPr>
            <w:tcW w:w="6340" w:type="dxa"/>
            <w:vAlign w:val="bottom"/>
          </w:tcPr>
          <w:p>
            <w:pPr>
              <w:spacing w:after="0"/>
              <w:rPr>
                <w:sz w:val="10"/>
                <w:szCs w:val="10"/>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Value</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6"/>
              </w:rPr>
              <w:t>Speed</w:t>
            </w:r>
          </w:p>
        </w:tc>
        <w:tc>
          <w:tcPr>
            <w:tcW w:w="440" w:type="dxa"/>
            <w:vAlign w:val="bottom"/>
          </w:tcPr>
          <w:p>
            <w:pPr>
              <w:spacing w:after="0"/>
              <w:rPr>
                <w:sz w:val="10"/>
                <w:szCs w:val="10"/>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Rate</w:t>
            </w:r>
          </w:p>
        </w:tc>
        <w:tc>
          <w:tcPr>
            <w:tcW w:w="420" w:type="dxa"/>
            <w:vAlign w:val="bottom"/>
          </w:tcPr>
          <w:p>
            <w:pPr>
              <w:spacing w:after="0"/>
              <w:rPr>
                <w:sz w:val="10"/>
                <w:szCs w:val="10"/>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Defaults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ind w:left="280"/>
              <w:spacing w:after="0"/>
              <w:rPr>
                <w:sz w:val="20"/>
                <w:szCs w:val="20"/>
                <w:color w:val="auto"/>
              </w:rPr>
            </w:pPr>
            <w:r>
              <w:rPr>
                <w:rFonts w:ascii="Arial" w:cs="Arial" w:eastAsia="Arial" w:hAnsi="Arial"/>
                <w:sz w:val="10"/>
                <w:szCs w:val="10"/>
                <w:b w:val="1"/>
                <w:bCs w:val="1"/>
                <w:color w:val="auto"/>
                <w:w w:val="80"/>
              </w:rPr>
              <w:t>(Dollars</w:t>
            </w:r>
          </w:p>
        </w:tc>
        <w:tc>
          <w:tcPr>
            <w:tcW w:w="1020" w:type="dxa"/>
            <w:vAlign w:val="bottom"/>
            <w:gridSpan w:val="2"/>
          </w:tcPr>
          <w:p>
            <w:pPr>
              <w:ind w:left="80"/>
              <w:spacing w:after="0"/>
              <w:rPr>
                <w:sz w:val="20"/>
                <w:szCs w:val="20"/>
                <w:color w:val="auto"/>
              </w:rPr>
            </w:pPr>
            <w:r>
              <w:rPr>
                <w:rFonts w:ascii="Arial" w:cs="Arial" w:eastAsia="Arial" w:hAnsi="Arial"/>
                <w:sz w:val="10"/>
                <w:szCs w:val="10"/>
                <w:b w:val="1"/>
                <w:bCs w:val="1"/>
                <w:color w:val="auto"/>
              </w:rPr>
              <w:t>in thousands)</w:t>
            </w: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340" w:type="dxa"/>
            <w:vAlign w:val="bottom"/>
            <w:shd w:val="clear" w:color="auto" w:fill="CCEEFF"/>
          </w:tcPr>
          <w:p>
            <w:pPr>
              <w:spacing w:after="0"/>
              <w:rPr>
                <w:sz w:val="20"/>
                <w:szCs w:val="20"/>
                <w:color w:val="auto"/>
              </w:rPr>
            </w:pPr>
            <w:r>
              <w:rPr>
                <w:rFonts w:ascii="Arial" w:cs="Arial" w:eastAsia="Arial" w:hAnsi="Arial"/>
                <w:sz w:val="14"/>
                <w:szCs w:val="14"/>
                <w:color w:val="auto"/>
              </w:rPr>
              <w:t>Retained subordinated interests:</w:t>
            </w:r>
          </w:p>
        </w:tc>
        <w:tc>
          <w:tcPr>
            <w:tcW w:w="5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6340" w:type="dxa"/>
            <w:vAlign w:val="bottom"/>
          </w:tcPr>
          <w:p>
            <w:pPr>
              <w:ind w:left="140"/>
              <w:spacing w:after="0"/>
              <w:rPr>
                <w:sz w:val="20"/>
                <w:szCs w:val="20"/>
                <w:color w:val="auto"/>
              </w:rPr>
            </w:pPr>
            <w:r>
              <w:rPr>
                <w:rFonts w:ascii="Arial" w:cs="Arial" w:eastAsia="Arial" w:hAnsi="Arial"/>
                <w:sz w:val="14"/>
                <w:szCs w:val="14"/>
                <w:color w:val="auto"/>
              </w:rPr>
              <w:t>As of securitization date</w:t>
            </w:r>
          </w:p>
        </w:tc>
        <w:tc>
          <w:tcPr>
            <w:tcW w:w="900" w:type="dxa"/>
            <w:vAlign w:val="bottom"/>
            <w:gridSpan w:val="2"/>
          </w:tcPr>
          <w:p>
            <w:pPr>
              <w:jc w:val="right"/>
              <w:ind w:right="400"/>
              <w:spacing w:after="0"/>
              <w:rPr>
                <w:sz w:val="20"/>
                <w:szCs w:val="20"/>
                <w:color w:val="auto"/>
              </w:rPr>
            </w:pPr>
            <w:r>
              <w:rPr>
                <w:rFonts w:ascii="Arial" w:cs="Arial" w:eastAsia="Arial" w:hAnsi="Arial"/>
                <w:sz w:val="14"/>
                <w:szCs w:val="14"/>
                <w:color w:val="auto"/>
                <w:w w:val="88"/>
              </w:rPr>
              <w:t>$ 91,705</w:t>
            </w:r>
          </w:p>
        </w:tc>
        <w:tc>
          <w:tcPr>
            <w:tcW w:w="80" w:type="dxa"/>
            <w:vAlign w:val="bottom"/>
          </w:tcPr>
          <w:p>
            <w:pPr>
              <w:spacing w:after="0"/>
              <w:rPr>
                <w:sz w:val="14"/>
                <w:szCs w:val="14"/>
                <w:color w:val="auto"/>
              </w:rPr>
            </w:pPr>
          </w:p>
        </w:tc>
        <w:tc>
          <w:tcPr>
            <w:tcW w:w="1040" w:type="dxa"/>
            <w:vAlign w:val="bottom"/>
            <w:gridSpan w:val="2"/>
          </w:tcPr>
          <w:p>
            <w:pPr>
              <w:jc w:val="right"/>
              <w:ind w:right="248"/>
              <w:spacing w:after="0"/>
              <w:rPr>
                <w:sz w:val="20"/>
                <w:szCs w:val="20"/>
                <w:color w:val="auto"/>
              </w:rPr>
            </w:pPr>
            <w:r>
              <w:rPr>
                <w:rFonts w:ascii="Arial" w:cs="Arial" w:eastAsia="Arial" w:hAnsi="Arial"/>
                <w:sz w:val="14"/>
                <w:szCs w:val="14"/>
                <w:color w:val="auto"/>
              </w:rPr>
              <w:t>23.81%</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color w:val="auto"/>
              </w:rPr>
              <w:t>7.68%</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77"/>
        </w:trPr>
        <w:tc>
          <w:tcPr>
            <w:tcW w:w="63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As of December 31, 2006</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60,529</w:t>
            </w:r>
          </w:p>
        </w:tc>
        <w:tc>
          <w:tcPr>
            <w:tcW w:w="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11.51%</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7.52%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7"/>
        </w:trPr>
        <w:tc>
          <w:tcPr>
            <w:tcW w:w="6340" w:type="dxa"/>
            <w:vAlign w:val="bottom"/>
          </w:tcPr>
          <w:p>
            <w:pPr>
              <w:ind w:left="280"/>
              <w:spacing w:after="0"/>
              <w:rPr>
                <w:sz w:val="20"/>
                <w:szCs w:val="20"/>
                <w:color w:val="auto"/>
              </w:rPr>
            </w:pPr>
            <w:r>
              <w:rPr>
                <w:rFonts w:ascii="Arial" w:cs="Arial" w:eastAsia="Arial" w:hAnsi="Arial"/>
                <w:sz w:val="14"/>
                <w:szCs w:val="14"/>
                <w:color w:val="auto"/>
              </w:rPr>
              <w:t>Impact on fair value of 10% adverse change</w:t>
            </w:r>
          </w:p>
        </w:tc>
        <w:tc>
          <w:tcPr>
            <w:tcW w:w="50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28"/>
              <w:spacing w:after="0"/>
              <w:rPr>
                <w:sz w:val="20"/>
                <w:szCs w:val="20"/>
                <w:color w:val="auto"/>
              </w:rPr>
            </w:pPr>
            <w:r>
              <w:rPr>
                <w:rFonts w:ascii="Arial" w:cs="Arial" w:eastAsia="Arial" w:hAnsi="Arial"/>
                <w:sz w:val="14"/>
                <w:szCs w:val="14"/>
                <w:color w:val="auto"/>
              </w:rPr>
              <w:t>(122)</w:t>
            </w:r>
          </w:p>
        </w:tc>
        <w:tc>
          <w:tcPr>
            <w:tcW w:w="1000" w:type="dxa"/>
            <w:vAlign w:val="bottom"/>
            <w:gridSpan w:val="2"/>
          </w:tcPr>
          <w:p>
            <w:pPr>
              <w:jc w:val="right"/>
              <w:ind w:right="360"/>
              <w:spacing w:after="0"/>
              <w:rPr>
                <w:sz w:val="20"/>
                <w:szCs w:val="20"/>
                <w:color w:val="auto"/>
              </w:rPr>
            </w:pPr>
            <w:r>
              <w:rPr>
                <w:rFonts w:ascii="Arial" w:cs="Arial" w:eastAsia="Arial" w:hAnsi="Arial"/>
                <w:sz w:val="14"/>
                <w:szCs w:val="14"/>
                <w:color w:val="auto"/>
              </w:rPr>
              <w:t>$  (1,967)</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  (201)</w:t>
            </w:r>
          </w:p>
        </w:tc>
        <w:tc>
          <w:tcPr>
            <w:tcW w:w="0" w:type="dxa"/>
            <w:vAlign w:val="bottom"/>
          </w:tcPr>
          <w:p>
            <w:pPr>
              <w:spacing w:after="0"/>
              <w:rPr>
                <w:sz w:val="1"/>
                <w:szCs w:val="1"/>
                <w:color w:val="auto"/>
              </w:rPr>
            </w:pPr>
          </w:p>
        </w:tc>
      </w:tr>
      <w:tr>
        <w:trPr>
          <w:trHeight w:val="167"/>
        </w:trPr>
        <w:tc>
          <w:tcPr>
            <w:tcW w:w="6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Impact on fair value of 20% adverse change</w:t>
            </w:r>
          </w:p>
        </w:tc>
        <w:tc>
          <w:tcPr>
            <w:tcW w:w="5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(250)</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(3,821)</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80" w:right="100" w:firstLine="599"/>
        <w:spacing w:after="0" w:line="321" w:lineRule="auto"/>
        <w:rPr>
          <w:sz w:val="20"/>
          <w:szCs w:val="20"/>
          <w:color w:val="auto"/>
        </w:rPr>
      </w:pPr>
      <w:r>
        <w:rPr>
          <w:rFonts w:ascii="Arial" w:cs="Arial" w:eastAsia="Arial" w:hAnsi="Arial"/>
          <w:sz w:val="13"/>
          <w:szCs w:val="13"/>
          <w:color w:val="auto"/>
        </w:rPr>
        <w:t>The subordinated retained securities do not have pro rata participation in loan principal prepayments for the first seven years of each securitization. The assumed weighted-average discount rate is 140 basis points higher than the weighted-average coupon of the underlying mortgage loans at December 31, 2006.</w:t>
      </w:r>
    </w:p>
    <w:p>
      <w:pPr>
        <w:spacing w:after="0" w:line="97" w:lineRule="exact"/>
        <w:rPr>
          <w:sz w:val="20"/>
          <w:szCs w:val="20"/>
          <w:color w:val="auto"/>
        </w:rPr>
      </w:pPr>
    </w:p>
    <w:p>
      <w:pPr>
        <w:ind w:left="1180" w:hanging="493"/>
        <w:spacing w:after="0"/>
        <w:tabs>
          <w:tab w:leader="none" w:pos="1180" w:val="left"/>
        </w:tabs>
        <w:numPr>
          <w:ilvl w:val="0"/>
          <w:numId w:val="38"/>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of financial instruments</w:t>
      </w:r>
    </w:p>
    <w:p>
      <w:pPr>
        <w:spacing w:after="0" w:line="22" w:lineRule="exact"/>
        <w:rPr>
          <w:sz w:val="20"/>
          <w:szCs w:val="20"/>
          <w:color w:val="auto"/>
        </w:rPr>
      </w:pPr>
    </w:p>
    <w:p>
      <w:pPr>
        <w:ind w:left="680" w:right="380"/>
        <w:spacing w:after="0" w:line="249" w:lineRule="auto"/>
        <w:rPr>
          <w:sz w:val="20"/>
          <w:szCs w:val="20"/>
          <w:color w:val="auto"/>
        </w:rPr>
      </w:pPr>
      <w:r>
        <w:rPr>
          <w:rFonts w:ascii="Arial" w:cs="Arial" w:eastAsia="Arial" w:hAnsi="Arial"/>
          <w:sz w:val="14"/>
          <w:szCs w:val="14"/>
          <w:color w:val="auto"/>
        </w:rPr>
        <w:t>SFAS No. 107, “Disclosures about Fair Value of Financial Instruments,” requires disclosure of the estimated fair value of financial instruments. Fair value is generally defined as the price a willing buyer and a willing seller would exchange for a financial instrument in other than a distressed sale situation.</w:t>
      </w:r>
    </w:p>
    <w:p>
      <w:pPr>
        <w:ind w:left="680" w:firstLine="599"/>
        <w:spacing w:after="0" w:line="268" w:lineRule="auto"/>
        <w:rPr>
          <w:sz w:val="20"/>
          <w:szCs w:val="20"/>
          <w:color w:val="auto"/>
        </w:rPr>
      </w:pPr>
      <w:r>
        <w:rPr>
          <w:rFonts w:ascii="Arial" w:cs="Arial" w:eastAsia="Arial" w:hAnsi="Arial"/>
          <w:sz w:val="13"/>
          <w:szCs w:val="13"/>
          <w:color w:val="auto"/>
        </w:rPr>
        <w:t>With the exception of marketable securities, certain off-balance sheet financial instruments and one-to-four family residential mortgage loans originated for sale, the Company’s financial instruments are not readily marketable and market prices do not exist. The Company, in attempting to comply with the provisions of SFAS No. 107, has not attempted to market its financial instruments to potential buyers, if any exist. Since negotiated prices in illiquid markets depend greatly upon the then present motivations of the buyer and seller, it is reasonable to assume that actual sales prices could vary widely from any estimate of fair value made without the benefit of negotiations. Additionally, changes in market interest rates can dramatically impact the value of financial instruments in a short period of time.</w:t>
      </w:r>
    </w:p>
    <w:p>
      <w:pPr>
        <w:spacing w:after="0" w:line="1" w:lineRule="exact"/>
        <w:rPr>
          <w:sz w:val="20"/>
          <w:szCs w:val="20"/>
          <w:color w:val="auto"/>
        </w:rPr>
      </w:pPr>
    </w:p>
    <w:p>
      <w:pPr>
        <w:ind w:left="680" w:firstLine="599"/>
        <w:spacing w:after="0" w:line="285" w:lineRule="auto"/>
        <w:rPr>
          <w:sz w:val="20"/>
          <w:szCs w:val="20"/>
          <w:color w:val="auto"/>
        </w:rPr>
      </w:pPr>
      <w:r>
        <w:rPr>
          <w:rFonts w:ascii="Arial" w:cs="Arial" w:eastAsia="Arial" w:hAnsi="Arial"/>
          <w:sz w:val="13"/>
          <w:szCs w:val="13"/>
          <w:color w:val="auto"/>
        </w:rPr>
        <w:t>The estimated fair values of investments in readily marketable debt and equity securities were calculated based on quoted market prices at the respective year-end. In determining amounts to present for other financial instruments, the Company generally used calculations based upon discounted cash flows of the related financial instruments or assigned some other amount as required by SFAS No. 107. Additional information about the assumptions and calculations utilized is presented below.</w:t>
      </w:r>
    </w:p>
    <w:p>
      <w:pPr>
        <w:spacing w:after="0" w:line="12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19" w:name="page120"/>
    <w:bookmarkEnd w:id="1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56"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The carrying amounts and calculated estimates for financial instrument assets (liabilities) are presented in the following table:</w:t>
      </w:r>
    </w:p>
    <w:p>
      <w:pPr>
        <w:spacing w:after="0" w:line="10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7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 2006</w:t>
            </w:r>
          </w:p>
        </w:tc>
        <w:tc>
          <w:tcPr>
            <w:tcW w:w="76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 2005</w:t>
            </w:r>
          </w:p>
        </w:tc>
        <w:tc>
          <w:tcPr>
            <w:tcW w:w="7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1"/>
        </w:trPr>
        <w:tc>
          <w:tcPr>
            <w:tcW w:w="4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20" w:type="dxa"/>
            <w:vAlign w:val="bottom"/>
            <w:gridSpan w:val="2"/>
          </w:tcPr>
          <w:p>
            <w:pPr>
              <w:jc w:val="right"/>
              <w:ind w:right="700"/>
              <w:spacing w:after="0" w:line="81" w:lineRule="exact"/>
              <w:rPr>
                <w:sz w:val="20"/>
                <w:szCs w:val="20"/>
                <w:color w:val="auto"/>
              </w:rPr>
            </w:pPr>
            <w:r>
              <w:rPr>
                <w:rFonts w:ascii="Arial" w:cs="Arial" w:eastAsia="Arial" w:hAnsi="Arial"/>
                <w:sz w:val="9"/>
                <w:szCs w:val="9"/>
                <w:b w:val="1"/>
                <w:bCs w:val="1"/>
                <w:color w:val="auto"/>
              </w:rPr>
              <w:t>Carrying</w:t>
            </w:r>
          </w:p>
        </w:tc>
        <w:tc>
          <w:tcPr>
            <w:tcW w:w="240" w:type="dxa"/>
            <w:vAlign w:val="bottom"/>
          </w:tcPr>
          <w:p>
            <w:pPr>
              <w:spacing w:after="0"/>
              <w:rPr>
                <w:sz w:val="7"/>
                <w:szCs w:val="7"/>
                <w:color w:val="auto"/>
              </w:rPr>
            </w:pPr>
          </w:p>
        </w:tc>
        <w:tc>
          <w:tcPr>
            <w:tcW w:w="760" w:type="dxa"/>
            <w:vAlign w:val="bottom"/>
          </w:tcPr>
          <w:p>
            <w:pPr>
              <w:jc w:val="right"/>
              <w:ind w:right="190"/>
              <w:spacing w:after="0" w:line="81" w:lineRule="exact"/>
              <w:rPr>
                <w:sz w:val="20"/>
                <w:szCs w:val="20"/>
                <w:color w:val="auto"/>
              </w:rPr>
            </w:pPr>
            <w:r>
              <w:rPr>
                <w:rFonts w:ascii="Arial" w:cs="Arial" w:eastAsia="Arial" w:hAnsi="Arial"/>
                <w:sz w:val="9"/>
                <w:szCs w:val="9"/>
                <w:b w:val="1"/>
                <w:bCs w:val="1"/>
                <w:color w:val="auto"/>
              </w:rPr>
              <w:t>Calculated</w:t>
            </w: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tcPr>
          <w:p>
            <w:pPr>
              <w:jc w:val="right"/>
              <w:ind w:right="680"/>
              <w:spacing w:after="0" w:line="81" w:lineRule="exact"/>
              <w:rPr>
                <w:sz w:val="20"/>
                <w:szCs w:val="20"/>
                <w:color w:val="auto"/>
              </w:rPr>
            </w:pPr>
            <w:r>
              <w:rPr>
                <w:rFonts w:ascii="Arial" w:cs="Arial" w:eastAsia="Arial" w:hAnsi="Arial"/>
                <w:sz w:val="9"/>
                <w:szCs w:val="9"/>
                <w:b w:val="1"/>
                <w:bCs w:val="1"/>
                <w:color w:val="auto"/>
              </w:rPr>
              <w:t>Carrying</w:t>
            </w:r>
          </w:p>
        </w:tc>
        <w:tc>
          <w:tcPr>
            <w:tcW w:w="240" w:type="dxa"/>
            <w:vAlign w:val="bottom"/>
          </w:tcPr>
          <w:p>
            <w:pPr>
              <w:spacing w:after="0"/>
              <w:rPr>
                <w:sz w:val="7"/>
                <w:szCs w:val="7"/>
                <w:color w:val="auto"/>
              </w:rPr>
            </w:pPr>
          </w:p>
        </w:tc>
        <w:tc>
          <w:tcPr>
            <w:tcW w:w="740" w:type="dxa"/>
            <w:vAlign w:val="bottom"/>
          </w:tcPr>
          <w:p>
            <w:pPr>
              <w:jc w:val="right"/>
              <w:ind w:right="170"/>
              <w:spacing w:after="0" w:line="81" w:lineRule="exact"/>
              <w:rPr>
                <w:sz w:val="20"/>
                <w:szCs w:val="20"/>
                <w:color w:val="auto"/>
              </w:rPr>
            </w:pPr>
            <w:r>
              <w:rPr>
                <w:rFonts w:ascii="Arial" w:cs="Arial" w:eastAsia="Arial" w:hAnsi="Arial"/>
                <w:sz w:val="9"/>
                <w:szCs w:val="9"/>
                <w:b w:val="1"/>
                <w:bCs w:val="1"/>
                <w:color w:val="auto"/>
              </w:rPr>
              <w:t>Calculated</w:t>
            </w:r>
          </w:p>
        </w:tc>
        <w:tc>
          <w:tcPr>
            <w:tcW w:w="100" w:type="dxa"/>
            <w:vAlign w:val="bottom"/>
          </w:tcPr>
          <w:p>
            <w:pPr>
              <w:spacing w:after="0"/>
              <w:rPr>
                <w:sz w:val="7"/>
                <w:szCs w:val="7"/>
                <w:color w:val="auto"/>
              </w:rPr>
            </w:pPr>
          </w:p>
        </w:tc>
      </w:tr>
      <w:tr>
        <w:trPr>
          <w:trHeight w:val="125"/>
        </w:trPr>
        <w:tc>
          <w:tcPr>
            <w:tcW w:w="4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rPr>
              <w:t>Amount</w:t>
            </w:r>
          </w:p>
        </w:tc>
        <w:tc>
          <w:tcPr>
            <w:tcW w:w="240" w:type="dxa"/>
            <w:vAlign w:val="bottom"/>
          </w:tcPr>
          <w:p>
            <w:pPr>
              <w:spacing w:after="0"/>
              <w:rPr>
                <w:sz w:val="10"/>
                <w:szCs w:val="10"/>
                <w:color w:val="auto"/>
              </w:rPr>
            </w:pPr>
          </w:p>
        </w:tc>
        <w:tc>
          <w:tcPr>
            <w:tcW w:w="1140" w:type="dxa"/>
            <w:vAlign w:val="bottom"/>
            <w:gridSpan w:val="2"/>
          </w:tcPr>
          <w:p>
            <w:pPr>
              <w:jc w:val="right"/>
              <w:ind w:right="633"/>
              <w:spacing w:after="0"/>
              <w:rPr>
                <w:sz w:val="20"/>
                <w:szCs w:val="20"/>
                <w:color w:val="auto"/>
              </w:rPr>
            </w:pPr>
            <w:r>
              <w:rPr>
                <w:rFonts w:ascii="Arial" w:cs="Arial" w:eastAsia="Arial" w:hAnsi="Arial"/>
                <w:sz w:val="10"/>
                <w:szCs w:val="10"/>
                <w:b w:val="1"/>
                <w:bCs w:val="1"/>
                <w:color w:val="auto"/>
              </w:rPr>
              <w:t>Estimate</w:t>
            </w:r>
          </w:p>
        </w:tc>
        <w:tc>
          <w:tcPr>
            <w:tcW w:w="200" w:type="dxa"/>
            <w:vAlign w:val="bottom"/>
          </w:tcPr>
          <w:p>
            <w:pPr>
              <w:spacing w:after="0"/>
              <w:rPr>
                <w:sz w:val="10"/>
                <w:szCs w:val="10"/>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rPr>
              <w:t>Amount</w:t>
            </w:r>
          </w:p>
        </w:tc>
        <w:tc>
          <w:tcPr>
            <w:tcW w:w="240" w:type="dxa"/>
            <w:vAlign w:val="bottom"/>
          </w:tcPr>
          <w:p>
            <w:pPr>
              <w:spacing w:after="0"/>
              <w:rPr>
                <w:sz w:val="10"/>
                <w:szCs w:val="10"/>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rPr>
              <w:t>Estimate</w:t>
            </w:r>
          </w:p>
        </w:tc>
      </w:tr>
      <w:tr>
        <w:trPr>
          <w:trHeight w:val="131"/>
        </w:trPr>
        <w:tc>
          <w:tcPr>
            <w:tcW w:w="47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(In</w:t>
            </w:r>
          </w:p>
        </w:tc>
        <w:tc>
          <w:tcPr>
            <w:tcW w:w="380" w:type="dxa"/>
            <w:vAlign w:val="bottom"/>
          </w:tcPr>
          <w:p>
            <w:pPr>
              <w:jc w:val="right"/>
              <w:spacing w:after="0"/>
              <w:rPr>
                <w:sz w:val="20"/>
                <w:szCs w:val="20"/>
                <w:color w:val="auto"/>
              </w:rPr>
            </w:pPr>
            <w:r>
              <w:rPr>
                <w:rFonts w:ascii="Arial" w:cs="Arial" w:eastAsia="Arial" w:hAnsi="Arial"/>
                <w:sz w:val="9"/>
                <w:szCs w:val="9"/>
                <w:b w:val="1"/>
                <w:bCs w:val="1"/>
                <w:color w:val="auto"/>
                <w:w w:val="74"/>
              </w:rPr>
              <w:t>thousands)</w:t>
            </w:r>
          </w:p>
        </w:tc>
        <w:tc>
          <w:tcPr>
            <w:tcW w:w="2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73"/>
        </w:trPr>
        <w:tc>
          <w:tcPr>
            <w:tcW w:w="4700" w:type="dxa"/>
            <w:vAlign w:val="bottom"/>
            <w:shd w:val="clear" w:color="auto" w:fill="CCEEFF"/>
          </w:tcPr>
          <w:p>
            <w:pPr>
              <w:spacing w:after="0"/>
              <w:rPr>
                <w:sz w:val="20"/>
                <w:szCs w:val="20"/>
                <w:color w:val="auto"/>
              </w:rPr>
            </w:pPr>
            <w:r>
              <w:rPr>
                <w:rFonts w:ascii="Arial" w:cs="Arial" w:eastAsia="Arial" w:hAnsi="Arial"/>
                <w:sz w:val="14"/>
                <w:szCs w:val="14"/>
                <w:color w:val="auto"/>
              </w:rPr>
              <w:t>Financial assets:</w:t>
            </w: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7"/>
        </w:trPr>
        <w:tc>
          <w:tcPr>
            <w:tcW w:w="470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400"/>
              <w:spacing w:after="0"/>
              <w:rPr>
                <w:sz w:val="20"/>
                <w:szCs w:val="20"/>
                <w:color w:val="auto"/>
              </w:rPr>
            </w:pPr>
            <w:r>
              <w:rPr>
                <w:rFonts w:ascii="Arial" w:cs="Arial" w:eastAsia="Arial" w:hAnsi="Arial"/>
                <w:sz w:val="14"/>
                <w:szCs w:val="14"/>
                <w:color w:val="auto"/>
              </w:rPr>
              <w:t>1,624,964</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333"/>
              <w:spacing w:after="0"/>
              <w:rPr>
                <w:sz w:val="20"/>
                <w:szCs w:val="20"/>
                <w:color w:val="auto"/>
              </w:rPr>
            </w:pPr>
            <w:r>
              <w:rPr>
                <w:rFonts w:ascii="Arial" w:cs="Arial" w:eastAsia="Arial" w:hAnsi="Arial"/>
                <w:sz w:val="14"/>
                <w:szCs w:val="14"/>
                <w:color w:val="auto"/>
              </w:rPr>
              <w:t>1,624,964</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400"/>
              <w:spacing w:after="0"/>
              <w:rPr>
                <w:sz w:val="20"/>
                <w:szCs w:val="20"/>
                <w:color w:val="auto"/>
              </w:rPr>
            </w:pPr>
            <w:r>
              <w:rPr>
                <w:rFonts w:ascii="Arial" w:cs="Arial" w:eastAsia="Arial" w:hAnsi="Arial"/>
                <w:sz w:val="14"/>
                <w:szCs w:val="14"/>
                <w:color w:val="auto"/>
              </w:rPr>
              <w:t>1,490,459</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1,490,459</w:t>
            </w:r>
          </w:p>
        </w:tc>
      </w:tr>
      <w:tr>
        <w:trPr>
          <w:trHeight w:val="167"/>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Interest-bearing deposits at banks</w:t>
            </w:r>
          </w:p>
        </w:tc>
        <w:tc>
          <w:tcPr>
            <w:tcW w:w="2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6,639</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33"/>
              <w:spacing w:after="0"/>
              <w:rPr>
                <w:sz w:val="20"/>
                <w:szCs w:val="20"/>
                <w:color w:val="auto"/>
              </w:rPr>
            </w:pPr>
            <w:r>
              <w:rPr>
                <w:rFonts w:ascii="Arial" w:cs="Arial" w:eastAsia="Arial" w:hAnsi="Arial"/>
                <w:sz w:val="14"/>
                <w:szCs w:val="14"/>
                <w:color w:val="auto"/>
              </w:rPr>
              <w:t>6,639</w:t>
            </w: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8,408</w:t>
            </w: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8,408</w:t>
            </w:r>
          </w:p>
        </w:tc>
      </w:tr>
      <w:tr>
        <w:trPr>
          <w:trHeight w:val="167"/>
        </w:trPr>
        <w:tc>
          <w:tcPr>
            <w:tcW w:w="4700" w:type="dxa"/>
            <w:vAlign w:val="bottom"/>
          </w:tcPr>
          <w:p>
            <w:pPr>
              <w:ind w:left="140"/>
              <w:spacing w:after="0"/>
              <w:rPr>
                <w:sz w:val="20"/>
                <w:szCs w:val="20"/>
                <w:color w:val="auto"/>
              </w:rPr>
            </w:pPr>
            <w:r>
              <w:rPr>
                <w:rFonts w:ascii="Arial" w:cs="Arial" w:eastAsia="Arial" w:hAnsi="Arial"/>
                <w:sz w:val="14"/>
                <w:szCs w:val="14"/>
                <w:color w:val="auto"/>
              </w:rPr>
              <w:t>Trading account assets</w:t>
            </w:r>
          </w:p>
        </w:tc>
        <w:tc>
          <w:tcPr>
            <w:tcW w:w="20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color w:val="auto"/>
              </w:rPr>
              <w:t>136,752</w:t>
            </w:r>
          </w:p>
        </w:tc>
        <w:tc>
          <w:tcPr>
            <w:tcW w:w="240" w:type="dxa"/>
            <w:vAlign w:val="bottom"/>
          </w:tcPr>
          <w:p>
            <w:pPr>
              <w:spacing w:after="0"/>
              <w:rPr>
                <w:sz w:val="14"/>
                <w:szCs w:val="14"/>
                <w:color w:val="auto"/>
              </w:rPr>
            </w:pPr>
          </w:p>
        </w:tc>
        <w:tc>
          <w:tcPr>
            <w:tcW w:w="1140" w:type="dxa"/>
            <w:vAlign w:val="bottom"/>
            <w:gridSpan w:val="2"/>
          </w:tcPr>
          <w:p>
            <w:pPr>
              <w:jc w:val="right"/>
              <w:ind w:right="333"/>
              <w:spacing w:after="0"/>
              <w:rPr>
                <w:sz w:val="20"/>
                <w:szCs w:val="20"/>
                <w:color w:val="auto"/>
              </w:rPr>
            </w:pPr>
            <w:r>
              <w:rPr>
                <w:rFonts w:ascii="Arial" w:cs="Arial" w:eastAsia="Arial" w:hAnsi="Arial"/>
                <w:sz w:val="14"/>
                <w:szCs w:val="14"/>
                <w:color w:val="auto"/>
              </w:rPr>
              <w:t>136,752</w:t>
            </w:r>
          </w:p>
        </w:tc>
        <w:tc>
          <w:tcPr>
            <w:tcW w:w="2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color w:val="auto"/>
              </w:rPr>
              <w:t>191,617</w:t>
            </w:r>
          </w:p>
        </w:tc>
        <w:tc>
          <w:tcPr>
            <w:tcW w:w="2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191,617</w:t>
            </w:r>
          </w:p>
        </w:tc>
      </w:tr>
      <w:tr>
        <w:trPr>
          <w:trHeight w:val="167"/>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Agreements to resell securities</w:t>
            </w:r>
          </w:p>
        </w:tc>
        <w:tc>
          <w:tcPr>
            <w:tcW w:w="2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100,000</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33"/>
              <w:spacing w:after="0"/>
              <w:rPr>
                <w:sz w:val="20"/>
                <w:szCs w:val="20"/>
                <w:color w:val="auto"/>
              </w:rPr>
            </w:pPr>
            <w:r>
              <w:rPr>
                <w:rFonts w:ascii="Arial" w:cs="Arial" w:eastAsia="Arial" w:hAnsi="Arial"/>
                <w:sz w:val="14"/>
                <w:szCs w:val="14"/>
                <w:color w:val="auto"/>
              </w:rPr>
              <w:t>100,076</w:t>
            </w: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r>
      <w:tr>
        <w:trPr>
          <w:trHeight w:val="167"/>
        </w:trPr>
        <w:tc>
          <w:tcPr>
            <w:tcW w:w="4700" w:type="dxa"/>
            <w:vAlign w:val="bottom"/>
          </w:tcPr>
          <w:p>
            <w:pPr>
              <w:ind w:left="140"/>
              <w:spacing w:after="0"/>
              <w:rPr>
                <w:sz w:val="20"/>
                <w:szCs w:val="20"/>
                <w:color w:val="auto"/>
              </w:rPr>
            </w:pPr>
            <w:r>
              <w:rPr>
                <w:rFonts w:ascii="Arial" w:cs="Arial" w:eastAsia="Arial" w:hAnsi="Arial"/>
                <w:sz w:val="14"/>
                <w:szCs w:val="14"/>
                <w:color w:val="auto"/>
              </w:rPr>
              <w:t>Investment securities</w:t>
            </w:r>
          </w:p>
        </w:tc>
        <w:tc>
          <w:tcPr>
            <w:tcW w:w="20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color w:val="auto"/>
              </w:rPr>
              <w:t>7,251,598</w:t>
            </w:r>
          </w:p>
        </w:tc>
        <w:tc>
          <w:tcPr>
            <w:tcW w:w="240" w:type="dxa"/>
            <w:vAlign w:val="bottom"/>
          </w:tcPr>
          <w:p>
            <w:pPr>
              <w:spacing w:after="0"/>
              <w:rPr>
                <w:sz w:val="14"/>
                <w:szCs w:val="14"/>
                <w:color w:val="auto"/>
              </w:rPr>
            </w:pPr>
          </w:p>
        </w:tc>
        <w:tc>
          <w:tcPr>
            <w:tcW w:w="1140" w:type="dxa"/>
            <w:vAlign w:val="bottom"/>
            <w:gridSpan w:val="2"/>
          </w:tcPr>
          <w:p>
            <w:pPr>
              <w:jc w:val="right"/>
              <w:ind w:right="333"/>
              <w:spacing w:after="0"/>
              <w:rPr>
                <w:sz w:val="20"/>
                <w:szCs w:val="20"/>
                <w:color w:val="auto"/>
              </w:rPr>
            </w:pPr>
            <w:r>
              <w:rPr>
                <w:rFonts w:ascii="Arial" w:cs="Arial" w:eastAsia="Arial" w:hAnsi="Arial"/>
                <w:sz w:val="14"/>
                <w:szCs w:val="14"/>
                <w:color w:val="auto"/>
              </w:rPr>
              <w:t>7,253,428</w:t>
            </w:r>
          </w:p>
        </w:tc>
        <w:tc>
          <w:tcPr>
            <w:tcW w:w="2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color w:val="auto"/>
              </w:rPr>
              <w:t>8,400,164</w:t>
            </w:r>
          </w:p>
        </w:tc>
        <w:tc>
          <w:tcPr>
            <w:tcW w:w="2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8,401,985</w:t>
            </w:r>
          </w:p>
        </w:tc>
      </w:tr>
      <w:tr>
        <w:trPr>
          <w:trHeight w:val="167"/>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Commercial loans and leases</w:t>
            </w:r>
          </w:p>
        </w:tc>
        <w:tc>
          <w:tcPr>
            <w:tcW w:w="2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11,666,299</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33"/>
              <w:spacing w:after="0"/>
              <w:rPr>
                <w:sz w:val="20"/>
                <w:szCs w:val="20"/>
                <w:color w:val="auto"/>
              </w:rPr>
            </w:pPr>
            <w:r>
              <w:rPr>
                <w:rFonts w:ascii="Arial" w:cs="Arial" w:eastAsia="Arial" w:hAnsi="Arial"/>
                <w:sz w:val="14"/>
                <w:szCs w:val="14"/>
                <w:color w:val="auto"/>
              </w:rPr>
              <w:t>11,634,244</w:t>
            </w: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10,920,152</w:t>
            </w: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10,901,618</w:t>
            </w:r>
          </w:p>
        </w:tc>
      </w:tr>
      <w:tr>
        <w:trPr>
          <w:trHeight w:val="167"/>
        </w:trPr>
        <w:tc>
          <w:tcPr>
            <w:tcW w:w="4700" w:type="dxa"/>
            <w:vAlign w:val="bottom"/>
          </w:tcPr>
          <w:p>
            <w:pPr>
              <w:ind w:left="140"/>
              <w:spacing w:after="0"/>
              <w:rPr>
                <w:sz w:val="20"/>
                <w:szCs w:val="20"/>
                <w:color w:val="auto"/>
              </w:rPr>
            </w:pPr>
            <w:r>
              <w:rPr>
                <w:rFonts w:ascii="Arial" w:cs="Arial" w:eastAsia="Arial" w:hAnsi="Arial"/>
                <w:sz w:val="14"/>
                <w:szCs w:val="14"/>
                <w:color w:val="auto"/>
              </w:rPr>
              <w:t>Commercial real estate loans</w:t>
            </w:r>
          </w:p>
        </w:tc>
        <w:tc>
          <w:tcPr>
            <w:tcW w:w="20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color w:val="auto"/>
              </w:rPr>
              <w:t>15,416,791</w:t>
            </w:r>
          </w:p>
        </w:tc>
        <w:tc>
          <w:tcPr>
            <w:tcW w:w="240" w:type="dxa"/>
            <w:vAlign w:val="bottom"/>
          </w:tcPr>
          <w:p>
            <w:pPr>
              <w:spacing w:after="0"/>
              <w:rPr>
                <w:sz w:val="14"/>
                <w:szCs w:val="14"/>
                <w:color w:val="auto"/>
              </w:rPr>
            </w:pPr>
          </w:p>
        </w:tc>
        <w:tc>
          <w:tcPr>
            <w:tcW w:w="1140" w:type="dxa"/>
            <w:vAlign w:val="bottom"/>
            <w:gridSpan w:val="2"/>
          </w:tcPr>
          <w:p>
            <w:pPr>
              <w:jc w:val="right"/>
              <w:ind w:right="333"/>
              <w:spacing w:after="0"/>
              <w:rPr>
                <w:sz w:val="20"/>
                <w:szCs w:val="20"/>
                <w:color w:val="auto"/>
              </w:rPr>
            </w:pPr>
            <w:r>
              <w:rPr>
                <w:rFonts w:ascii="Arial" w:cs="Arial" w:eastAsia="Arial" w:hAnsi="Arial"/>
                <w:sz w:val="14"/>
                <w:szCs w:val="14"/>
                <w:color w:val="auto"/>
              </w:rPr>
              <w:t>15,404,747</w:t>
            </w:r>
          </w:p>
        </w:tc>
        <w:tc>
          <w:tcPr>
            <w:tcW w:w="2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color w:val="auto"/>
              </w:rPr>
              <w:t>14,549,217</w:t>
            </w:r>
          </w:p>
        </w:tc>
        <w:tc>
          <w:tcPr>
            <w:tcW w:w="2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14,549,353</w:t>
            </w:r>
          </w:p>
        </w:tc>
      </w:tr>
      <w:tr>
        <w:trPr>
          <w:trHeight w:val="167"/>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Residential real estate loans</w:t>
            </w:r>
          </w:p>
        </w:tc>
        <w:tc>
          <w:tcPr>
            <w:tcW w:w="2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5,956,043</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33"/>
              <w:spacing w:after="0"/>
              <w:rPr>
                <w:sz w:val="20"/>
                <w:szCs w:val="20"/>
                <w:color w:val="auto"/>
              </w:rPr>
            </w:pPr>
            <w:r>
              <w:rPr>
                <w:rFonts w:ascii="Arial" w:cs="Arial" w:eastAsia="Arial" w:hAnsi="Arial"/>
                <w:sz w:val="14"/>
                <w:szCs w:val="14"/>
                <w:color w:val="auto"/>
              </w:rPr>
              <w:t>5,903,091</w:t>
            </w: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4,396,197</w:t>
            </w: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4,370,325</w:t>
            </w:r>
          </w:p>
        </w:tc>
      </w:tr>
      <w:tr>
        <w:trPr>
          <w:trHeight w:val="167"/>
        </w:trPr>
        <w:tc>
          <w:tcPr>
            <w:tcW w:w="4700" w:type="dxa"/>
            <w:vAlign w:val="bottom"/>
          </w:tcPr>
          <w:p>
            <w:pPr>
              <w:ind w:left="140"/>
              <w:spacing w:after="0"/>
              <w:rPr>
                <w:sz w:val="20"/>
                <w:szCs w:val="20"/>
                <w:color w:val="auto"/>
              </w:rPr>
            </w:pPr>
            <w:r>
              <w:rPr>
                <w:rFonts w:ascii="Arial" w:cs="Arial" w:eastAsia="Arial" w:hAnsi="Arial"/>
                <w:sz w:val="14"/>
                <w:szCs w:val="14"/>
                <w:color w:val="auto"/>
              </w:rPr>
              <w:t>Consumer loans and leases</w:t>
            </w:r>
          </w:p>
        </w:tc>
        <w:tc>
          <w:tcPr>
            <w:tcW w:w="20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color w:val="auto"/>
              </w:rPr>
              <w:t>9,908,164</w:t>
            </w:r>
          </w:p>
        </w:tc>
        <w:tc>
          <w:tcPr>
            <w:tcW w:w="240" w:type="dxa"/>
            <w:vAlign w:val="bottom"/>
          </w:tcPr>
          <w:p>
            <w:pPr>
              <w:spacing w:after="0"/>
              <w:rPr>
                <w:sz w:val="14"/>
                <w:szCs w:val="14"/>
                <w:color w:val="auto"/>
              </w:rPr>
            </w:pPr>
          </w:p>
        </w:tc>
        <w:tc>
          <w:tcPr>
            <w:tcW w:w="1140" w:type="dxa"/>
            <w:vAlign w:val="bottom"/>
            <w:gridSpan w:val="2"/>
          </w:tcPr>
          <w:p>
            <w:pPr>
              <w:jc w:val="right"/>
              <w:ind w:right="333"/>
              <w:spacing w:after="0"/>
              <w:rPr>
                <w:sz w:val="20"/>
                <w:szCs w:val="20"/>
                <w:color w:val="auto"/>
              </w:rPr>
            </w:pPr>
            <w:r>
              <w:rPr>
                <w:rFonts w:ascii="Arial" w:cs="Arial" w:eastAsia="Arial" w:hAnsi="Arial"/>
                <w:sz w:val="14"/>
                <w:szCs w:val="14"/>
                <w:color w:val="auto"/>
              </w:rPr>
              <w:t>9,835,625</w:t>
            </w:r>
          </w:p>
        </w:tc>
        <w:tc>
          <w:tcPr>
            <w:tcW w:w="2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color w:val="auto"/>
              </w:rPr>
              <w:t>10,465,079</w:t>
            </w:r>
          </w:p>
        </w:tc>
        <w:tc>
          <w:tcPr>
            <w:tcW w:w="2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10,371,249</w:t>
            </w:r>
          </w:p>
        </w:tc>
      </w:tr>
      <w:tr>
        <w:trPr>
          <w:trHeight w:val="167"/>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Allowance for credit losses</w:t>
            </w:r>
          </w:p>
        </w:tc>
        <w:tc>
          <w:tcPr>
            <w:tcW w:w="2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(649,948)</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93"/>
              <w:spacing w:after="0"/>
              <w:rPr>
                <w:sz w:val="20"/>
                <w:szCs w:val="20"/>
                <w:color w:val="auto"/>
              </w:rPr>
            </w:pPr>
            <w:r>
              <w:rPr>
                <w:rFonts w:ascii="Arial" w:cs="Arial" w:eastAsia="Arial" w:hAnsi="Arial"/>
                <w:sz w:val="14"/>
                <w:szCs w:val="14"/>
                <w:color w:val="auto"/>
              </w:rPr>
              <w:t>(649,948)</w:t>
            </w: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(637,663)</w:t>
            </w: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(637,663)</w:t>
            </w:r>
          </w:p>
        </w:tc>
      </w:tr>
      <w:tr>
        <w:trPr>
          <w:trHeight w:val="167"/>
        </w:trPr>
        <w:tc>
          <w:tcPr>
            <w:tcW w:w="4700" w:type="dxa"/>
            <w:vAlign w:val="bottom"/>
          </w:tcPr>
          <w:p>
            <w:pPr>
              <w:ind w:left="140"/>
              <w:spacing w:after="0"/>
              <w:rPr>
                <w:sz w:val="20"/>
                <w:szCs w:val="20"/>
                <w:color w:val="auto"/>
              </w:rPr>
            </w:pPr>
            <w:r>
              <w:rPr>
                <w:rFonts w:ascii="Arial" w:cs="Arial" w:eastAsia="Arial" w:hAnsi="Arial"/>
                <w:sz w:val="14"/>
                <w:szCs w:val="14"/>
                <w:color w:val="auto"/>
              </w:rPr>
              <w:t>Accrued interest receivable</w:t>
            </w:r>
          </w:p>
        </w:tc>
        <w:tc>
          <w:tcPr>
            <w:tcW w:w="20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color w:val="auto"/>
              </w:rPr>
              <w:t>282,056</w:t>
            </w:r>
          </w:p>
        </w:tc>
        <w:tc>
          <w:tcPr>
            <w:tcW w:w="240" w:type="dxa"/>
            <w:vAlign w:val="bottom"/>
          </w:tcPr>
          <w:p>
            <w:pPr>
              <w:spacing w:after="0"/>
              <w:rPr>
                <w:sz w:val="14"/>
                <w:szCs w:val="14"/>
                <w:color w:val="auto"/>
              </w:rPr>
            </w:pPr>
          </w:p>
        </w:tc>
        <w:tc>
          <w:tcPr>
            <w:tcW w:w="1140" w:type="dxa"/>
            <w:vAlign w:val="bottom"/>
            <w:gridSpan w:val="2"/>
          </w:tcPr>
          <w:p>
            <w:pPr>
              <w:jc w:val="right"/>
              <w:ind w:right="333"/>
              <w:spacing w:after="0"/>
              <w:rPr>
                <w:sz w:val="20"/>
                <w:szCs w:val="20"/>
                <w:color w:val="auto"/>
              </w:rPr>
            </w:pPr>
            <w:r>
              <w:rPr>
                <w:rFonts w:ascii="Arial" w:cs="Arial" w:eastAsia="Arial" w:hAnsi="Arial"/>
                <w:sz w:val="14"/>
                <w:szCs w:val="14"/>
                <w:color w:val="auto"/>
              </w:rPr>
              <w:t>282,056</w:t>
            </w:r>
          </w:p>
        </w:tc>
        <w:tc>
          <w:tcPr>
            <w:tcW w:w="2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color w:val="auto"/>
              </w:rPr>
              <w:t>240,484</w:t>
            </w:r>
          </w:p>
        </w:tc>
        <w:tc>
          <w:tcPr>
            <w:tcW w:w="24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240,484</w:t>
            </w:r>
          </w:p>
        </w:tc>
      </w:tr>
      <w:tr>
        <w:trPr>
          <w:trHeight w:val="167"/>
        </w:trPr>
        <w:tc>
          <w:tcPr>
            <w:tcW w:w="4700" w:type="dxa"/>
            <w:vAlign w:val="bottom"/>
            <w:shd w:val="clear" w:color="auto" w:fill="CCEEFF"/>
          </w:tcPr>
          <w:p>
            <w:pPr>
              <w:spacing w:after="0"/>
              <w:rPr>
                <w:sz w:val="20"/>
                <w:szCs w:val="20"/>
                <w:color w:val="auto"/>
              </w:rPr>
            </w:pPr>
            <w:r>
              <w:rPr>
                <w:rFonts w:ascii="Arial" w:cs="Arial" w:eastAsia="Arial" w:hAnsi="Arial"/>
                <w:sz w:val="14"/>
                <w:szCs w:val="14"/>
                <w:color w:val="auto"/>
              </w:rPr>
              <w:t>Financial liabilities:</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7"/>
        </w:trPr>
        <w:tc>
          <w:tcPr>
            <w:tcW w:w="4700" w:type="dxa"/>
            <w:vAlign w:val="bottom"/>
          </w:tcPr>
          <w:p>
            <w:pPr>
              <w:ind w:left="140"/>
              <w:spacing w:after="0"/>
              <w:rPr>
                <w:sz w:val="20"/>
                <w:szCs w:val="20"/>
                <w:color w:val="auto"/>
              </w:rPr>
            </w:pPr>
            <w:r>
              <w:rPr>
                <w:rFonts w:ascii="Arial" w:cs="Arial" w:eastAsia="Arial" w:hAnsi="Arial"/>
                <w:sz w:val="14"/>
                <w:szCs w:val="14"/>
                <w:color w:val="auto"/>
              </w:rPr>
              <w:t>Noninterest-bearing deposits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360"/>
              <w:spacing w:after="0"/>
              <w:rPr>
                <w:sz w:val="20"/>
                <w:szCs w:val="20"/>
                <w:color w:val="auto"/>
              </w:rPr>
            </w:pPr>
            <w:r>
              <w:rPr>
                <w:rFonts w:ascii="Arial" w:cs="Arial" w:eastAsia="Arial" w:hAnsi="Arial"/>
                <w:sz w:val="14"/>
                <w:szCs w:val="14"/>
                <w:color w:val="auto"/>
              </w:rPr>
              <w:t>(7,879,977)</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93"/>
              <w:spacing w:after="0"/>
              <w:rPr>
                <w:sz w:val="20"/>
                <w:szCs w:val="20"/>
                <w:color w:val="auto"/>
              </w:rPr>
            </w:pPr>
            <w:r>
              <w:rPr>
                <w:rFonts w:ascii="Arial" w:cs="Arial" w:eastAsia="Arial" w:hAnsi="Arial"/>
                <w:sz w:val="14"/>
                <w:szCs w:val="14"/>
                <w:color w:val="auto"/>
              </w:rPr>
              <w:t>(7,879,977)</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(8,141,928)</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(8,141,928)</w:t>
            </w:r>
          </w:p>
        </w:tc>
      </w:tr>
      <w:tr>
        <w:trPr>
          <w:trHeight w:val="167"/>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Savings deposits and NOW accounts</w:t>
            </w:r>
          </w:p>
        </w:tc>
        <w:tc>
          <w:tcPr>
            <w:tcW w:w="2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(15,110,229)</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93"/>
              <w:spacing w:after="0"/>
              <w:rPr>
                <w:sz w:val="20"/>
                <w:szCs w:val="20"/>
                <w:color w:val="auto"/>
              </w:rPr>
            </w:pPr>
            <w:r>
              <w:rPr>
                <w:rFonts w:ascii="Arial" w:cs="Arial" w:eastAsia="Arial" w:hAnsi="Arial"/>
                <w:sz w:val="14"/>
                <w:szCs w:val="14"/>
                <w:color w:val="auto"/>
                <w:w w:val="98"/>
              </w:rPr>
              <w:t>(15,110,229)</w:t>
            </w: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(14,741,088)</w:t>
            </w: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8"/>
              </w:rPr>
              <w:t>(14,741,088)</w:t>
            </w:r>
          </w:p>
        </w:tc>
      </w:tr>
      <w:tr>
        <w:trPr>
          <w:trHeight w:val="167"/>
        </w:trPr>
        <w:tc>
          <w:tcPr>
            <w:tcW w:w="4700" w:type="dxa"/>
            <w:vAlign w:val="bottom"/>
          </w:tcPr>
          <w:p>
            <w:pPr>
              <w:ind w:left="140"/>
              <w:spacing w:after="0"/>
              <w:rPr>
                <w:sz w:val="20"/>
                <w:szCs w:val="20"/>
                <w:color w:val="auto"/>
              </w:rPr>
            </w:pPr>
            <w:r>
              <w:rPr>
                <w:rFonts w:ascii="Arial" w:cs="Arial" w:eastAsia="Arial" w:hAnsi="Arial"/>
                <w:sz w:val="14"/>
                <w:szCs w:val="14"/>
                <w:color w:val="auto"/>
              </w:rPr>
              <w:t>Time deposits</w:t>
            </w:r>
          </w:p>
        </w:tc>
        <w:tc>
          <w:tcPr>
            <w:tcW w:w="20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color w:val="auto"/>
              </w:rPr>
              <w:t>(11,490,629)</w:t>
            </w:r>
          </w:p>
        </w:tc>
        <w:tc>
          <w:tcPr>
            <w:tcW w:w="240" w:type="dxa"/>
            <w:vAlign w:val="bottom"/>
          </w:tcPr>
          <w:p>
            <w:pPr>
              <w:spacing w:after="0"/>
              <w:rPr>
                <w:sz w:val="14"/>
                <w:szCs w:val="14"/>
                <w:color w:val="auto"/>
              </w:rPr>
            </w:pPr>
          </w:p>
        </w:tc>
        <w:tc>
          <w:tcPr>
            <w:tcW w:w="1140" w:type="dxa"/>
            <w:vAlign w:val="bottom"/>
            <w:gridSpan w:val="2"/>
          </w:tcPr>
          <w:p>
            <w:pPr>
              <w:jc w:val="right"/>
              <w:ind w:right="293"/>
              <w:spacing w:after="0"/>
              <w:rPr>
                <w:sz w:val="20"/>
                <w:szCs w:val="20"/>
                <w:color w:val="auto"/>
              </w:rPr>
            </w:pPr>
            <w:r>
              <w:rPr>
                <w:rFonts w:ascii="Arial" w:cs="Arial" w:eastAsia="Arial" w:hAnsi="Arial"/>
                <w:sz w:val="14"/>
                <w:szCs w:val="14"/>
                <w:color w:val="auto"/>
                <w:w w:val="98"/>
              </w:rPr>
              <w:t>(11,512,421)</w:t>
            </w:r>
          </w:p>
        </w:tc>
        <w:tc>
          <w:tcPr>
            <w:tcW w:w="20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(11,407,626)</w:t>
            </w:r>
          </w:p>
        </w:tc>
        <w:tc>
          <w:tcPr>
            <w:tcW w:w="24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w w:val="98"/>
              </w:rPr>
              <w:t>(11,425,903)</w:t>
            </w:r>
          </w:p>
        </w:tc>
      </w:tr>
      <w:tr>
        <w:trPr>
          <w:trHeight w:val="167"/>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Deposits at foreign office</w:t>
            </w:r>
          </w:p>
        </w:tc>
        <w:tc>
          <w:tcPr>
            <w:tcW w:w="2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(5,429,668)</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93"/>
              <w:spacing w:after="0"/>
              <w:rPr>
                <w:sz w:val="20"/>
                <w:szCs w:val="20"/>
                <w:color w:val="auto"/>
              </w:rPr>
            </w:pPr>
            <w:r>
              <w:rPr>
                <w:rFonts w:ascii="Arial" w:cs="Arial" w:eastAsia="Arial" w:hAnsi="Arial"/>
                <w:sz w:val="14"/>
                <w:szCs w:val="14"/>
                <w:color w:val="auto"/>
              </w:rPr>
              <w:t>(5,429,668)</w:t>
            </w: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(2,809,532)</w:t>
            </w: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(2,809,532)</w:t>
            </w:r>
          </w:p>
        </w:tc>
      </w:tr>
      <w:tr>
        <w:trPr>
          <w:trHeight w:val="167"/>
        </w:trPr>
        <w:tc>
          <w:tcPr>
            <w:tcW w:w="4700" w:type="dxa"/>
            <w:vAlign w:val="bottom"/>
          </w:tcPr>
          <w:p>
            <w:pPr>
              <w:ind w:left="140"/>
              <w:spacing w:after="0"/>
              <w:rPr>
                <w:sz w:val="20"/>
                <w:szCs w:val="20"/>
                <w:color w:val="auto"/>
              </w:rPr>
            </w:pPr>
            <w:r>
              <w:rPr>
                <w:rFonts w:ascii="Arial" w:cs="Arial" w:eastAsia="Arial" w:hAnsi="Arial"/>
                <w:sz w:val="14"/>
                <w:szCs w:val="14"/>
                <w:color w:val="auto"/>
              </w:rPr>
              <w:t>Short-term borrowings</w:t>
            </w:r>
          </w:p>
        </w:tc>
        <w:tc>
          <w:tcPr>
            <w:tcW w:w="20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color w:val="auto"/>
              </w:rPr>
              <w:t>(3,094,214)</w:t>
            </w:r>
          </w:p>
        </w:tc>
        <w:tc>
          <w:tcPr>
            <w:tcW w:w="240" w:type="dxa"/>
            <w:vAlign w:val="bottom"/>
          </w:tcPr>
          <w:p>
            <w:pPr>
              <w:spacing w:after="0"/>
              <w:rPr>
                <w:sz w:val="14"/>
                <w:szCs w:val="14"/>
                <w:color w:val="auto"/>
              </w:rPr>
            </w:pPr>
          </w:p>
        </w:tc>
        <w:tc>
          <w:tcPr>
            <w:tcW w:w="1140" w:type="dxa"/>
            <w:vAlign w:val="bottom"/>
            <w:gridSpan w:val="2"/>
          </w:tcPr>
          <w:p>
            <w:pPr>
              <w:jc w:val="right"/>
              <w:ind w:right="293"/>
              <w:spacing w:after="0"/>
              <w:rPr>
                <w:sz w:val="20"/>
                <w:szCs w:val="20"/>
                <w:color w:val="auto"/>
              </w:rPr>
            </w:pPr>
            <w:r>
              <w:rPr>
                <w:rFonts w:ascii="Arial" w:cs="Arial" w:eastAsia="Arial" w:hAnsi="Arial"/>
                <w:sz w:val="14"/>
                <w:szCs w:val="14"/>
                <w:color w:val="auto"/>
              </w:rPr>
              <w:t>(3,094,214)</w:t>
            </w:r>
          </w:p>
        </w:tc>
        <w:tc>
          <w:tcPr>
            <w:tcW w:w="20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(5,152,872)</w:t>
            </w:r>
          </w:p>
        </w:tc>
        <w:tc>
          <w:tcPr>
            <w:tcW w:w="24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(5,152,872)</w:t>
            </w:r>
          </w:p>
        </w:tc>
      </w:tr>
      <w:tr>
        <w:trPr>
          <w:trHeight w:val="167"/>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Long-term borrowings</w:t>
            </w:r>
          </w:p>
        </w:tc>
        <w:tc>
          <w:tcPr>
            <w:tcW w:w="2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(6,890,741)</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93"/>
              <w:spacing w:after="0"/>
              <w:rPr>
                <w:sz w:val="20"/>
                <w:szCs w:val="20"/>
                <w:color w:val="auto"/>
              </w:rPr>
            </w:pPr>
            <w:r>
              <w:rPr>
                <w:rFonts w:ascii="Arial" w:cs="Arial" w:eastAsia="Arial" w:hAnsi="Arial"/>
                <w:sz w:val="14"/>
                <w:szCs w:val="14"/>
                <w:color w:val="auto"/>
              </w:rPr>
              <w:t>(6,939,549)</w:t>
            </w: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(6,196,994)</w:t>
            </w: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(6,251,924)</w:t>
            </w:r>
          </w:p>
        </w:tc>
      </w:tr>
      <w:tr>
        <w:trPr>
          <w:trHeight w:val="167"/>
        </w:trPr>
        <w:tc>
          <w:tcPr>
            <w:tcW w:w="4700" w:type="dxa"/>
            <w:vAlign w:val="bottom"/>
          </w:tcPr>
          <w:p>
            <w:pPr>
              <w:ind w:left="140"/>
              <w:spacing w:after="0"/>
              <w:rPr>
                <w:sz w:val="20"/>
                <w:szCs w:val="20"/>
                <w:color w:val="auto"/>
              </w:rPr>
            </w:pPr>
            <w:r>
              <w:rPr>
                <w:rFonts w:ascii="Arial" w:cs="Arial" w:eastAsia="Arial" w:hAnsi="Arial"/>
                <w:sz w:val="14"/>
                <w:szCs w:val="14"/>
                <w:color w:val="auto"/>
              </w:rPr>
              <w:t>Accrued interest payable</w:t>
            </w:r>
          </w:p>
        </w:tc>
        <w:tc>
          <w:tcPr>
            <w:tcW w:w="20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color w:val="auto"/>
              </w:rPr>
              <w:t>(193,009)</w:t>
            </w:r>
          </w:p>
        </w:tc>
        <w:tc>
          <w:tcPr>
            <w:tcW w:w="240" w:type="dxa"/>
            <w:vAlign w:val="bottom"/>
          </w:tcPr>
          <w:p>
            <w:pPr>
              <w:spacing w:after="0"/>
              <w:rPr>
                <w:sz w:val="14"/>
                <w:szCs w:val="14"/>
                <w:color w:val="auto"/>
              </w:rPr>
            </w:pPr>
          </w:p>
        </w:tc>
        <w:tc>
          <w:tcPr>
            <w:tcW w:w="1140" w:type="dxa"/>
            <w:vAlign w:val="bottom"/>
            <w:gridSpan w:val="2"/>
          </w:tcPr>
          <w:p>
            <w:pPr>
              <w:jc w:val="right"/>
              <w:ind w:right="293"/>
              <w:spacing w:after="0"/>
              <w:rPr>
                <w:sz w:val="20"/>
                <w:szCs w:val="20"/>
                <w:color w:val="auto"/>
              </w:rPr>
            </w:pPr>
            <w:r>
              <w:rPr>
                <w:rFonts w:ascii="Arial" w:cs="Arial" w:eastAsia="Arial" w:hAnsi="Arial"/>
                <w:sz w:val="14"/>
                <w:szCs w:val="14"/>
                <w:color w:val="auto"/>
              </w:rPr>
              <w:t>(193,009)</w:t>
            </w:r>
          </w:p>
        </w:tc>
        <w:tc>
          <w:tcPr>
            <w:tcW w:w="20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(132,027)</w:t>
            </w:r>
          </w:p>
        </w:tc>
        <w:tc>
          <w:tcPr>
            <w:tcW w:w="24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(132,027)</w:t>
            </w:r>
          </w:p>
        </w:tc>
      </w:tr>
      <w:tr>
        <w:trPr>
          <w:trHeight w:val="167"/>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Trading account liabilities</w:t>
            </w:r>
          </w:p>
        </w:tc>
        <w:tc>
          <w:tcPr>
            <w:tcW w:w="2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(65,265)</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93"/>
              <w:spacing w:after="0"/>
              <w:rPr>
                <w:sz w:val="20"/>
                <w:szCs w:val="20"/>
                <w:color w:val="auto"/>
              </w:rPr>
            </w:pPr>
            <w:r>
              <w:rPr>
                <w:rFonts w:ascii="Arial" w:cs="Arial" w:eastAsia="Arial" w:hAnsi="Arial"/>
                <w:sz w:val="14"/>
                <w:szCs w:val="14"/>
                <w:color w:val="auto"/>
              </w:rPr>
              <w:t>(65,265)</w:t>
            </w: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(76,896)</w:t>
            </w: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(76,896)</w:t>
            </w:r>
          </w:p>
        </w:tc>
      </w:tr>
      <w:tr>
        <w:trPr>
          <w:trHeight w:val="167"/>
        </w:trPr>
        <w:tc>
          <w:tcPr>
            <w:tcW w:w="4700" w:type="dxa"/>
            <w:vAlign w:val="bottom"/>
          </w:tcPr>
          <w:p>
            <w:pPr>
              <w:spacing w:after="0"/>
              <w:rPr>
                <w:sz w:val="20"/>
                <w:szCs w:val="20"/>
                <w:color w:val="auto"/>
              </w:rPr>
            </w:pPr>
            <w:r>
              <w:rPr>
                <w:rFonts w:ascii="Arial" w:cs="Arial" w:eastAsia="Arial" w:hAnsi="Arial"/>
                <w:sz w:val="14"/>
                <w:szCs w:val="14"/>
                <w:color w:val="auto"/>
              </w:rPr>
              <w:t>Other financial instruments:</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Commitments to originate real estate loans for sale</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3,095</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333"/>
              <w:spacing w:after="0"/>
              <w:rPr>
                <w:sz w:val="20"/>
                <w:szCs w:val="20"/>
                <w:color w:val="auto"/>
              </w:rPr>
            </w:pPr>
            <w:r>
              <w:rPr>
                <w:rFonts w:ascii="Arial" w:cs="Arial" w:eastAsia="Arial" w:hAnsi="Arial"/>
                <w:sz w:val="14"/>
                <w:szCs w:val="14"/>
                <w:color w:val="auto"/>
              </w:rPr>
              <w:t>3,095</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1,813</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1,813</w:t>
            </w:r>
          </w:p>
        </w:tc>
      </w:tr>
      <w:tr>
        <w:trPr>
          <w:trHeight w:val="167"/>
        </w:trPr>
        <w:tc>
          <w:tcPr>
            <w:tcW w:w="4700" w:type="dxa"/>
            <w:vAlign w:val="bottom"/>
          </w:tcPr>
          <w:p>
            <w:pPr>
              <w:ind w:left="140"/>
              <w:spacing w:after="0"/>
              <w:rPr>
                <w:sz w:val="20"/>
                <w:szCs w:val="20"/>
                <w:color w:val="auto"/>
              </w:rPr>
            </w:pPr>
            <w:r>
              <w:rPr>
                <w:rFonts w:ascii="Arial" w:cs="Arial" w:eastAsia="Arial" w:hAnsi="Arial"/>
                <w:sz w:val="14"/>
                <w:szCs w:val="14"/>
                <w:color w:val="auto"/>
              </w:rPr>
              <w:t>Commitments to sell real estate loans</w:t>
            </w:r>
          </w:p>
        </w:tc>
        <w:tc>
          <w:tcPr>
            <w:tcW w:w="20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color w:val="auto"/>
              </w:rPr>
              <w:t>(16,293)</w:t>
            </w:r>
          </w:p>
        </w:tc>
        <w:tc>
          <w:tcPr>
            <w:tcW w:w="240" w:type="dxa"/>
            <w:vAlign w:val="bottom"/>
          </w:tcPr>
          <w:p>
            <w:pPr>
              <w:spacing w:after="0"/>
              <w:rPr>
                <w:sz w:val="14"/>
                <w:szCs w:val="14"/>
                <w:color w:val="auto"/>
              </w:rPr>
            </w:pPr>
          </w:p>
        </w:tc>
        <w:tc>
          <w:tcPr>
            <w:tcW w:w="1140" w:type="dxa"/>
            <w:vAlign w:val="bottom"/>
            <w:gridSpan w:val="2"/>
          </w:tcPr>
          <w:p>
            <w:pPr>
              <w:jc w:val="right"/>
              <w:ind w:right="293"/>
              <w:spacing w:after="0"/>
              <w:rPr>
                <w:sz w:val="20"/>
                <w:szCs w:val="20"/>
                <w:color w:val="auto"/>
              </w:rPr>
            </w:pPr>
            <w:r>
              <w:rPr>
                <w:rFonts w:ascii="Arial" w:cs="Arial" w:eastAsia="Arial" w:hAnsi="Arial"/>
                <w:sz w:val="14"/>
                <w:szCs w:val="14"/>
                <w:color w:val="auto"/>
              </w:rPr>
              <w:t>(16,293)</w:t>
            </w:r>
          </w:p>
        </w:tc>
        <w:tc>
          <w:tcPr>
            <w:tcW w:w="20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(6,274)</w:t>
            </w:r>
          </w:p>
        </w:tc>
        <w:tc>
          <w:tcPr>
            <w:tcW w:w="24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(6,274)</w:t>
            </w:r>
          </w:p>
        </w:tc>
      </w:tr>
      <w:tr>
        <w:trPr>
          <w:trHeight w:val="167"/>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credit-related commitments</w:t>
            </w:r>
          </w:p>
        </w:tc>
        <w:tc>
          <w:tcPr>
            <w:tcW w:w="2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(44,189)</w:t>
            </w:r>
          </w:p>
        </w:tc>
        <w:tc>
          <w:tcPr>
            <w:tcW w:w="2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293"/>
              <w:spacing w:after="0"/>
              <w:rPr>
                <w:sz w:val="20"/>
                <w:szCs w:val="20"/>
                <w:color w:val="auto"/>
              </w:rPr>
            </w:pPr>
            <w:r>
              <w:rPr>
                <w:rFonts w:ascii="Arial" w:cs="Arial" w:eastAsia="Arial" w:hAnsi="Arial"/>
                <w:sz w:val="14"/>
                <w:szCs w:val="14"/>
                <w:color w:val="auto"/>
              </w:rPr>
              <w:t>(44,189)</w:t>
            </w:r>
          </w:p>
        </w:tc>
        <w:tc>
          <w:tcPr>
            <w:tcW w:w="2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(43,249)</w:t>
            </w:r>
          </w:p>
        </w:tc>
        <w:tc>
          <w:tcPr>
            <w:tcW w:w="2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(43,249)</w:t>
            </w:r>
          </w:p>
        </w:tc>
      </w:tr>
      <w:tr>
        <w:trPr>
          <w:trHeight w:val="182"/>
        </w:trPr>
        <w:tc>
          <w:tcPr>
            <w:tcW w:w="4700" w:type="dxa"/>
            <w:vAlign w:val="bottom"/>
          </w:tcPr>
          <w:p>
            <w:pPr>
              <w:ind w:left="140"/>
              <w:spacing w:after="0"/>
              <w:rPr>
                <w:sz w:val="20"/>
                <w:szCs w:val="20"/>
                <w:color w:val="auto"/>
              </w:rPr>
            </w:pPr>
            <w:r>
              <w:rPr>
                <w:rFonts w:ascii="Arial" w:cs="Arial" w:eastAsia="Arial" w:hAnsi="Arial"/>
                <w:sz w:val="14"/>
                <w:szCs w:val="14"/>
                <w:color w:val="auto"/>
              </w:rPr>
              <w:t>Interest rate swap agreements used for interest rate risk management</w:t>
            </w:r>
          </w:p>
        </w:tc>
        <w:tc>
          <w:tcPr>
            <w:tcW w:w="200" w:type="dxa"/>
            <w:vAlign w:val="bottom"/>
          </w:tcPr>
          <w:p>
            <w:pPr>
              <w:spacing w:after="0"/>
              <w:rPr>
                <w:sz w:val="15"/>
                <w:szCs w:val="15"/>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color w:val="auto"/>
              </w:rPr>
              <w:t>(15,005)</w:t>
            </w:r>
          </w:p>
        </w:tc>
        <w:tc>
          <w:tcPr>
            <w:tcW w:w="240" w:type="dxa"/>
            <w:vAlign w:val="bottom"/>
          </w:tcPr>
          <w:p>
            <w:pPr>
              <w:spacing w:after="0"/>
              <w:rPr>
                <w:sz w:val="15"/>
                <w:szCs w:val="15"/>
                <w:color w:val="auto"/>
              </w:rPr>
            </w:pPr>
          </w:p>
        </w:tc>
        <w:tc>
          <w:tcPr>
            <w:tcW w:w="1140" w:type="dxa"/>
            <w:vAlign w:val="bottom"/>
            <w:gridSpan w:val="2"/>
          </w:tcPr>
          <w:p>
            <w:pPr>
              <w:jc w:val="right"/>
              <w:ind w:right="293"/>
              <w:spacing w:after="0"/>
              <w:rPr>
                <w:sz w:val="20"/>
                <w:szCs w:val="20"/>
                <w:color w:val="auto"/>
              </w:rPr>
            </w:pPr>
            <w:r>
              <w:rPr>
                <w:rFonts w:ascii="Arial" w:cs="Arial" w:eastAsia="Arial" w:hAnsi="Arial"/>
                <w:sz w:val="14"/>
                <w:szCs w:val="14"/>
                <w:color w:val="auto"/>
              </w:rPr>
              <w:t>(15,005)</w:t>
            </w:r>
          </w:p>
        </w:tc>
        <w:tc>
          <w:tcPr>
            <w:tcW w:w="200" w:type="dxa"/>
            <w:vAlign w:val="bottom"/>
          </w:tcPr>
          <w:p>
            <w:pPr>
              <w:spacing w:after="0"/>
              <w:rPr>
                <w:sz w:val="15"/>
                <w:szCs w:val="15"/>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(8,848)</w:t>
            </w:r>
          </w:p>
        </w:tc>
        <w:tc>
          <w:tcPr>
            <w:tcW w:w="24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(8,848)</w:t>
            </w:r>
          </w:p>
        </w:tc>
      </w:tr>
    </w:tbl>
    <w:p>
      <w:pPr>
        <w:spacing w:after="0" w:line="61" w:lineRule="exact"/>
        <w:rPr>
          <w:sz w:val="20"/>
          <w:szCs w:val="20"/>
          <w:color w:val="auto"/>
        </w:rPr>
      </w:pPr>
    </w:p>
    <w:p>
      <w:pPr>
        <w:jc w:val="center"/>
        <w:ind w:right="800"/>
        <w:spacing w:after="0"/>
        <w:rPr>
          <w:sz w:val="20"/>
          <w:szCs w:val="20"/>
          <w:color w:val="auto"/>
        </w:rPr>
      </w:pPr>
      <w:r>
        <w:rPr>
          <w:rFonts w:ascii="Arial" w:cs="Arial" w:eastAsia="Arial" w:hAnsi="Arial"/>
          <w:sz w:val="14"/>
          <w:szCs w:val="14"/>
          <w:color w:val="auto"/>
        </w:rPr>
        <w:t>The following assumptions and methods or calculations were used in determining the disclosed value of financial instruments.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Cash and cash equivalents, interest-bearing deposits at banks, short-term borrowings, accrued interest receivable and accrued interest payable</w:t>
      </w:r>
    </w:p>
    <w:p>
      <w:pPr>
        <w:spacing w:after="0" w:line="18" w:lineRule="exact"/>
        <w:rPr>
          <w:sz w:val="20"/>
          <w:szCs w:val="20"/>
          <w:color w:val="auto"/>
        </w:rPr>
      </w:pPr>
    </w:p>
    <w:p>
      <w:pPr>
        <w:ind w:left="680" w:right="220"/>
        <w:spacing w:after="0" w:line="263" w:lineRule="auto"/>
        <w:rPr>
          <w:sz w:val="20"/>
          <w:szCs w:val="20"/>
          <w:color w:val="auto"/>
        </w:rPr>
      </w:pPr>
      <w:r>
        <w:rPr>
          <w:rFonts w:ascii="Arial" w:cs="Arial" w:eastAsia="Arial" w:hAnsi="Arial"/>
          <w:sz w:val="14"/>
          <w:szCs w:val="14"/>
          <w:color w:val="auto"/>
        </w:rPr>
        <w:t>Due to the nature of cash and cash equivalents and the near maturity of interest-bearing deposits at banks, short-term borrowings, accrued interest receivable and accrued interest payable, the Company estimated that the carrying amount of such instruments approximated estimated fair value.</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Trading account assets and liabilities</w:t>
      </w:r>
    </w:p>
    <w:p>
      <w:pPr>
        <w:spacing w:after="0" w:line="18" w:lineRule="exact"/>
        <w:rPr>
          <w:sz w:val="20"/>
          <w:szCs w:val="20"/>
          <w:color w:val="auto"/>
        </w:rPr>
      </w:pPr>
    </w:p>
    <w:p>
      <w:pPr>
        <w:ind w:left="680" w:right="440"/>
        <w:spacing w:after="0" w:line="263" w:lineRule="auto"/>
        <w:rPr>
          <w:sz w:val="20"/>
          <w:szCs w:val="20"/>
          <w:color w:val="auto"/>
        </w:rPr>
      </w:pPr>
      <w:r>
        <w:rPr>
          <w:rFonts w:ascii="Arial" w:cs="Arial" w:eastAsia="Arial" w:hAnsi="Arial"/>
          <w:sz w:val="14"/>
          <w:szCs w:val="14"/>
          <w:color w:val="auto"/>
        </w:rPr>
        <w:t>Trading account assets and liabilities are carried in the consolidated balance sheet at estimated fair value which, in general, is based on quoted market prices. Trading account liabilities are included in other liabilities in the consolidated balance sheet.</w:t>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0" w:name="page121"/>
    <w:bookmarkEnd w:id="1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66"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Agreements to resell securities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The amounts assigned to agreements to resell securities were based on discounted calculations of projected cash flows.</w:t>
      </w:r>
    </w:p>
    <w:p>
      <w:pPr>
        <w:spacing w:after="0" w:line="161"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Investment securities</w:t>
      </w:r>
    </w:p>
    <w:p>
      <w:pPr>
        <w:spacing w:after="0" w:line="18" w:lineRule="exact"/>
        <w:rPr>
          <w:sz w:val="20"/>
          <w:szCs w:val="20"/>
          <w:color w:val="auto"/>
        </w:rPr>
      </w:pPr>
    </w:p>
    <w:p>
      <w:pPr>
        <w:ind w:left="680" w:right="260"/>
        <w:spacing w:after="0" w:line="318" w:lineRule="auto"/>
        <w:rPr>
          <w:sz w:val="20"/>
          <w:szCs w:val="20"/>
          <w:color w:val="auto"/>
        </w:rPr>
      </w:pPr>
      <w:r>
        <w:rPr>
          <w:rFonts w:ascii="Arial" w:cs="Arial" w:eastAsia="Arial" w:hAnsi="Arial"/>
          <w:sz w:val="12"/>
          <w:szCs w:val="12"/>
          <w:color w:val="auto"/>
        </w:rPr>
        <w:t>Estimated fair values of investments in readily marketable debt and equity securities were based on quoted market prices. Investment securities that were not readily marketable were assigned amounts based on estimates provided by brokers, discounted calculations of projected cash flows or, in the case of other investment securities, which include capital stock of the Federal Reserve Bank of New York and the Federal Home Loan Bank of New York, at an amount equal to the carrying amount.</w:t>
      </w:r>
    </w:p>
    <w:p>
      <w:pPr>
        <w:spacing w:after="0" w:line="108"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Loans and leases</w:t>
      </w:r>
    </w:p>
    <w:p>
      <w:pPr>
        <w:spacing w:after="0" w:line="18" w:lineRule="exact"/>
        <w:rPr>
          <w:sz w:val="20"/>
          <w:szCs w:val="20"/>
          <w:color w:val="auto"/>
        </w:rPr>
      </w:pPr>
    </w:p>
    <w:p>
      <w:pPr>
        <w:ind w:left="680" w:right="240"/>
        <w:spacing w:after="0" w:line="253" w:lineRule="auto"/>
        <w:rPr>
          <w:sz w:val="20"/>
          <w:szCs w:val="20"/>
          <w:color w:val="auto"/>
        </w:rPr>
      </w:pPr>
      <w:r>
        <w:rPr>
          <w:rFonts w:ascii="Arial" w:cs="Arial" w:eastAsia="Arial" w:hAnsi="Arial"/>
          <w:sz w:val="14"/>
          <w:szCs w:val="14"/>
          <w:color w:val="auto"/>
        </w:rPr>
        <w:t>In general, discount rates used to calculate values for loan products were based on the Company’s pricing at the respective year end. A higher discount rate was assumed with respect to estimated cash flows associated with nonaccrual loans. The allowance for credit losses represents the Company’s assessment of the overall level of credit losses inherent in the portfolio as of the respective year end and may not be indicative of the credit-related discount that a purchaser of the Company’s loans and leases would seek.</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Deposits</w:t>
      </w:r>
    </w:p>
    <w:p>
      <w:pPr>
        <w:spacing w:after="0" w:line="18" w:lineRule="exact"/>
        <w:rPr>
          <w:sz w:val="20"/>
          <w:szCs w:val="20"/>
          <w:color w:val="auto"/>
        </w:rPr>
      </w:pPr>
    </w:p>
    <w:p>
      <w:pPr>
        <w:ind w:left="680"/>
        <w:spacing w:after="0" w:line="249" w:lineRule="auto"/>
        <w:rPr>
          <w:sz w:val="20"/>
          <w:szCs w:val="20"/>
          <w:color w:val="auto"/>
        </w:rPr>
      </w:pPr>
      <w:r>
        <w:rPr>
          <w:rFonts w:ascii="Arial" w:cs="Arial" w:eastAsia="Arial" w:hAnsi="Arial"/>
          <w:sz w:val="14"/>
          <w:szCs w:val="14"/>
          <w:color w:val="auto"/>
        </w:rPr>
        <w:t>SFAS No. 107 requires that the estimated fair value ascribed to noninterest-bearing deposits, savings deposits and NOW accounts be established at carrying value because of the customers’ ability to withdraw funds immediately. Time deposit accounts are required to be revalued based upon prevailing market interest rates for similar maturity instruments. As a result, amounts assigned to time deposits were based on discounted cash flow calculations using prevailing market interest rates for deposits with comparable remaining terms to maturity.</w:t>
      </w:r>
    </w:p>
    <w:p>
      <w:pPr>
        <w:ind w:left="680" w:right="140" w:firstLine="599"/>
        <w:spacing w:after="0" w:line="256" w:lineRule="auto"/>
        <w:rPr>
          <w:sz w:val="20"/>
          <w:szCs w:val="20"/>
          <w:color w:val="auto"/>
        </w:rPr>
      </w:pPr>
      <w:r>
        <w:rPr>
          <w:rFonts w:ascii="Arial" w:cs="Arial" w:eastAsia="Arial" w:hAnsi="Arial"/>
          <w:sz w:val="14"/>
          <w:szCs w:val="14"/>
          <w:color w:val="auto"/>
        </w:rPr>
        <w:t>The Company believes that deposit accounts have a value greater than that prescribed by SFAS No. 107. The Company feels, however, that the value associated with these deposits is greatly influenced by characteristics of the buyer, such as the ability to reduce the costs of servicing the deposits and deposit attrition which often occurs following an acquisition. Accordingly, estimating the fair value of deposits with any degree of certainty is not practical.</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Long-term borrowings</w:t>
      </w:r>
    </w:p>
    <w:p>
      <w:pPr>
        <w:spacing w:after="0" w:line="18" w:lineRule="exact"/>
        <w:rPr>
          <w:sz w:val="20"/>
          <w:szCs w:val="20"/>
          <w:color w:val="auto"/>
        </w:rPr>
      </w:pPr>
    </w:p>
    <w:p>
      <w:pPr>
        <w:ind w:left="680" w:right="200"/>
        <w:spacing w:after="0" w:line="263" w:lineRule="auto"/>
        <w:rPr>
          <w:sz w:val="20"/>
          <w:szCs w:val="20"/>
          <w:color w:val="auto"/>
        </w:rPr>
      </w:pPr>
      <w:r>
        <w:rPr>
          <w:rFonts w:ascii="Arial" w:cs="Arial" w:eastAsia="Arial" w:hAnsi="Arial"/>
          <w:sz w:val="14"/>
          <w:szCs w:val="14"/>
          <w:color w:val="auto"/>
        </w:rPr>
        <w:t>The amounts assigned to long-term borrowings were based on quoted market prices, when available, or were based on discounted cash flow calculations using prevailing market interest rates for borrowings of similar terms.</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Commitments to originate real estate loans for sale and commitments to sell real estate loans</w:t>
      </w:r>
    </w:p>
    <w:p>
      <w:pPr>
        <w:spacing w:after="0" w:line="18" w:lineRule="exact"/>
        <w:rPr>
          <w:sz w:val="20"/>
          <w:szCs w:val="20"/>
          <w:color w:val="auto"/>
        </w:rPr>
      </w:pPr>
    </w:p>
    <w:p>
      <w:pPr>
        <w:jc w:val="both"/>
        <w:ind w:left="680" w:right="140"/>
        <w:spacing w:after="0" w:line="253" w:lineRule="auto"/>
        <w:rPr>
          <w:sz w:val="20"/>
          <w:szCs w:val="20"/>
          <w:color w:val="auto"/>
        </w:rPr>
      </w:pPr>
      <w:r>
        <w:rPr>
          <w:rFonts w:ascii="Arial" w:cs="Arial" w:eastAsia="Arial" w:hAnsi="Arial"/>
          <w:sz w:val="14"/>
          <w:szCs w:val="14"/>
          <w:color w:val="auto"/>
        </w:rPr>
        <w:t>As described in note 17, the Company enters into various commitments to originate real estate loans for sale and commitments to sell real estate loans. Such commitments are considered to be derivative financial instruments and, therefore, are carried at estimated fair value on the consolidated balance sheet. The estimated fair values of such commitments were generally calculated by reference to quoted market prices for commitments to sell real estate loans to certain government-sponsored entities and other parties.</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Interest rate swap agreements used for interest rate risk management</w:t>
      </w:r>
    </w:p>
    <w:p>
      <w:pPr>
        <w:spacing w:after="0" w:line="18" w:lineRule="exact"/>
        <w:rPr>
          <w:sz w:val="20"/>
          <w:szCs w:val="20"/>
          <w:color w:val="auto"/>
        </w:rPr>
      </w:pPr>
    </w:p>
    <w:p>
      <w:pPr>
        <w:ind w:left="680" w:right="80"/>
        <w:spacing w:after="0" w:line="263" w:lineRule="auto"/>
        <w:rPr>
          <w:sz w:val="20"/>
          <w:szCs w:val="20"/>
          <w:color w:val="auto"/>
        </w:rPr>
      </w:pPr>
      <w:r>
        <w:rPr>
          <w:rFonts w:ascii="Arial" w:cs="Arial" w:eastAsia="Arial" w:hAnsi="Arial"/>
          <w:sz w:val="14"/>
          <w:szCs w:val="14"/>
          <w:color w:val="auto"/>
        </w:rPr>
        <w:t>The estimated fair value of interest rate swap agreements used for interest rate risk management represents the amount the Company would have expected to receive or pay to terminate such agreements.</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4"/>
          <w:szCs w:val="14"/>
          <w:b w:val="1"/>
          <w:bCs w:val="1"/>
          <w:i w:val="1"/>
          <w:iCs w:val="1"/>
          <w:color w:val="auto"/>
        </w:rPr>
        <w:t>Other commitments and contingencies</w:t>
      </w:r>
    </w:p>
    <w:p>
      <w:pPr>
        <w:spacing w:after="0" w:line="18" w:lineRule="exact"/>
        <w:rPr>
          <w:sz w:val="20"/>
          <w:szCs w:val="20"/>
          <w:color w:val="auto"/>
        </w:rPr>
      </w:pPr>
    </w:p>
    <w:p>
      <w:pPr>
        <w:ind w:left="680" w:right="100"/>
        <w:spacing w:after="0" w:line="263" w:lineRule="auto"/>
        <w:rPr>
          <w:sz w:val="20"/>
          <w:szCs w:val="20"/>
          <w:color w:val="auto"/>
        </w:rPr>
      </w:pPr>
      <w:r>
        <w:rPr>
          <w:rFonts w:ascii="Arial" w:cs="Arial" w:eastAsia="Arial" w:hAnsi="Arial"/>
          <w:sz w:val="14"/>
          <w:szCs w:val="14"/>
          <w:color w:val="auto"/>
        </w:rPr>
        <w:t>As described in note 20, in the normal course of business, various commitments and contingent liabilities are outstanding, such as loan commitments, credit guarantees and letters of credit. The Company’s pricing of such financial instruments is based largely on credit quality and relationship, probability of</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1" w:name="page122"/>
    <w:bookmarkEnd w:id="1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56" w:lineRule="exact"/>
        <w:rPr>
          <w:sz w:val="20"/>
          <w:szCs w:val="20"/>
          <w:color w:val="auto"/>
        </w:rPr>
      </w:pPr>
    </w:p>
    <w:p>
      <w:pPr>
        <w:ind w:left="680" w:right="40"/>
        <w:spacing w:after="0" w:line="253" w:lineRule="auto"/>
        <w:rPr>
          <w:sz w:val="20"/>
          <w:szCs w:val="20"/>
          <w:color w:val="auto"/>
        </w:rPr>
      </w:pPr>
      <w:r>
        <w:rPr>
          <w:rFonts w:ascii="Arial" w:cs="Arial" w:eastAsia="Arial" w:hAnsi="Arial"/>
          <w:sz w:val="14"/>
          <w:szCs w:val="14"/>
          <w:color w:val="auto"/>
        </w:rPr>
        <w:t>funding and other requirements. Loan commitments often have fixed expiration dates and contain termination and other clauses which provide for relief from funding in the event of significant deterioration in the credit quality of the customer. The rates and terms of the Company’s loan commitments, credit guarantees and letters of credit are competitive with other financial institutions operating in markets served by the Company. The Company believes that the carrying amounts, which are included in other liabilities, are reasonable estimates of the fair value of these financial instruments.</w:t>
      </w:r>
    </w:p>
    <w:p>
      <w:pPr>
        <w:spacing w:after="0" w:line="2" w:lineRule="exact"/>
        <w:rPr>
          <w:sz w:val="20"/>
          <w:szCs w:val="20"/>
          <w:color w:val="auto"/>
        </w:rPr>
      </w:pPr>
    </w:p>
    <w:p>
      <w:pPr>
        <w:ind w:left="680" w:right="80" w:firstLine="599"/>
        <w:spacing w:after="0" w:line="249" w:lineRule="auto"/>
        <w:rPr>
          <w:sz w:val="20"/>
          <w:szCs w:val="20"/>
          <w:color w:val="auto"/>
        </w:rPr>
      </w:pPr>
      <w:r>
        <w:rPr>
          <w:rFonts w:ascii="Arial" w:cs="Arial" w:eastAsia="Arial" w:hAnsi="Arial"/>
          <w:sz w:val="14"/>
          <w:szCs w:val="14"/>
          <w:color w:val="auto"/>
        </w:rPr>
        <w:t>The Company does not believe that the estimated information presented herein is representative of the earnings power or value of the Company. The preceding analysis, which is inherently limited in depicting fair value, also does not consider any value associated with existing customer relationships nor the ability of the Company to create value through loan origination, deposit gathering or fee generating activities.</w:t>
      </w:r>
    </w:p>
    <w:p>
      <w:pPr>
        <w:ind w:left="680" w:right="80" w:firstLine="599"/>
        <w:spacing w:after="0" w:line="253" w:lineRule="auto"/>
        <w:rPr>
          <w:sz w:val="20"/>
          <w:szCs w:val="20"/>
          <w:color w:val="auto"/>
        </w:rPr>
      </w:pPr>
      <w:r>
        <w:rPr>
          <w:rFonts w:ascii="Arial" w:cs="Arial" w:eastAsia="Arial" w:hAnsi="Arial"/>
          <w:sz w:val="14"/>
          <w:szCs w:val="14"/>
          <w:color w:val="auto"/>
        </w:rPr>
        <w:t>Many of the estimates presented herein are based upon the use of highly subjective information and assumptions and, accordingly, the results may not be precise. Management believes that fair value estimates may not be comparable between financial institutions due to the wide range of permitted valuation techniques and numerous estimates which must be made. Furthermore, because the disclosed fair value amounts were estimated as of the balance sheet date, the amounts actually realized or paid upon maturity or settlement of the various financial instruments could be significantly different.</w:t>
      </w:r>
    </w:p>
    <w:p>
      <w:pPr>
        <w:spacing w:after="0" w:line="141" w:lineRule="exact"/>
        <w:rPr>
          <w:sz w:val="20"/>
          <w:szCs w:val="20"/>
          <w:color w:val="auto"/>
        </w:rPr>
      </w:pPr>
    </w:p>
    <w:p>
      <w:pPr>
        <w:ind w:left="1180" w:hanging="493"/>
        <w:spacing w:after="0"/>
        <w:tabs>
          <w:tab w:leader="none" w:pos="1180" w:val="left"/>
        </w:tabs>
        <w:numPr>
          <w:ilvl w:val="0"/>
          <w:numId w:val="39"/>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 the normal course of business, various commitments and contingent liabilities are outstanding. The following table presents the Company’s significant commitments.</w:t>
      </w:r>
    </w:p>
    <w:p>
      <w:pPr>
        <w:spacing w:after="0" w:line="18" w:lineRule="exact"/>
        <w:rPr>
          <w:sz w:val="20"/>
          <w:szCs w:val="20"/>
          <w:color w:val="auto"/>
        </w:rPr>
      </w:pPr>
    </w:p>
    <w:p>
      <w:pPr>
        <w:ind w:left="680"/>
        <w:spacing w:after="0"/>
        <w:rPr>
          <w:sz w:val="20"/>
          <w:szCs w:val="20"/>
          <w:color w:val="auto"/>
        </w:rPr>
      </w:pPr>
      <w:r>
        <w:rPr>
          <w:rFonts w:ascii="Arial" w:cs="Arial" w:eastAsia="Arial" w:hAnsi="Arial"/>
          <w:sz w:val="14"/>
          <w:szCs w:val="14"/>
          <w:color w:val="auto"/>
        </w:rPr>
        <w:t>Certain of these commitments are not included in the Company’s consolidated balance sheet.</w:t>
      </w:r>
    </w:p>
    <w:p>
      <w:pPr>
        <w:spacing w:after="0" w:line="8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136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0"/>
                <w:szCs w:val="10"/>
                <w:b w:val="1"/>
                <w:bCs w:val="1"/>
                <w:color w:val="auto"/>
              </w:rPr>
              <w:t>December 31</w:t>
            </w:r>
          </w:p>
        </w:tc>
        <w:tc>
          <w:tcPr>
            <w:tcW w:w="6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900" w:type="dxa"/>
            <w:vAlign w:val="bottom"/>
          </w:tcPr>
          <w:p>
            <w:pPr>
              <w:spacing w:after="0"/>
              <w:rPr>
                <w:sz w:val="8"/>
                <w:szCs w:val="8"/>
                <w:color w:val="auto"/>
              </w:rPr>
            </w:pPr>
          </w:p>
        </w:tc>
        <w:tc>
          <w:tcPr>
            <w:tcW w:w="800" w:type="dxa"/>
            <w:vAlign w:val="bottom"/>
            <w:tcBorders>
              <w:bottom w:val="single" w:sz="8" w:color="auto"/>
            </w:tcBorders>
          </w:tcPr>
          <w:p>
            <w:pPr>
              <w:jc w:val="right"/>
              <w:ind w:right="232"/>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10"/>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r>
      <w:tr>
        <w:trPr>
          <w:trHeight w:val="131"/>
        </w:trPr>
        <w:tc>
          <w:tcPr>
            <w:tcW w:w="79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560" w:type="dxa"/>
            <w:vAlign w:val="bottom"/>
            <w:gridSpan w:val="2"/>
          </w:tcPr>
          <w:p>
            <w:pPr>
              <w:jc w:val="right"/>
              <w:spacing w:after="0"/>
              <w:rPr>
                <w:sz w:val="20"/>
                <w:szCs w:val="20"/>
                <w:color w:val="auto"/>
              </w:rPr>
            </w:pPr>
            <w:r>
              <w:rPr>
                <w:rFonts w:ascii="Arial" w:cs="Arial" w:eastAsia="Arial" w:hAnsi="Arial"/>
                <w:sz w:val="10"/>
                <w:szCs w:val="10"/>
                <w:b w:val="1"/>
                <w:bCs w:val="1"/>
                <w:color w:val="auto"/>
                <w:w w:val="92"/>
              </w:rPr>
              <w:t>thousands)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3"/>
        </w:trPr>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Commitments to extend credit</w:t>
            </w: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67"/>
        </w:trPr>
        <w:tc>
          <w:tcPr>
            <w:tcW w:w="7900" w:type="dxa"/>
            <w:vAlign w:val="bottom"/>
          </w:tcPr>
          <w:p>
            <w:pPr>
              <w:ind w:left="140"/>
              <w:spacing w:after="0"/>
              <w:rPr>
                <w:sz w:val="20"/>
                <w:szCs w:val="20"/>
                <w:color w:val="auto"/>
              </w:rPr>
            </w:pPr>
            <w:r>
              <w:rPr>
                <w:rFonts w:ascii="Arial" w:cs="Arial" w:eastAsia="Arial" w:hAnsi="Arial"/>
                <w:sz w:val="14"/>
                <w:szCs w:val="14"/>
                <w:color w:val="auto"/>
              </w:rPr>
              <w:t>Home equity lines of credit</w:t>
            </w:r>
          </w:p>
        </w:tc>
        <w:tc>
          <w:tcPr>
            <w:tcW w:w="1180" w:type="dxa"/>
            <w:vAlign w:val="bottom"/>
            <w:gridSpan w:val="2"/>
          </w:tcPr>
          <w:p>
            <w:pPr>
              <w:jc w:val="right"/>
              <w:ind w:right="328"/>
              <w:spacing w:after="0"/>
              <w:rPr>
                <w:sz w:val="20"/>
                <w:szCs w:val="20"/>
                <w:color w:val="auto"/>
              </w:rPr>
            </w:pPr>
            <w:r>
              <w:rPr>
                <w:rFonts w:ascii="Arial" w:cs="Arial" w:eastAsia="Arial" w:hAnsi="Arial"/>
                <w:sz w:val="14"/>
                <w:szCs w:val="14"/>
                <w:color w:val="auto"/>
              </w:rPr>
              <w:t>$  5,450,382</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4,903,834</w:t>
            </w:r>
          </w:p>
        </w:tc>
      </w:tr>
      <w:tr>
        <w:trPr>
          <w:trHeight w:val="167"/>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Commercial real estate loans to be sold</w:t>
            </w: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65,784</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41,662</w:t>
            </w:r>
          </w:p>
        </w:tc>
      </w:tr>
      <w:tr>
        <w:trPr>
          <w:trHeight w:val="167"/>
        </w:trPr>
        <w:tc>
          <w:tcPr>
            <w:tcW w:w="7900" w:type="dxa"/>
            <w:vAlign w:val="bottom"/>
          </w:tcPr>
          <w:p>
            <w:pPr>
              <w:ind w:left="140"/>
              <w:spacing w:after="0"/>
              <w:rPr>
                <w:sz w:val="20"/>
                <w:szCs w:val="20"/>
                <w:color w:val="auto"/>
              </w:rPr>
            </w:pPr>
            <w:r>
              <w:rPr>
                <w:rFonts w:ascii="Arial" w:cs="Arial" w:eastAsia="Arial" w:hAnsi="Arial"/>
                <w:sz w:val="14"/>
                <w:szCs w:val="14"/>
                <w:color w:val="auto"/>
              </w:rPr>
              <w:t>Other commercial real estate and construction</w:t>
            </w:r>
          </w:p>
        </w:tc>
        <w:tc>
          <w:tcPr>
            <w:tcW w:w="1180" w:type="dxa"/>
            <w:vAlign w:val="bottom"/>
            <w:gridSpan w:val="2"/>
          </w:tcPr>
          <w:p>
            <w:pPr>
              <w:jc w:val="right"/>
              <w:ind w:right="328"/>
              <w:spacing w:after="0"/>
              <w:rPr>
                <w:sz w:val="20"/>
                <w:szCs w:val="20"/>
                <w:color w:val="auto"/>
              </w:rPr>
            </w:pPr>
            <w:r>
              <w:rPr>
                <w:rFonts w:ascii="Arial" w:cs="Arial" w:eastAsia="Arial" w:hAnsi="Arial"/>
                <w:sz w:val="14"/>
                <w:szCs w:val="14"/>
                <w:color w:val="auto"/>
              </w:rPr>
              <w:t>3,008,353</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2,249,805</w:t>
            </w:r>
          </w:p>
        </w:tc>
      </w:tr>
      <w:tr>
        <w:trPr>
          <w:trHeight w:val="167"/>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Residential real estate loans to be sold</w:t>
            </w: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679,591</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351,898</w:t>
            </w:r>
          </w:p>
        </w:tc>
      </w:tr>
      <w:tr>
        <w:trPr>
          <w:trHeight w:val="167"/>
        </w:trPr>
        <w:tc>
          <w:tcPr>
            <w:tcW w:w="7900" w:type="dxa"/>
            <w:vAlign w:val="bottom"/>
          </w:tcPr>
          <w:p>
            <w:pPr>
              <w:ind w:left="140"/>
              <w:spacing w:after="0"/>
              <w:rPr>
                <w:sz w:val="20"/>
                <w:szCs w:val="20"/>
                <w:color w:val="auto"/>
              </w:rPr>
            </w:pPr>
            <w:r>
              <w:rPr>
                <w:rFonts w:ascii="Arial" w:cs="Arial" w:eastAsia="Arial" w:hAnsi="Arial"/>
                <w:sz w:val="14"/>
                <w:szCs w:val="14"/>
                <w:color w:val="auto"/>
              </w:rPr>
              <w:t>Other residential real estate</w:t>
            </w:r>
          </w:p>
        </w:tc>
        <w:tc>
          <w:tcPr>
            <w:tcW w:w="1180" w:type="dxa"/>
            <w:vAlign w:val="bottom"/>
            <w:gridSpan w:val="2"/>
          </w:tcPr>
          <w:p>
            <w:pPr>
              <w:jc w:val="right"/>
              <w:ind w:right="328"/>
              <w:spacing w:after="0"/>
              <w:rPr>
                <w:sz w:val="20"/>
                <w:szCs w:val="20"/>
                <w:color w:val="auto"/>
              </w:rPr>
            </w:pPr>
            <w:r>
              <w:rPr>
                <w:rFonts w:ascii="Arial" w:cs="Arial" w:eastAsia="Arial" w:hAnsi="Arial"/>
                <w:sz w:val="14"/>
                <w:szCs w:val="14"/>
                <w:color w:val="auto"/>
              </w:rPr>
              <w:t>493,122</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848,015</w:t>
            </w:r>
          </w:p>
        </w:tc>
      </w:tr>
      <w:tr>
        <w:trPr>
          <w:trHeight w:val="167"/>
        </w:trPr>
        <w:tc>
          <w:tcPr>
            <w:tcW w:w="7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Commercial and other</w:t>
            </w: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7,344,263</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6,843,170</w:t>
            </w:r>
          </w:p>
        </w:tc>
      </w:tr>
      <w:tr>
        <w:trPr>
          <w:trHeight w:val="167"/>
        </w:trPr>
        <w:tc>
          <w:tcPr>
            <w:tcW w:w="7900" w:type="dxa"/>
            <w:vAlign w:val="bottom"/>
          </w:tcPr>
          <w:p>
            <w:pPr>
              <w:spacing w:after="0"/>
              <w:rPr>
                <w:sz w:val="20"/>
                <w:szCs w:val="20"/>
                <w:color w:val="auto"/>
              </w:rPr>
            </w:pPr>
            <w:r>
              <w:rPr>
                <w:rFonts w:ascii="Arial" w:cs="Arial" w:eastAsia="Arial" w:hAnsi="Arial"/>
                <w:sz w:val="14"/>
                <w:szCs w:val="14"/>
                <w:color w:val="auto"/>
              </w:rPr>
              <w:t>Standby letters of credit</w:t>
            </w:r>
          </w:p>
        </w:tc>
        <w:tc>
          <w:tcPr>
            <w:tcW w:w="1180" w:type="dxa"/>
            <w:vAlign w:val="bottom"/>
            <w:gridSpan w:val="2"/>
          </w:tcPr>
          <w:p>
            <w:pPr>
              <w:jc w:val="right"/>
              <w:ind w:right="328"/>
              <w:spacing w:after="0"/>
              <w:rPr>
                <w:sz w:val="20"/>
                <w:szCs w:val="20"/>
                <w:color w:val="auto"/>
              </w:rPr>
            </w:pPr>
            <w:r>
              <w:rPr>
                <w:rFonts w:ascii="Arial" w:cs="Arial" w:eastAsia="Arial" w:hAnsi="Arial"/>
                <w:sz w:val="14"/>
                <w:szCs w:val="14"/>
                <w:color w:val="auto"/>
              </w:rPr>
              <w:t>3,622,860</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3,523,234</w:t>
            </w:r>
          </w:p>
        </w:tc>
      </w:tr>
      <w:tr>
        <w:trPr>
          <w:trHeight w:val="167"/>
        </w:trPr>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Commercial letters of credit</w:t>
            </w: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30,209</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47,360</w:t>
            </w:r>
          </w:p>
        </w:tc>
      </w:tr>
      <w:tr>
        <w:trPr>
          <w:trHeight w:val="167"/>
        </w:trPr>
        <w:tc>
          <w:tcPr>
            <w:tcW w:w="7900" w:type="dxa"/>
            <w:vAlign w:val="bottom"/>
          </w:tcPr>
          <w:p>
            <w:pPr>
              <w:spacing w:after="0"/>
              <w:rPr>
                <w:sz w:val="20"/>
                <w:szCs w:val="20"/>
                <w:color w:val="auto"/>
              </w:rPr>
            </w:pPr>
            <w:r>
              <w:rPr>
                <w:rFonts w:ascii="Arial" w:cs="Arial" w:eastAsia="Arial" w:hAnsi="Arial"/>
                <w:sz w:val="14"/>
                <w:szCs w:val="14"/>
                <w:color w:val="auto"/>
              </w:rPr>
              <w:t>Financial guarantees and indemnification contracts</w:t>
            </w:r>
          </w:p>
        </w:tc>
        <w:tc>
          <w:tcPr>
            <w:tcW w:w="1180" w:type="dxa"/>
            <w:vAlign w:val="bottom"/>
            <w:gridSpan w:val="2"/>
          </w:tcPr>
          <w:p>
            <w:pPr>
              <w:jc w:val="right"/>
              <w:ind w:right="328"/>
              <w:spacing w:after="0"/>
              <w:rPr>
                <w:sz w:val="20"/>
                <w:szCs w:val="20"/>
                <w:color w:val="auto"/>
              </w:rPr>
            </w:pPr>
            <w:r>
              <w:rPr>
                <w:rFonts w:ascii="Arial" w:cs="Arial" w:eastAsia="Arial" w:hAnsi="Arial"/>
                <w:sz w:val="14"/>
                <w:szCs w:val="14"/>
                <w:color w:val="auto"/>
              </w:rPr>
              <w:t>1,036,117</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1,186,385</w:t>
            </w:r>
          </w:p>
        </w:tc>
      </w:tr>
      <w:tr>
        <w:trPr>
          <w:trHeight w:val="167"/>
        </w:trPr>
        <w:tc>
          <w:tcPr>
            <w:tcW w:w="7900" w:type="dxa"/>
            <w:vAlign w:val="bottom"/>
            <w:shd w:val="clear" w:color="auto" w:fill="CCEEFF"/>
          </w:tcPr>
          <w:p>
            <w:pPr>
              <w:spacing w:after="0"/>
              <w:rPr>
                <w:sz w:val="20"/>
                <w:szCs w:val="20"/>
                <w:color w:val="auto"/>
              </w:rPr>
            </w:pPr>
            <w:r>
              <w:rPr>
                <w:rFonts w:ascii="Arial" w:cs="Arial" w:eastAsia="Arial" w:hAnsi="Arial"/>
                <w:sz w:val="14"/>
                <w:szCs w:val="14"/>
                <w:color w:val="auto"/>
              </w:rPr>
              <w:t>Commitments to sell real estate loans</w:t>
            </w: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1,932,306</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1,164,360</w:t>
            </w:r>
          </w:p>
        </w:tc>
      </w:tr>
    </w:tbl>
    <w:p>
      <w:pPr>
        <w:spacing w:after="0" w:line="76" w:lineRule="exact"/>
        <w:rPr>
          <w:sz w:val="20"/>
          <w:szCs w:val="20"/>
          <w:color w:val="auto"/>
        </w:rPr>
      </w:pPr>
    </w:p>
    <w:p>
      <w:pPr>
        <w:ind w:left="680" w:right="40" w:firstLine="599"/>
        <w:spacing w:after="0" w:line="271" w:lineRule="auto"/>
        <w:rPr>
          <w:sz w:val="20"/>
          <w:szCs w:val="20"/>
          <w:color w:val="auto"/>
        </w:rPr>
      </w:pPr>
      <w:r>
        <w:rPr>
          <w:rFonts w:ascii="Arial" w:cs="Arial" w:eastAsia="Arial" w:hAnsi="Arial"/>
          <w:sz w:val="13"/>
          <w:szCs w:val="13"/>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2" w:lineRule="exact"/>
        <w:rPr>
          <w:sz w:val="20"/>
          <w:szCs w:val="20"/>
          <w:color w:val="auto"/>
        </w:rPr>
      </w:pPr>
    </w:p>
    <w:p>
      <w:pPr>
        <w:ind w:left="680" w:right="60" w:firstLine="599"/>
        <w:spacing w:after="0" w:line="285" w:lineRule="auto"/>
        <w:rPr>
          <w:sz w:val="20"/>
          <w:szCs w:val="20"/>
          <w:color w:val="auto"/>
        </w:rPr>
      </w:pPr>
      <w:r>
        <w:rPr>
          <w:rFonts w:ascii="Arial" w:cs="Arial" w:eastAsia="Arial" w:hAnsi="Arial"/>
          <w:sz w:val="13"/>
          <w:szCs w:val="13"/>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2" w:name="page123"/>
    <w:bookmarkEnd w:id="1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5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involvement in the FNMA DUS program. Under this program, the Company’s maximum credit risk associated with loans sold with recourse at December 31, 2006 and</w:t>
      </w:r>
    </w:p>
    <w:p>
      <w:pPr>
        <w:spacing w:after="0" w:line="30" w:lineRule="exact"/>
        <w:rPr>
          <w:sz w:val="20"/>
          <w:szCs w:val="20"/>
          <w:color w:val="auto"/>
        </w:rPr>
      </w:pPr>
    </w:p>
    <w:p>
      <w:pPr>
        <w:ind w:left="1280" w:right="100" w:hanging="598"/>
        <w:spacing w:after="0" w:line="268" w:lineRule="auto"/>
        <w:rPr>
          <w:sz w:val="20"/>
          <w:szCs w:val="20"/>
          <w:color w:val="auto"/>
        </w:rPr>
      </w:pPr>
      <w:r>
        <w:rPr>
          <w:rFonts w:ascii="Arial" w:cs="Arial" w:eastAsia="Arial" w:hAnsi="Arial"/>
          <w:sz w:val="13"/>
          <w:szCs w:val="13"/>
          <w:color w:val="auto"/>
        </w:rPr>
        <w:t>2005 totaled $939 million and $941 million, respectively. Those recourse amounts were approximately equal to one-third of each sold loan’s outstanding principal balance. Since many loan commitments, standby letters of credit, and guarantees and indemnification contracts expire without being funded in whole or in part, the</w:t>
      </w:r>
    </w:p>
    <w:p>
      <w:pPr>
        <w:ind w:left="680"/>
        <w:spacing w:after="0"/>
        <w:rPr>
          <w:sz w:val="20"/>
          <w:szCs w:val="20"/>
          <w:color w:val="auto"/>
        </w:rPr>
      </w:pPr>
      <w:r>
        <w:rPr>
          <w:rFonts w:ascii="Arial" w:cs="Arial" w:eastAsia="Arial" w:hAnsi="Arial"/>
          <w:sz w:val="14"/>
          <w:szCs w:val="14"/>
          <w:color w:val="auto"/>
        </w:rPr>
        <w:t>contract amounts are not necessarily indicative of future cash flows.</w:t>
      </w:r>
    </w:p>
    <w:p>
      <w:pPr>
        <w:spacing w:after="0" w:line="6" w:lineRule="exact"/>
        <w:rPr>
          <w:sz w:val="20"/>
          <w:szCs w:val="20"/>
          <w:color w:val="auto"/>
        </w:rPr>
      </w:pPr>
    </w:p>
    <w:p>
      <w:pPr>
        <w:ind w:left="680" w:right="20" w:firstLine="599"/>
        <w:spacing w:after="0" w:line="249" w:lineRule="auto"/>
        <w:rPr>
          <w:sz w:val="20"/>
          <w:szCs w:val="20"/>
          <w:color w:val="auto"/>
        </w:rPr>
      </w:pPr>
      <w:r>
        <w:rPr>
          <w:rFonts w:ascii="Arial" w:cs="Arial" w:eastAsia="Arial" w:hAnsi="Arial"/>
          <w:sz w:val="14"/>
          <w:szCs w:val="14"/>
          <w:color w:val="auto"/>
        </w:rPr>
        <w:t>The Company utilizes commitments to sell real estate loans to hedge exposure to changes in the fair value of real estate loans held for sale. Such commitments are considered derivatives in accordance with SFAS No. 133 and along with commitments to originate real estate loans to be held for sale are generally recorded in the consolidated balance sheet at estimated fair market value. However, in estimating that fair value for commitments to originate loans for sale, value ascribable to cash flows that will be realized in connection with loan servicing activities has not been included. Value ascribable to that portion of cash flows is recognized at the time the underlying mortgage loans are sold. Additional information about such derivative financial instruments is included in note 17.</w:t>
      </w:r>
    </w:p>
    <w:p>
      <w:pPr>
        <w:ind w:left="680" w:right="240" w:firstLine="599"/>
        <w:spacing w:after="0" w:line="263" w:lineRule="auto"/>
        <w:rPr>
          <w:sz w:val="20"/>
          <w:szCs w:val="20"/>
          <w:color w:val="auto"/>
        </w:rPr>
      </w:pPr>
      <w:r>
        <w:rPr>
          <w:rFonts w:ascii="Arial" w:cs="Arial" w:eastAsia="Arial" w:hAnsi="Arial"/>
          <w:sz w:val="14"/>
          <w:szCs w:val="14"/>
          <w:color w:val="auto"/>
        </w:rPr>
        <w:t>The Company occupies certain banking offices and uses certain equipment under noncancellable operating lease agreements expiring at various dates over the next 32 years. Minimum lease payments under noncancellable operating leases are summarized in the following table:</w:t>
      </w:r>
    </w:p>
    <w:p>
      <w:pPr>
        <w:spacing w:after="0" w:line="63" w:lineRule="exact"/>
        <w:rPr>
          <w:sz w:val="20"/>
          <w:szCs w:val="20"/>
          <w:color w:val="auto"/>
        </w:rPr>
      </w:pPr>
    </w:p>
    <w:tbl>
      <w:tblPr>
        <w:tblLayout w:type="fixed"/>
        <w:tblInd w:w="680" w:type="dxa"/>
        <w:tblCellMar>
          <w:top w:w="0" w:type="dxa"/>
          <w:left w:w="0" w:type="dxa"/>
          <w:bottom w:w="0" w:type="dxa"/>
          <w:right w:w="0" w:type="dxa"/>
        </w:tblCellMar>
      </w:tblPr>
      <w:tr>
        <w:trPr>
          <w:trHeight w:val="135"/>
        </w:trPr>
        <w:tc>
          <w:tcPr>
            <w:tcW w:w="9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ind w:left="40"/>
              <w:spacing w:after="0"/>
              <w:rPr>
                <w:sz w:val="20"/>
                <w:szCs w:val="20"/>
                <w:color w:val="auto"/>
              </w:rPr>
            </w:pPr>
            <w:r>
              <w:rPr>
                <w:rFonts w:ascii="Arial" w:cs="Arial" w:eastAsia="Arial" w:hAnsi="Arial"/>
                <w:sz w:val="10"/>
                <w:szCs w:val="10"/>
                <w:b w:val="1"/>
                <w:bCs w:val="1"/>
                <w:color w:val="auto"/>
              </w:rPr>
              <w:t>(In thousands)</w:t>
            </w:r>
          </w:p>
        </w:tc>
      </w:tr>
      <w:tr>
        <w:trPr>
          <w:trHeight w:val="29"/>
        </w:trPr>
        <w:tc>
          <w:tcPr>
            <w:tcW w:w="90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7"/>
        </w:trPr>
        <w:tc>
          <w:tcPr>
            <w:tcW w:w="9000" w:type="dxa"/>
            <w:vAlign w:val="bottom"/>
            <w:shd w:val="clear" w:color="auto" w:fill="CCEEFF"/>
          </w:tcPr>
          <w:p>
            <w:pPr>
              <w:spacing w:after="0"/>
              <w:rPr>
                <w:sz w:val="20"/>
                <w:szCs w:val="20"/>
                <w:color w:val="auto"/>
              </w:rPr>
            </w:pPr>
            <w:r>
              <w:rPr>
                <w:rFonts w:ascii="Arial" w:cs="Arial" w:eastAsia="Arial" w:hAnsi="Arial"/>
                <w:sz w:val="14"/>
                <w:szCs w:val="14"/>
                <w:color w:val="auto"/>
              </w:rPr>
              <w:t>Year ending December 31:</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7"/>
        </w:trPr>
        <w:tc>
          <w:tcPr>
            <w:tcW w:w="9000" w:type="dxa"/>
            <w:vAlign w:val="bottom"/>
          </w:tcPr>
          <w:p>
            <w:pPr>
              <w:ind w:left="140"/>
              <w:spacing w:after="0"/>
              <w:rPr>
                <w:sz w:val="20"/>
                <w:szCs w:val="20"/>
                <w:color w:val="auto"/>
              </w:rPr>
            </w:pPr>
            <w:r>
              <w:rPr>
                <w:rFonts w:ascii="Arial" w:cs="Arial" w:eastAsia="Arial" w:hAnsi="Arial"/>
                <w:sz w:val="14"/>
                <w:szCs w:val="14"/>
                <w:color w:val="auto"/>
              </w:rPr>
              <w:t>2007</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43,931</w:t>
            </w:r>
          </w:p>
        </w:tc>
        <w:tc>
          <w:tcPr>
            <w:tcW w:w="80" w:type="dxa"/>
            <w:vAlign w:val="bottom"/>
          </w:tcPr>
          <w:p>
            <w:pPr>
              <w:spacing w:after="0"/>
              <w:rPr>
                <w:sz w:val="14"/>
                <w:szCs w:val="14"/>
                <w:color w:val="auto"/>
              </w:rPr>
            </w:pPr>
          </w:p>
        </w:tc>
      </w:tr>
      <w:tr>
        <w:trPr>
          <w:trHeight w:val="167"/>
        </w:trPr>
        <w:tc>
          <w:tcPr>
            <w:tcW w:w="9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2008</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41,007</w:t>
            </w:r>
          </w:p>
        </w:tc>
        <w:tc>
          <w:tcPr>
            <w:tcW w:w="80" w:type="dxa"/>
            <w:vAlign w:val="bottom"/>
            <w:shd w:val="clear" w:color="auto" w:fill="CCEEFF"/>
          </w:tcPr>
          <w:p>
            <w:pPr>
              <w:spacing w:after="0"/>
              <w:rPr>
                <w:sz w:val="14"/>
                <w:szCs w:val="14"/>
                <w:color w:val="auto"/>
              </w:rPr>
            </w:pPr>
          </w:p>
        </w:tc>
      </w:tr>
      <w:tr>
        <w:trPr>
          <w:trHeight w:val="167"/>
        </w:trPr>
        <w:tc>
          <w:tcPr>
            <w:tcW w:w="9000" w:type="dxa"/>
            <w:vAlign w:val="bottom"/>
          </w:tcPr>
          <w:p>
            <w:pPr>
              <w:ind w:left="140"/>
              <w:spacing w:after="0"/>
              <w:rPr>
                <w:sz w:val="20"/>
                <w:szCs w:val="20"/>
                <w:color w:val="auto"/>
              </w:rPr>
            </w:pPr>
            <w:r>
              <w:rPr>
                <w:rFonts w:ascii="Arial" w:cs="Arial" w:eastAsia="Arial" w:hAnsi="Arial"/>
                <w:sz w:val="14"/>
                <w:szCs w:val="14"/>
                <w:color w:val="auto"/>
              </w:rPr>
              <w:t>2009</w:t>
            </w:r>
          </w:p>
        </w:tc>
        <w:tc>
          <w:tcPr>
            <w:tcW w:w="8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33,777</w:t>
            </w:r>
          </w:p>
        </w:tc>
        <w:tc>
          <w:tcPr>
            <w:tcW w:w="80" w:type="dxa"/>
            <w:vAlign w:val="bottom"/>
          </w:tcPr>
          <w:p>
            <w:pPr>
              <w:spacing w:after="0"/>
              <w:rPr>
                <w:sz w:val="14"/>
                <w:szCs w:val="14"/>
                <w:color w:val="auto"/>
              </w:rPr>
            </w:pPr>
          </w:p>
        </w:tc>
      </w:tr>
      <w:tr>
        <w:trPr>
          <w:trHeight w:val="167"/>
        </w:trPr>
        <w:tc>
          <w:tcPr>
            <w:tcW w:w="9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2010</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27,209</w:t>
            </w:r>
          </w:p>
        </w:tc>
        <w:tc>
          <w:tcPr>
            <w:tcW w:w="80" w:type="dxa"/>
            <w:vAlign w:val="bottom"/>
            <w:shd w:val="clear" w:color="auto" w:fill="CCEEFF"/>
          </w:tcPr>
          <w:p>
            <w:pPr>
              <w:spacing w:after="0"/>
              <w:rPr>
                <w:sz w:val="14"/>
                <w:szCs w:val="14"/>
                <w:color w:val="auto"/>
              </w:rPr>
            </w:pPr>
          </w:p>
        </w:tc>
      </w:tr>
      <w:tr>
        <w:trPr>
          <w:trHeight w:val="167"/>
        </w:trPr>
        <w:tc>
          <w:tcPr>
            <w:tcW w:w="9000" w:type="dxa"/>
            <w:vAlign w:val="bottom"/>
          </w:tcPr>
          <w:p>
            <w:pPr>
              <w:ind w:left="140"/>
              <w:spacing w:after="0"/>
              <w:rPr>
                <w:sz w:val="20"/>
                <w:szCs w:val="20"/>
                <w:color w:val="auto"/>
              </w:rPr>
            </w:pPr>
            <w:r>
              <w:rPr>
                <w:rFonts w:ascii="Arial" w:cs="Arial" w:eastAsia="Arial" w:hAnsi="Arial"/>
                <w:sz w:val="14"/>
                <w:szCs w:val="14"/>
                <w:color w:val="auto"/>
              </w:rPr>
              <w:t>2011</w:t>
            </w:r>
          </w:p>
        </w:tc>
        <w:tc>
          <w:tcPr>
            <w:tcW w:w="8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21,620</w:t>
            </w:r>
          </w:p>
        </w:tc>
        <w:tc>
          <w:tcPr>
            <w:tcW w:w="80" w:type="dxa"/>
            <w:vAlign w:val="bottom"/>
          </w:tcPr>
          <w:p>
            <w:pPr>
              <w:spacing w:after="0"/>
              <w:rPr>
                <w:sz w:val="14"/>
                <w:szCs w:val="14"/>
                <w:color w:val="auto"/>
              </w:rPr>
            </w:pPr>
          </w:p>
        </w:tc>
      </w:tr>
      <w:tr>
        <w:trPr>
          <w:trHeight w:val="167"/>
        </w:trPr>
        <w:tc>
          <w:tcPr>
            <w:tcW w:w="9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Later years</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66,757</w:t>
            </w:r>
          </w:p>
        </w:tc>
        <w:tc>
          <w:tcPr>
            <w:tcW w:w="80" w:type="dxa"/>
            <w:vAlign w:val="bottom"/>
            <w:shd w:val="clear" w:color="auto" w:fill="CCEEFF"/>
          </w:tcPr>
          <w:p>
            <w:pPr>
              <w:spacing w:after="0"/>
              <w:rPr>
                <w:sz w:val="14"/>
                <w:szCs w:val="14"/>
                <w:color w:val="auto"/>
              </w:rPr>
            </w:pPr>
          </w:p>
        </w:tc>
      </w:tr>
      <w:tr>
        <w:trPr>
          <w:trHeight w:val="176"/>
        </w:trPr>
        <w:tc>
          <w:tcPr>
            <w:tcW w:w="90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234,301</w:t>
            </w: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bl>
    <w:p>
      <w:pPr>
        <w:spacing w:after="0" w:line="86" w:lineRule="exact"/>
        <w:rPr>
          <w:sz w:val="20"/>
          <w:szCs w:val="20"/>
          <w:color w:val="auto"/>
        </w:rPr>
      </w:pPr>
    </w:p>
    <w:p>
      <w:pPr>
        <w:ind w:left="680" w:right="140" w:firstLine="599"/>
        <w:spacing w:after="0" w:line="255" w:lineRule="auto"/>
        <w:rPr>
          <w:sz w:val="20"/>
          <w:szCs w:val="20"/>
          <w:color w:val="auto"/>
        </w:rPr>
      </w:pPr>
      <w:r>
        <w:rPr>
          <w:rFonts w:ascii="Arial" w:cs="Arial" w:eastAsia="Arial" w:hAnsi="Arial"/>
          <w:sz w:val="14"/>
          <w:szCs w:val="14"/>
          <w:color w:val="auto"/>
        </w:rPr>
        <w:t>The Company has an agreement with the Baltimore Ravens of the National Football League whereby the Company obtained the naming rights to a football stadium in Baltimore, Maryland through 2017. Under the agreement, the Company is obligated to pay $5 million per year from 2007 through 2013 and $6 million per year from 2014 through 2017.</w:t>
      </w:r>
    </w:p>
    <w:p>
      <w:pPr>
        <w:ind w:left="680" w:right="60" w:firstLine="599"/>
        <w:spacing w:after="0" w:line="253" w:lineRule="auto"/>
        <w:rPr>
          <w:sz w:val="20"/>
          <w:szCs w:val="20"/>
          <w:color w:val="auto"/>
        </w:rPr>
      </w:pPr>
      <w:r>
        <w:rPr>
          <w:rFonts w:ascii="Arial" w:cs="Arial" w:eastAsia="Arial" w:hAnsi="Arial"/>
          <w:sz w:val="14"/>
          <w:szCs w:val="14"/>
          <w:color w:val="auto"/>
        </w:rPr>
        <w:t>M</w:t>
      </w:r>
      <w:r>
        <w:rPr>
          <w:rFonts w:ascii="Arial" w:cs="Arial" w:eastAsia="Arial" w:hAnsi="Arial"/>
          <w:sz w:val="13"/>
          <w:szCs w:val="13"/>
          <w:color w:val="auto"/>
        </w:rPr>
        <w:t>&amp;</w:t>
      </w:r>
      <w:r>
        <w:rPr>
          <w:rFonts w:ascii="Arial" w:cs="Arial" w:eastAsia="Arial" w:hAnsi="Arial"/>
          <w:sz w:val="14"/>
          <w:szCs w:val="14"/>
          <w:color w:val="auto"/>
        </w:rPr>
        <w:t>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w:t>
      </w:r>
      <w:r>
        <w:rPr>
          <w:rFonts w:ascii="Arial" w:cs="Arial" w:eastAsia="Arial" w:hAnsi="Arial"/>
          <w:sz w:val="13"/>
          <w:szCs w:val="13"/>
          <w:color w:val="auto"/>
        </w:rPr>
        <w:t>&amp;</w:t>
      </w:r>
      <w:r>
        <w:rPr>
          <w:rFonts w:ascii="Arial" w:cs="Arial" w:eastAsia="Arial" w:hAnsi="Arial"/>
          <w:sz w:val="14"/>
          <w:szCs w:val="14"/>
          <w:color w:val="auto"/>
        </w:rPr>
        <w:t>T or its subsidiaries will be material to the Company’s consolidated financial position, but at the present time is not in a position to determine whether such litigation will have a material adverse effect on the Company’s consolidated results of operations in any future reporting period.</w:t>
      </w:r>
    </w:p>
    <w:p>
      <w:pPr>
        <w:spacing w:after="0" w:line="141" w:lineRule="exact"/>
        <w:rPr>
          <w:sz w:val="20"/>
          <w:szCs w:val="20"/>
          <w:color w:val="auto"/>
        </w:rPr>
      </w:pPr>
    </w:p>
    <w:p>
      <w:pPr>
        <w:ind w:left="1180" w:hanging="493"/>
        <w:spacing w:after="0"/>
        <w:tabs>
          <w:tab w:leader="none" w:pos="1180" w:val="left"/>
        </w:tabs>
        <w:numPr>
          <w:ilvl w:val="0"/>
          <w:numId w:val="40"/>
        </w:numPr>
        <w:rPr>
          <w:rFonts w:ascii="Arial" w:cs="Arial" w:eastAsia="Arial" w:hAnsi="Arial"/>
          <w:sz w:val="14"/>
          <w:szCs w:val="14"/>
          <w:b w:val="1"/>
          <w:bCs w:val="1"/>
          <w:color w:val="auto"/>
        </w:rPr>
      </w:pPr>
      <w:r>
        <w:rPr>
          <w:rFonts w:ascii="Arial" w:cs="Arial" w:eastAsia="Arial" w:hAnsi="Arial"/>
          <w:sz w:val="14"/>
          <w:szCs w:val="14"/>
          <w:b w:val="1"/>
          <w:bCs w:val="1"/>
          <w:color w:val="auto"/>
        </w:rPr>
        <w:t>Segment information</w:t>
      </w:r>
    </w:p>
    <w:p>
      <w:pPr>
        <w:spacing w:after="0" w:line="22" w:lineRule="exact"/>
        <w:rPr>
          <w:sz w:val="20"/>
          <w:szCs w:val="20"/>
          <w:color w:val="auto"/>
        </w:rPr>
      </w:pPr>
    </w:p>
    <w:p>
      <w:pPr>
        <w:jc w:val="both"/>
        <w:ind w:left="680" w:right="160"/>
        <w:spacing w:after="0" w:line="268" w:lineRule="auto"/>
        <w:rPr>
          <w:sz w:val="20"/>
          <w:szCs w:val="20"/>
          <w:color w:val="auto"/>
        </w:rPr>
      </w:pPr>
      <w:r>
        <w:rPr>
          <w:rFonts w:ascii="Arial" w:cs="Arial" w:eastAsia="Arial" w:hAnsi="Arial"/>
          <w:sz w:val="13"/>
          <w:szCs w:val="13"/>
          <w:color w:val="auto"/>
        </w:rPr>
        <w:t>In accordance with the provisions of SFAS No. 131, “Disclosures About Segments of an Enterprise and Related Information,” reportable segments have been determined based upon the Company’s internal profitability reporting system, which is organized by strategic business units. Certain strategic business units have been combined for segment information reporting purposes where the nature of the products and services, the type of customer and the distribution of those products and services are similar. The reportable segments are Commercial Banking, Commercial Real Estate, Discretionary Portfolio, Residential Mortgage Banking and Retail Banking.</w:t>
      </w:r>
    </w:p>
    <w:p>
      <w:pPr>
        <w:spacing w:after="0" w:line="1" w:lineRule="exact"/>
        <w:rPr>
          <w:sz w:val="20"/>
          <w:szCs w:val="20"/>
          <w:color w:val="auto"/>
        </w:rPr>
      </w:pPr>
    </w:p>
    <w:p>
      <w:pPr>
        <w:ind w:left="680" w:right="140" w:firstLine="599"/>
        <w:spacing w:after="0" w:line="263" w:lineRule="auto"/>
        <w:rPr>
          <w:sz w:val="20"/>
          <w:szCs w:val="20"/>
          <w:color w:val="auto"/>
        </w:rPr>
      </w:pPr>
      <w:r>
        <w:rPr>
          <w:rFonts w:ascii="Arial" w:cs="Arial" w:eastAsia="Arial" w:hAnsi="Arial"/>
          <w:sz w:val="14"/>
          <w:szCs w:val="14"/>
          <w:color w:val="auto"/>
        </w:rPr>
        <w:t>The financial information of the Company’s segments has been compiled utilizing the accounting policies described in note 1 with certain exceptions. The more significant of these exceptions are described herein. The Company allocates interest income or interest expense using a methodology that</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3" w:name="page124"/>
    <w:bookmarkEnd w:id="1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56" w:lineRule="exact"/>
        <w:rPr>
          <w:sz w:val="20"/>
          <w:szCs w:val="20"/>
          <w:color w:val="auto"/>
        </w:rPr>
      </w:pPr>
    </w:p>
    <w:p>
      <w:pPr>
        <w:ind w:left="680" w:right="40"/>
        <w:spacing w:after="0" w:line="292" w:lineRule="auto"/>
        <w:rPr>
          <w:sz w:val="20"/>
          <w:szCs w:val="20"/>
          <w:color w:val="auto"/>
        </w:rPr>
      </w:pPr>
      <w:r>
        <w:rPr>
          <w:rFonts w:ascii="Arial" w:cs="Arial" w:eastAsia="Arial" w:hAnsi="Arial"/>
          <w:sz w:val="12"/>
          <w:szCs w:val="12"/>
          <w:color w:val="auto"/>
        </w:rPr>
        <w:t>charges users of funds (assets) interest expense and credits providers of funds (liabilities) with income based on the maturity, prepayment and/or repricing characteristics of the assets and liabilities. The net effect of this allocation is recorded in the “All Other” category. A provision for credit losses is allocated to segments in an amount based largely on actual net charge-offs incurred by the segment during the period plus or minus an amount necessary to adjust the segment’s allowance for credit losses due to changes in loan balances. In contrast, the level of the consolidated provision for credit losses is determined using the methodologies described in note 1 to assess the overall adequacy of the allowance for credit losses. Indirect fixed and variable expenses incurred by certain centralized support areas are allocated to segments based on actual usage (for example, volume measurements) and other criteria. Certain types of administrative expenses and bankwide expense accruals (including amortization of core deposit and other intangible assets associated with acquisitions of financial institutions) are generally not allocated to segments. Income taxes are allocated to segments based on the Company’s marginal statutory tax rate adjusted for any tax-exempt income or non-deductible expenses. Equity is allocated to the segments based on regulatory capital requirements and in proportion to an assessment of the inherent risks associated with the business of the segment (including interest, credit and operating risk).</w:t>
      </w:r>
    </w:p>
    <w:p>
      <w:pPr>
        <w:spacing w:after="0" w:line="5" w:lineRule="exact"/>
        <w:rPr>
          <w:sz w:val="20"/>
          <w:szCs w:val="20"/>
          <w:color w:val="auto"/>
        </w:rPr>
      </w:pPr>
    </w:p>
    <w:p>
      <w:pPr>
        <w:ind w:left="680" w:right="20" w:firstLine="599"/>
        <w:spacing w:after="0" w:line="253" w:lineRule="auto"/>
        <w:rPr>
          <w:sz w:val="20"/>
          <w:szCs w:val="20"/>
          <w:color w:val="auto"/>
        </w:rPr>
      </w:pPr>
      <w:r>
        <w:rPr>
          <w:rFonts w:ascii="Arial" w:cs="Arial" w:eastAsia="Arial" w:hAnsi="Arial"/>
          <w:sz w:val="14"/>
          <w:szCs w:val="14"/>
          <w:color w:val="auto"/>
        </w:rPr>
        <w:t>The management accounting policies and processes utilized in compiling segment financial information are highly subjective and, unlike financial accounting, are not based on authoritative guidance similar to generally accepted accounting principles. As a result, reported segment results are not necessarily comparable with similar information reported by other financial institutions. Furthermore, changes in management structure or allocation methodologies and procedures may result in changes in reported segment financial data. Information about the Company’s segments is presented in the accompanying table.</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4" w:name="page125"/>
    <w:bookmarkEnd w:id="1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60"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4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9"/>
                <w:szCs w:val="9"/>
                <w:b w:val="1"/>
                <w:bCs w:val="1"/>
                <w:color w:val="auto"/>
                <w:w w:val="91"/>
              </w:rPr>
              <w:t>Residential</w:t>
            </w: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98"/>
        </w:trPr>
        <w:tc>
          <w:tcPr>
            <w:tcW w:w="4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2"/>
          </w:tcPr>
          <w:p>
            <w:pPr>
              <w:jc w:val="right"/>
              <w:ind w:right="380"/>
              <w:spacing w:after="0" w:line="98" w:lineRule="exact"/>
              <w:rPr>
                <w:sz w:val="20"/>
                <w:szCs w:val="20"/>
                <w:color w:val="auto"/>
              </w:rPr>
            </w:pPr>
            <w:r>
              <w:rPr>
                <w:rFonts w:ascii="Arial" w:cs="Arial" w:eastAsia="Arial" w:hAnsi="Arial"/>
                <w:sz w:val="9"/>
                <w:szCs w:val="9"/>
                <w:b w:val="1"/>
                <w:bCs w:val="1"/>
                <w:color w:val="auto"/>
                <w:w w:val="89"/>
              </w:rPr>
              <w:t>Commercial</w:t>
            </w:r>
          </w:p>
        </w:tc>
        <w:tc>
          <w:tcPr>
            <w:tcW w:w="60" w:type="dxa"/>
            <w:vAlign w:val="bottom"/>
          </w:tcPr>
          <w:p>
            <w:pPr>
              <w:spacing w:after="0"/>
              <w:rPr>
                <w:sz w:val="8"/>
                <w:szCs w:val="8"/>
                <w:color w:val="auto"/>
              </w:rPr>
            </w:pPr>
          </w:p>
        </w:tc>
        <w:tc>
          <w:tcPr>
            <w:tcW w:w="860" w:type="dxa"/>
            <w:vAlign w:val="bottom"/>
            <w:gridSpan w:val="2"/>
          </w:tcPr>
          <w:p>
            <w:pPr>
              <w:jc w:val="right"/>
              <w:ind w:right="380"/>
              <w:spacing w:after="0" w:line="98" w:lineRule="exact"/>
              <w:rPr>
                <w:sz w:val="20"/>
                <w:szCs w:val="20"/>
                <w:color w:val="auto"/>
              </w:rPr>
            </w:pPr>
            <w:r>
              <w:rPr>
                <w:rFonts w:ascii="Arial" w:cs="Arial" w:eastAsia="Arial" w:hAnsi="Arial"/>
                <w:sz w:val="9"/>
                <w:szCs w:val="9"/>
                <w:b w:val="1"/>
                <w:bCs w:val="1"/>
                <w:color w:val="auto"/>
                <w:w w:val="89"/>
              </w:rPr>
              <w:t>Commercial</w:t>
            </w:r>
          </w:p>
        </w:tc>
        <w:tc>
          <w:tcPr>
            <w:tcW w:w="60" w:type="dxa"/>
            <w:vAlign w:val="bottom"/>
          </w:tcPr>
          <w:p>
            <w:pPr>
              <w:spacing w:after="0"/>
              <w:rPr>
                <w:sz w:val="8"/>
                <w:szCs w:val="8"/>
                <w:color w:val="auto"/>
              </w:rPr>
            </w:pPr>
          </w:p>
        </w:tc>
        <w:tc>
          <w:tcPr>
            <w:tcW w:w="920" w:type="dxa"/>
            <w:vAlign w:val="bottom"/>
            <w:gridSpan w:val="2"/>
          </w:tcPr>
          <w:p>
            <w:pPr>
              <w:jc w:val="right"/>
              <w:ind w:right="380"/>
              <w:spacing w:after="0" w:line="98" w:lineRule="exact"/>
              <w:rPr>
                <w:sz w:val="20"/>
                <w:szCs w:val="20"/>
                <w:color w:val="auto"/>
              </w:rPr>
            </w:pPr>
            <w:r>
              <w:rPr>
                <w:rFonts w:ascii="Arial" w:cs="Arial" w:eastAsia="Arial" w:hAnsi="Arial"/>
                <w:sz w:val="9"/>
                <w:szCs w:val="9"/>
                <w:b w:val="1"/>
                <w:bCs w:val="1"/>
                <w:color w:val="auto"/>
                <w:w w:val="90"/>
              </w:rPr>
              <w:t>Discretionary</w:t>
            </w:r>
          </w:p>
        </w:tc>
        <w:tc>
          <w:tcPr>
            <w:tcW w:w="60" w:type="dxa"/>
            <w:vAlign w:val="bottom"/>
          </w:tcPr>
          <w:p>
            <w:pPr>
              <w:spacing w:after="0"/>
              <w:rPr>
                <w:sz w:val="8"/>
                <w:szCs w:val="8"/>
                <w:color w:val="auto"/>
              </w:rPr>
            </w:pPr>
          </w:p>
        </w:tc>
        <w:tc>
          <w:tcPr>
            <w:tcW w:w="820" w:type="dxa"/>
            <w:vAlign w:val="bottom"/>
            <w:gridSpan w:val="2"/>
          </w:tcPr>
          <w:p>
            <w:pPr>
              <w:jc w:val="center"/>
              <w:ind w:right="360"/>
              <w:spacing w:after="0" w:line="98" w:lineRule="exact"/>
              <w:rPr>
                <w:sz w:val="20"/>
                <w:szCs w:val="20"/>
                <w:color w:val="auto"/>
              </w:rPr>
            </w:pPr>
            <w:r>
              <w:rPr>
                <w:rFonts w:ascii="Arial" w:cs="Arial" w:eastAsia="Arial" w:hAnsi="Arial"/>
                <w:sz w:val="9"/>
                <w:szCs w:val="9"/>
                <w:b w:val="1"/>
                <w:bCs w:val="1"/>
                <w:color w:val="auto"/>
                <w:w w:val="93"/>
              </w:rPr>
              <w:t>Mortgage</w:t>
            </w:r>
          </w:p>
        </w:tc>
        <w:tc>
          <w:tcPr>
            <w:tcW w:w="60" w:type="dxa"/>
            <w:vAlign w:val="bottom"/>
          </w:tcPr>
          <w:p>
            <w:pPr>
              <w:spacing w:after="0"/>
              <w:rPr>
                <w:sz w:val="8"/>
                <w:szCs w:val="8"/>
                <w:color w:val="auto"/>
              </w:rPr>
            </w:pPr>
          </w:p>
        </w:tc>
        <w:tc>
          <w:tcPr>
            <w:tcW w:w="720" w:type="dxa"/>
            <w:vAlign w:val="bottom"/>
            <w:gridSpan w:val="2"/>
          </w:tcPr>
          <w:p>
            <w:pPr>
              <w:ind w:left="80"/>
              <w:spacing w:after="0" w:line="98" w:lineRule="exact"/>
              <w:rPr>
                <w:sz w:val="20"/>
                <w:szCs w:val="20"/>
                <w:color w:val="auto"/>
              </w:rPr>
            </w:pPr>
            <w:r>
              <w:rPr>
                <w:rFonts w:ascii="Arial" w:cs="Arial" w:eastAsia="Arial" w:hAnsi="Arial"/>
                <w:sz w:val="9"/>
                <w:szCs w:val="9"/>
                <w:b w:val="1"/>
                <w:bCs w:val="1"/>
                <w:color w:val="auto"/>
              </w:rPr>
              <w:t>Retail</w:t>
            </w: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1"/>
        </w:trPr>
        <w:tc>
          <w:tcPr>
            <w:tcW w:w="41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9"/>
                <w:szCs w:val="9"/>
                <w:b w:val="1"/>
                <w:bCs w:val="1"/>
                <w:color w:val="auto"/>
              </w:rPr>
              <w:t>Banking</w:t>
            </w:r>
          </w:p>
        </w:tc>
        <w:tc>
          <w:tcPr>
            <w:tcW w:w="3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right"/>
              <w:ind w:right="34"/>
              <w:spacing w:after="0"/>
              <w:rPr>
                <w:sz w:val="20"/>
                <w:szCs w:val="20"/>
                <w:color w:val="auto"/>
              </w:rPr>
            </w:pPr>
            <w:r>
              <w:rPr>
                <w:rFonts w:ascii="Arial" w:cs="Arial" w:eastAsia="Arial" w:hAnsi="Arial"/>
                <w:sz w:val="9"/>
                <w:szCs w:val="9"/>
                <w:b w:val="1"/>
                <w:bCs w:val="1"/>
                <w:color w:val="auto"/>
                <w:w w:val="90"/>
              </w:rPr>
              <w:t>Real Estate</w:t>
            </w:r>
          </w:p>
        </w:tc>
        <w:tc>
          <w:tcPr>
            <w:tcW w:w="3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jc w:val="right"/>
              <w:ind w:right="114"/>
              <w:spacing w:after="0"/>
              <w:rPr>
                <w:sz w:val="20"/>
                <w:szCs w:val="20"/>
                <w:color w:val="auto"/>
              </w:rPr>
            </w:pPr>
            <w:r>
              <w:rPr>
                <w:rFonts w:ascii="Arial" w:cs="Arial" w:eastAsia="Arial" w:hAnsi="Arial"/>
                <w:sz w:val="9"/>
                <w:szCs w:val="9"/>
                <w:b w:val="1"/>
                <w:bCs w:val="1"/>
                <w:color w:val="auto"/>
              </w:rPr>
              <w:t>Portfolio</w:t>
            </w:r>
          </w:p>
        </w:tc>
        <w:tc>
          <w:tcPr>
            <w:tcW w:w="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center"/>
              <w:ind w:right="14"/>
              <w:spacing w:after="0"/>
              <w:rPr>
                <w:sz w:val="20"/>
                <w:szCs w:val="20"/>
                <w:color w:val="auto"/>
              </w:rPr>
            </w:pPr>
            <w:r>
              <w:rPr>
                <w:rFonts w:ascii="Arial" w:cs="Arial" w:eastAsia="Arial" w:hAnsi="Arial"/>
                <w:sz w:val="9"/>
                <w:szCs w:val="9"/>
                <w:b w:val="1"/>
                <w:bCs w:val="1"/>
                <w:color w:val="auto"/>
                <w:w w:val="95"/>
              </w:rPr>
              <w:t>Banking</w:t>
            </w:r>
          </w:p>
        </w:tc>
        <w:tc>
          <w:tcPr>
            <w:tcW w:w="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34"/>
              <w:spacing w:after="0"/>
              <w:rPr>
                <w:sz w:val="20"/>
                <w:szCs w:val="20"/>
                <w:color w:val="auto"/>
              </w:rPr>
            </w:pPr>
            <w:r>
              <w:rPr>
                <w:rFonts w:ascii="Arial" w:cs="Arial" w:eastAsia="Arial" w:hAnsi="Arial"/>
                <w:sz w:val="9"/>
                <w:szCs w:val="9"/>
                <w:b w:val="1"/>
                <w:bCs w:val="1"/>
                <w:color w:val="auto"/>
                <w:w w:val="95"/>
              </w:rPr>
              <w:t>Banking</w:t>
            </w:r>
          </w:p>
        </w:tc>
        <w:tc>
          <w:tcPr>
            <w:tcW w:w="28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jc w:val="right"/>
              <w:ind w:right="14"/>
              <w:spacing w:after="0"/>
              <w:rPr>
                <w:sz w:val="20"/>
                <w:szCs w:val="20"/>
                <w:color w:val="auto"/>
              </w:rPr>
            </w:pPr>
            <w:r>
              <w:rPr>
                <w:rFonts w:ascii="Arial" w:cs="Arial" w:eastAsia="Arial" w:hAnsi="Arial"/>
                <w:sz w:val="9"/>
                <w:szCs w:val="9"/>
                <w:b w:val="1"/>
                <w:bCs w:val="1"/>
                <w:color w:val="auto"/>
                <w:w w:val="94"/>
              </w:rPr>
              <w:t>All Other</w:t>
            </w: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94"/>
              <w:spacing w:after="0"/>
              <w:rPr>
                <w:sz w:val="20"/>
                <w:szCs w:val="20"/>
                <w:color w:val="auto"/>
              </w:rPr>
            </w:pPr>
            <w:r>
              <w:rPr>
                <w:rFonts w:ascii="Arial" w:cs="Arial" w:eastAsia="Arial" w:hAnsi="Arial"/>
                <w:sz w:val="9"/>
                <w:szCs w:val="9"/>
                <w:b w:val="1"/>
                <w:bCs w:val="1"/>
                <w:color w:val="auto"/>
              </w:rPr>
              <w:t>Total</w:t>
            </w:r>
          </w:p>
        </w:tc>
        <w:tc>
          <w:tcPr>
            <w:tcW w:w="100" w:type="dxa"/>
            <w:vAlign w:val="bottom"/>
          </w:tcPr>
          <w:p>
            <w:pPr>
              <w:spacing w:after="0"/>
              <w:rPr>
                <w:sz w:val="9"/>
                <w:szCs w:val="9"/>
                <w:color w:val="auto"/>
              </w:rPr>
            </w:pPr>
          </w:p>
        </w:tc>
      </w:tr>
      <w:tr>
        <w:trPr>
          <w:trHeight w:val="117"/>
        </w:trPr>
        <w:tc>
          <w:tcPr>
            <w:tcW w:w="4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0" w:type="dxa"/>
            <w:vAlign w:val="bottom"/>
            <w:gridSpan w:val="5"/>
          </w:tcPr>
          <w:p>
            <w:pPr>
              <w:jc w:val="right"/>
              <w:ind w:right="180"/>
              <w:spacing w:after="0"/>
              <w:rPr>
                <w:sz w:val="20"/>
                <w:szCs w:val="20"/>
                <w:color w:val="auto"/>
              </w:rPr>
            </w:pPr>
            <w:r>
              <w:rPr>
                <w:rFonts w:ascii="Arial" w:cs="Arial" w:eastAsia="Arial" w:hAnsi="Arial"/>
                <w:sz w:val="9"/>
                <w:szCs w:val="9"/>
                <w:b w:val="1"/>
                <w:bCs w:val="1"/>
                <w:color w:val="auto"/>
              </w:rPr>
              <w:t>(In thousands, except asset data)</w:t>
            </w: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4120" w:type="dxa"/>
            <w:vAlign w:val="bottom"/>
            <w:shd w:val="clear" w:color="auto" w:fill="CCEEFF"/>
          </w:tcPr>
          <w:p>
            <w:pPr>
              <w:spacing w:after="0"/>
              <w:rPr>
                <w:sz w:val="20"/>
                <w:szCs w:val="20"/>
                <w:color w:val="auto"/>
              </w:rPr>
            </w:pPr>
            <w:r>
              <w:rPr>
                <w:rFonts w:ascii="Arial" w:cs="Arial" w:eastAsia="Arial" w:hAnsi="Arial"/>
                <w:sz w:val="9"/>
                <w:szCs w:val="9"/>
                <w:b w:val="1"/>
                <w:bCs w:val="1"/>
                <w:color w:val="auto"/>
              </w:rPr>
              <w:t>For the year ended December 31, 2006</w:t>
            </w: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98"/>
        </w:trPr>
        <w:tc>
          <w:tcPr>
            <w:tcW w:w="4120" w:type="dxa"/>
            <w:vAlign w:val="bottom"/>
          </w:tcPr>
          <w:p>
            <w:pPr>
              <w:spacing w:after="0" w:line="98" w:lineRule="exact"/>
              <w:rPr>
                <w:sz w:val="20"/>
                <w:szCs w:val="20"/>
                <w:color w:val="auto"/>
              </w:rPr>
            </w:pPr>
            <w:r>
              <w:rPr>
                <w:rFonts w:ascii="Arial" w:cs="Arial" w:eastAsia="Arial" w:hAnsi="Arial"/>
                <w:sz w:val="9"/>
                <w:szCs w:val="9"/>
                <w:color w:val="auto"/>
              </w:rPr>
              <w:t>Net interest income(a)</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tcPr>
          <w:p>
            <w:pPr>
              <w:jc w:val="right"/>
              <w:ind w:right="320"/>
              <w:spacing w:after="0" w:line="98" w:lineRule="exact"/>
              <w:rPr>
                <w:sz w:val="20"/>
                <w:szCs w:val="20"/>
                <w:color w:val="auto"/>
              </w:rPr>
            </w:pPr>
            <w:r>
              <w:rPr>
                <w:rFonts w:ascii="Arial" w:cs="Arial" w:eastAsia="Arial" w:hAnsi="Arial"/>
                <w:sz w:val="9"/>
                <w:szCs w:val="9"/>
                <w:color w:val="auto"/>
              </w:rPr>
              <w:t>392,378</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228,975</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9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90,204</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100,144</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gridSpan w:val="2"/>
          </w:tcPr>
          <w:p>
            <w:pPr>
              <w:jc w:val="right"/>
              <w:ind w:right="280"/>
              <w:spacing w:after="0" w:line="98" w:lineRule="exact"/>
              <w:rPr>
                <w:sz w:val="20"/>
                <w:szCs w:val="20"/>
                <w:color w:val="auto"/>
              </w:rPr>
            </w:pPr>
            <w:r>
              <w:rPr>
                <w:rFonts w:ascii="Arial" w:cs="Arial" w:eastAsia="Arial" w:hAnsi="Arial"/>
                <w:sz w:val="9"/>
                <w:szCs w:val="9"/>
                <w:color w:val="auto"/>
              </w:rPr>
              <w:t>1,063,897</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(58,057)</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5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w w:val="94"/>
              </w:rPr>
              <w:t>1,817,541</w:t>
            </w:r>
          </w:p>
        </w:tc>
      </w:tr>
      <w:tr>
        <w:trPr>
          <w:trHeight w:val="98"/>
        </w:trPr>
        <w:tc>
          <w:tcPr>
            <w:tcW w:w="41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Noninterest income</w:t>
            </w:r>
          </w:p>
        </w:tc>
        <w:tc>
          <w:tcPr>
            <w:tcW w:w="6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320"/>
              <w:spacing w:after="0" w:line="98" w:lineRule="exact"/>
              <w:rPr>
                <w:sz w:val="20"/>
                <w:szCs w:val="20"/>
                <w:color w:val="auto"/>
              </w:rPr>
            </w:pPr>
            <w:r>
              <w:rPr>
                <w:rFonts w:ascii="Arial" w:cs="Arial" w:eastAsia="Arial" w:hAnsi="Arial"/>
                <w:sz w:val="9"/>
                <w:szCs w:val="9"/>
                <w:color w:val="auto"/>
              </w:rPr>
              <w:t>157,293</w:t>
            </w:r>
          </w:p>
        </w:tc>
        <w:tc>
          <w:tcPr>
            <w:tcW w:w="6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42,716</w:t>
            </w:r>
          </w:p>
        </w:tc>
        <w:tc>
          <w:tcPr>
            <w:tcW w:w="6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63,922</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183,677</w:t>
            </w: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80"/>
              <w:spacing w:after="0" w:line="98" w:lineRule="exact"/>
              <w:rPr>
                <w:sz w:val="20"/>
                <w:szCs w:val="20"/>
                <w:color w:val="auto"/>
              </w:rPr>
            </w:pPr>
            <w:r>
              <w:rPr>
                <w:rFonts w:ascii="Arial" w:cs="Arial" w:eastAsia="Arial" w:hAnsi="Arial"/>
                <w:sz w:val="9"/>
                <w:szCs w:val="9"/>
                <w:color w:val="auto"/>
              </w:rPr>
              <w:t>403,369</w:t>
            </w: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194,875</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94"/>
              </w:rPr>
              <w:t>1,045,852</w:t>
            </w:r>
          </w:p>
        </w:tc>
      </w:tr>
      <w:tr>
        <w:trPr>
          <w:trHeight w:val="98"/>
        </w:trPr>
        <w:tc>
          <w:tcPr>
            <w:tcW w:w="4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549,671</w:t>
            </w:r>
          </w:p>
        </w:tc>
        <w:tc>
          <w:tcPr>
            <w:tcW w:w="3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271,691</w:t>
            </w:r>
          </w:p>
        </w:tc>
        <w:tc>
          <w:tcPr>
            <w:tcW w:w="3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154,126</w:t>
            </w:r>
          </w:p>
        </w:tc>
        <w:tc>
          <w:tcPr>
            <w:tcW w:w="3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283,821</w:t>
            </w:r>
          </w:p>
        </w:tc>
        <w:tc>
          <w:tcPr>
            <w:tcW w:w="3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1,467,266</w:t>
            </w:r>
          </w:p>
        </w:tc>
        <w:tc>
          <w:tcPr>
            <w:tcW w:w="2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136,818</w:t>
            </w:r>
          </w:p>
        </w:tc>
        <w:tc>
          <w:tcPr>
            <w:tcW w:w="3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94"/>
              </w:rPr>
              <w:t>2,863,393</w:t>
            </w:r>
          </w:p>
        </w:tc>
        <w:tc>
          <w:tcPr>
            <w:tcW w:w="100" w:type="dxa"/>
            <w:vAlign w:val="bottom"/>
          </w:tcPr>
          <w:p>
            <w:pPr>
              <w:spacing w:after="0"/>
              <w:rPr>
                <w:sz w:val="8"/>
                <w:szCs w:val="8"/>
                <w:color w:val="auto"/>
              </w:rPr>
            </w:pPr>
          </w:p>
        </w:tc>
      </w:tr>
      <w:tr>
        <w:trPr>
          <w:trHeight w:val="98"/>
        </w:trPr>
        <w:tc>
          <w:tcPr>
            <w:tcW w:w="41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Provision for credit losses</w:t>
            </w:r>
          </w:p>
        </w:tc>
        <w:tc>
          <w:tcPr>
            <w:tcW w:w="6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320"/>
              <w:spacing w:after="0" w:line="98" w:lineRule="exact"/>
              <w:rPr>
                <w:sz w:val="20"/>
                <w:szCs w:val="20"/>
                <w:color w:val="auto"/>
              </w:rPr>
            </w:pPr>
            <w:r>
              <w:rPr>
                <w:rFonts w:ascii="Arial" w:cs="Arial" w:eastAsia="Arial" w:hAnsi="Arial"/>
                <w:sz w:val="9"/>
                <w:szCs w:val="9"/>
                <w:color w:val="auto"/>
              </w:rPr>
              <w:t>5,649</w:t>
            </w:r>
          </w:p>
        </w:tc>
        <w:tc>
          <w:tcPr>
            <w:tcW w:w="6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280"/>
              <w:spacing w:after="0" w:line="98" w:lineRule="exact"/>
              <w:rPr>
                <w:sz w:val="20"/>
                <w:szCs w:val="20"/>
                <w:color w:val="auto"/>
              </w:rPr>
            </w:pPr>
            <w:r>
              <w:rPr>
                <w:rFonts w:ascii="Arial" w:cs="Arial" w:eastAsia="Arial" w:hAnsi="Arial"/>
                <w:sz w:val="9"/>
                <w:szCs w:val="9"/>
                <w:color w:val="auto"/>
              </w:rPr>
              <w:t>(172)</w:t>
            </w:r>
          </w:p>
        </w:tc>
        <w:tc>
          <w:tcPr>
            <w:tcW w:w="6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1,608</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953</w:t>
            </w: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80"/>
              <w:spacing w:after="0" w:line="98" w:lineRule="exact"/>
              <w:rPr>
                <w:sz w:val="20"/>
                <w:szCs w:val="20"/>
                <w:color w:val="auto"/>
              </w:rPr>
            </w:pPr>
            <w:r>
              <w:rPr>
                <w:rFonts w:ascii="Arial" w:cs="Arial" w:eastAsia="Arial" w:hAnsi="Arial"/>
                <w:sz w:val="9"/>
                <w:szCs w:val="9"/>
                <w:color w:val="auto"/>
              </w:rPr>
              <w:t>55,282</w:t>
            </w: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16,680</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80,000</w:t>
            </w:r>
          </w:p>
        </w:tc>
      </w:tr>
      <w:tr>
        <w:trPr>
          <w:trHeight w:val="98"/>
        </w:trPr>
        <w:tc>
          <w:tcPr>
            <w:tcW w:w="4120" w:type="dxa"/>
            <w:vAlign w:val="bottom"/>
          </w:tcPr>
          <w:p>
            <w:pPr>
              <w:spacing w:after="0" w:line="98" w:lineRule="exact"/>
              <w:rPr>
                <w:sz w:val="20"/>
                <w:szCs w:val="20"/>
                <w:color w:val="auto"/>
              </w:rPr>
            </w:pPr>
            <w:r>
              <w:rPr>
                <w:rFonts w:ascii="Arial" w:cs="Arial" w:eastAsia="Arial" w:hAnsi="Arial"/>
                <w:sz w:val="9"/>
                <w:szCs w:val="9"/>
                <w:color w:val="auto"/>
              </w:rPr>
              <w:t>Amortization of core deposit and other intangible assets</w:t>
            </w:r>
          </w:p>
        </w:tc>
        <w:tc>
          <w:tcPr>
            <w:tcW w:w="60" w:type="dxa"/>
            <w:vAlign w:val="bottom"/>
          </w:tcPr>
          <w:p>
            <w:pPr>
              <w:spacing w:after="0"/>
              <w:rPr>
                <w:sz w:val="8"/>
                <w:szCs w:val="8"/>
                <w:color w:val="auto"/>
              </w:rPr>
            </w:pPr>
          </w:p>
        </w:tc>
        <w:tc>
          <w:tcPr>
            <w:tcW w:w="860" w:type="dxa"/>
            <w:vAlign w:val="bottom"/>
            <w:gridSpan w:val="2"/>
          </w:tcPr>
          <w:p>
            <w:pPr>
              <w:jc w:val="right"/>
              <w:ind w:right="32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9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720" w:type="dxa"/>
            <w:vAlign w:val="bottom"/>
            <w:gridSpan w:val="2"/>
          </w:tcPr>
          <w:p>
            <w:pPr>
              <w:jc w:val="right"/>
              <w:ind w:right="2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74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63,008</w:t>
            </w:r>
          </w:p>
        </w:tc>
        <w:tc>
          <w:tcPr>
            <w:tcW w:w="80" w:type="dxa"/>
            <w:vAlign w:val="bottom"/>
          </w:tcPr>
          <w:p>
            <w:pPr>
              <w:spacing w:after="0"/>
              <w:rPr>
                <w:sz w:val="8"/>
                <w:szCs w:val="8"/>
                <w:color w:val="auto"/>
              </w:rPr>
            </w:pPr>
          </w:p>
        </w:tc>
        <w:tc>
          <w:tcPr>
            <w:tcW w:w="5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63,008</w:t>
            </w:r>
          </w:p>
        </w:tc>
      </w:tr>
      <w:tr>
        <w:trPr>
          <w:trHeight w:val="98"/>
        </w:trPr>
        <w:tc>
          <w:tcPr>
            <w:tcW w:w="41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Depreciation and other amortization</w:t>
            </w:r>
          </w:p>
        </w:tc>
        <w:tc>
          <w:tcPr>
            <w:tcW w:w="6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320"/>
              <w:spacing w:after="0" w:line="98" w:lineRule="exact"/>
              <w:rPr>
                <w:sz w:val="20"/>
                <w:szCs w:val="20"/>
                <w:color w:val="auto"/>
              </w:rPr>
            </w:pPr>
            <w:r>
              <w:rPr>
                <w:rFonts w:ascii="Arial" w:cs="Arial" w:eastAsia="Arial" w:hAnsi="Arial"/>
                <w:sz w:val="9"/>
                <w:szCs w:val="9"/>
                <w:color w:val="auto"/>
              </w:rPr>
              <w:t>513</w:t>
            </w:r>
          </w:p>
        </w:tc>
        <w:tc>
          <w:tcPr>
            <w:tcW w:w="6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5,804</w:t>
            </w:r>
          </w:p>
        </w:tc>
        <w:tc>
          <w:tcPr>
            <w:tcW w:w="6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4,073</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52,649</w:t>
            </w: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80"/>
              <w:spacing w:after="0" w:line="98" w:lineRule="exact"/>
              <w:rPr>
                <w:sz w:val="20"/>
                <w:szCs w:val="20"/>
                <w:color w:val="auto"/>
              </w:rPr>
            </w:pPr>
            <w:r>
              <w:rPr>
                <w:rFonts w:ascii="Arial" w:cs="Arial" w:eastAsia="Arial" w:hAnsi="Arial"/>
                <w:sz w:val="9"/>
                <w:szCs w:val="9"/>
                <w:color w:val="auto"/>
              </w:rPr>
              <w:t>25,960</w:t>
            </w: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23,924</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112,923</w:t>
            </w:r>
          </w:p>
        </w:tc>
      </w:tr>
      <w:tr>
        <w:trPr>
          <w:trHeight w:val="98"/>
        </w:trPr>
        <w:tc>
          <w:tcPr>
            <w:tcW w:w="4120" w:type="dxa"/>
            <w:vAlign w:val="bottom"/>
          </w:tcPr>
          <w:p>
            <w:pPr>
              <w:spacing w:after="0" w:line="98" w:lineRule="exact"/>
              <w:rPr>
                <w:sz w:val="20"/>
                <w:szCs w:val="20"/>
                <w:color w:val="auto"/>
              </w:rPr>
            </w:pPr>
            <w:r>
              <w:rPr>
                <w:rFonts w:ascii="Arial" w:cs="Arial" w:eastAsia="Arial" w:hAnsi="Arial"/>
                <w:sz w:val="9"/>
                <w:szCs w:val="9"/>
                <w:color w:val="auto"/>
              </w:rPr>
              <w:t>Other noninterest expense</w:t>
            </w:r>
          </w:p>
        </w:tc>
        <w:tc>
          <w:tcPr>
            <w:tcW w:w="60" w:type="dxa"/>
            <w:vAlign w:val="bottom"/>
          </w:tcPr>
          <w:p>
            <w:pPr>
              <w:spacing w:after="0"/>
              <w:rPr>
                <w:sz w:val="8"/>
                <w:szCs w:val="8"/>
                <w:color w:val="auto"/>
              </w:rPr>
            </w:pPr>
          </w:p>
        </w:tc>
        <w:tc>
          <w:tcPr>
            <w:tcW w:w="860" w:type="dxa"/>
            <w:vAlign w:val="bottom"/>
            <w:gridSpan w:val="2"/>
          </w:tcPr>
          <w:p>
            <w:pPr>
              <w:jc w:val="right"/>
              <w:ind w:right="320"/>
              <w:spacing w:after="0" w:line="98" w:lineRule="exact"/>
              <w:rPr>
                <w:sz w:val="20"/>
                <w:szCs w:val="20"/>
                <w:color w:val="auto"/>
              </w:rPr>
            </w:pPr>
            <w:r>
              <w:rPr>
                <w:rFonts w:ascii="Arial" w:cs="Arial" w:eastAsia="Arial" w:hAnsi="Arial"/>
                <w:sz w:val="9"/>
                <w:szCs w:val="9"/>
                <w:color w:val="auto"/>
              </w:rPr>
              <w:t>159,998</w:t>
            </w:r>
          </w:p>
        </w:tc>
        <w:tc>
          <w:tcPr>
            <w:tcW w:w="60" w:type="dxa"/>
            <w:vAlign w:val="bottom"/>
          </w:tcPr>
          <w:p>
            <w:pPr>
              <w:spacing w:after="0"/>
              <w:rPr>
                <w:sz w:val="8"/>
                <w:szCs w:val="8"/>
                <w:color w:val="auto"/>
              </w:rPr>
            </w:pPr>
          </w:p>
        </w:tc>
        <w:tc>
          <w:tcPr>
            <w:tcW w:w="8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65,316</w:t>
            </w:r>
          </w:p>
        </w:tc>
        <w:tc>
          <w:tcPr>
            <w:tcW w:w="60" w:type="dxa"/>
            <w:vAlign w:val="bottom"/>
          </w:tcPr>
          <w:p>
            <w:pPr>
              <w:spacing w:after="0"/>
              <w:rPr>
                <w:sz w:val="8"/>
                <w:szCs w:val="8"/>
                <w:color w:val="auto"/>
              </w:rPr>
            </w:pPr>
          </w:p>
        </w:tc>
        <w:tc>
          <w:tcPr>
            <w:tcW w:w="9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19,837</w:t>
            </w:r>
          </w:p>
        </w:tc>
        <w:tc>
          <w:tcPr>
            <w:tcW w:w="60" w:type="dxa"/>
            <w:vAlign w:val="bottom"/>
          </w:tcPr>
          <w:p>
            <w:pPr>
              <w:spacing w:after="0"/>
              <w:rPr>
                <w:sz w:val="8"/>
                <w:szCs w:val="8"/>
                <w:color w:val="auto"/>
              </w:rPr>
            </w:pPr>
          </w:p>
        </w:tc>
        <w:tc>
          <w:tcPr>
            <w:tcW w:w="8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148,432</w:t>
            </w:r>
          </w:p>
        </w:tc>
        <w:tc>
          <w:tcPr>
            <w:tcW w:w="60" w:type="dxa"/>
            <w:vAlign w:val="bottom"/>
          </w:tcPr>
          <w:p>
            <w:pPr>
              <w:spacing w:after="0"/>
              <w:rPr>
                <w:sz w:val="8"/>
                <w:szCs w:val="8"/>
                <w:color w:val="auto"/>
              </w:rPr>
            </w:pPr>
          </w:p>
        </w:tc>
        <w:tc>
          <w:tcPr>
            <w:tcW w:w="720" w:type="dxa"/>
            <w:vAlign w:val="bottom"/>
            <w:gridSpan w:val="2"/>
          </w:tcPr>
          <w:p>
            <w:pPr>
              <w:jc w:val="right"/>
              <w:ind w:right="280"/>
              <w:spacing w:after="0" w:line="98" w:lineRule="exact"/>
              <w:rPr>
                <w:sz w:val="20"/>
                <w:szCs w:val="20"/>
                <w:color w:val="auto"/>
              </w:rPr>
            </w:pPr>
            <w:r>
              <w:rPr>
                <w:rFonts w:ascii="Arial" w:cs="Arial" w:eastAsia="Arial" w:hAnsi="Arial"/>
                <w:sz w:val="9"/>
                <w:szCs w:val="9"/>
                <w:color w:val="auto"/>
              </w:rPr>
              <w:t>692,907</w:t>
            </w:r>
          </w:p>
        </w:tc>
        <w:tc>
          <w:tcPr>
            <w:tcW w:w="60" w:type="dxa"/>
            <w:vAlign w:val="bottom"/>
          </w:tcPr>
          <w:p>
            <w:pPr>
              <w:spacing w:after="0"/>
              <w:rPr>
                <w:sz w:val="8"/>
                <w:szCs w:val="8"/>
                <w:color w:val="auto"/>
              </w:rPr>
            </w:pPr>
          </w:p>
        </w:tc>
        <w:tc>
          <w:tcPr>
            <w:tcW w:w="74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289,330</w:t>
            </w:r>
          </w:p>
        </w:tc>
        <w:tc>
          <w:tcPr>
            <w:tcW w:w="80" w:type="dxa"/>
            <w:vAlign w:val="bottom"/>
          </w:tcPr>
          <w:p>
            <w:pPr>
              <w:spacing w:after="0"/>
              <w:rPr>
                <w:sz w:val="8"/>
                <w:szCs w:val="8"/>
                <w:color w:val="auto"/>
              </w:rPr>
            </w:pPr>
          </w:p>
        </w:tc>
        <w:tc>
          <w:tcPr>
            <w:tcW w:w="5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w w:val="94"/>
              </w:rPr>
              <w:t>1,375,820</w:t>
            </w:r>
          </w:p>
        </w:tc>
      </w:tr>
      <w:tr>
        <w:trPr>
          <w:trHeight w:val="20"/>
        </w:trPr>
        <w:tc>
          <w:tcPr>
            <w:tcW w:w="4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41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Income (loss) before taxes</w:t>
            </w:r>
          </w:p>
        </w:tc>
        <w:tc>
          <w:tcPr>
            <w:tcW w:w="6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320"/>
              <w:spacing w:after="0" w:line="98" w:lineRule="exact"/>
              <w:rPr>
                <w:sz w:val="20"/>
                <w:szCs w:val="20"/>
                <w:color w:val="auto"/>
              </w:rPr>
            </w:pPr>
            <w:r>
              <w:rPr>
                <w:rFonts w:ascii="Arial" w:cs="Arial" w:eastAsia="Arial" w:hAnsi="Arial"/>
                <w:sz w:val="9"/>
                <w:szCs w:val="9"/>
                <w:color w:val="auto"/>
              </w:rPr>
              <w:t>383,511</w:t>
            </w:r>
          </w:p>
        </w:tc>
        <w:tc>
          <w:tcPr>
            <w:tcW w:w="6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200,743</w:t>
            </w:r>
          </w:p>
        </w:tc>
        <w:tc>
          <w:tcPr>
            <w:tcW w:w="6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128,608</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81,787</w:t>
            </w: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80"/>
              <w:spacing w:after="0" w:line="98" w:lineRule="exact"/>
              <w:rPr>
                <w:sz w:val="20"/>
                <w:szCs w:val="20"/>
                <w:color w:val="auto"/>
              </w:rPr>
            </w:pPr>
            <w:r>
              <w:rPr>
                <w:rFonts w:ascii="Arial" w:cs="Arial" w:eastAsia="Arial" w:hAnsi="Arial"/>
                <w:sz w:val="9"/>
                <w:szCs w:val="9"/>
                <w:color w:val="auto"/>
              </w:rPr>
              <w:t>693,117</w:t>
            </w: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(256,124)</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94"/>
              </w:rPr>
              <w:t>1,231,642</w:t>
            </w:r>
          </w:p>
        </w:tc>
      </w:tr>
      <w:tr>
        <w:trPr>
          <w:trHeight w:val="98"/>
        </w:trPr>
        <w:tc>
          <w:tcPr>
            <w:tcW w:w="4120" w:type="dxa"/>
            <w:vAlign w:val="bottom"/>
          </w:tcPr>
          <w:p>
            <w:pPr>
              <w:spacing w:after="0" w:line="98" w:lineRule="exact"/>
              <w:rPr>
                <w:sz w:val="20"/>
                <w:szCs w:val="20"/>
                <w:color w:val="auto"/>
              </w:rPr>
            </w:pPr>
            <w:r>
              <w:rPr>
                <w:rFonts w:ascii="Arial" w:cs="Arial" w:eastAsia="Arial" w:hAnsi="Arial"/>
                <w:sz w:val="9"/>
                <w:szCs w:val="9"/>
                <w:color w:val="auto"/>
              </w:rPr>
              <w:t>Income tax expense (benefit)</w:t>
            </w:r>
          </w:p>
        </w:tc>
        <w:tc>
          <w:tcPr>
            <w:tcW w:w="60" w:type="dxa"/>
            <w:vAlign w:val="bottom"/>
          </w:tcPr>
          <w:p>
            <w:pPr>
              <w:spacing w:after="0"/>
              <w:rPr>
                <w:sz w:val="8"/>
                <w:szCs w:val="8"/>
                <w:color w:val="auto"/>
              </w:rPr>
            </w:pPr>
          </w:p>
        </w:tc>
        <w:tc>
          <w:tcPr>
            <w:tcW w:w="860" w:type="dxa"/>
            <w:vAlign w:val="bottom"/>
            <w:gridSpan w:val="2"/>
          </w:tcPr>
          <w:p>
            <w:pPr>
              <w:jc w:val="right"/>
              <w:ind w:right="320"/>
              <w:spacing w:after="0" w:line="98" w:lineRule="exact"/>
              <w:rPr>
                <w:sz w:val="20"/>
                <w:szCs w:val="20"/>
                <w:color w:val="auto"/>
              </w:rPr>
            </w:pPr>
            <w:r>
              <w:rPr>
                <w:rFonts w:ascii="Arial" w:cs="Arial" w:eastAsia="Arial" w:hAnsi="Arial"/>
                <w:sz w:val="9"/>
                <w:szCs w:val="9"/>
                <w:color w:val="auto"/>
              </w:rPr>
              <w:t>157,742</w:t>
            </w:r>
          </w:p>
        </w:tc>
        <w:tc>
          <w:tcPr>
            <w:tcW w:w="60" w:type="dxa"/>
            <w:vAlign w:val="bottom"/>
          </w:tcPr>
          <w:p>
            <w:pPr>
              <w:spacing w:after="0"/>
              <w:rPr>
                <w:sz w:val="8"/>
                <w:szCs w:val="8"/>
                <w:color w:val="auto"/>
              </w:rPr>
            </w:pPr>
          </w:p>
        </w:tc>
        <w:tc>
          <w:tcPr>
            <w:tcW w:w="8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65,892</w:t>
            </w:r>
          </w:p>
        </w:tc>
        <w:tc>
          <w:tcPr>
            <w:tcW w:w="60" w:type="dxa"/>
            <w:vAlign w:val="bottom"/>
          </w:tcPr>
          <w:p>
            <w:pPr>
              <w:spacing w:after="0"/>
              <w:rPr>
                <w:sz w:val="8"/>
                <w:szCs w:val="8"/>
                <w:color w:val="auto"/>
              </w:rPr>
            </w:pPr>
          </w:p>
        </w:tc>
        <w:tc>
          <w:tcPr>
            <w:tcW w:w="9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32,795</w:t>
            </w:r>
          </w:p>
        </w:tc>
        <w:tc>
          <w:tcPr>
            <w:tcW w:w="60" w:type="dxa"/>
            <w:vAlign w:val="bottom"/>
          </w:tcPr>
          <w:p>
            <w:pPr>
              <w:spacing w:after="0"/>
              <w:rPr>
                <w:sz w:val="8"/>
                <w:szCs w:val="8"/>
                <w:color w:val="auto"/>
              </w:rPr>
            </w:pPr>
          </w:p>
        </w:tc>
        <w:tc>
          <w:tcPr>
            <w:tcW w:w="8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29,611</w:t>
            </w:r>
          </w:p>
        </w:tc>
        <w:tc>
          <w:tcPr>
            <w:tcW w:w="60" w:type="dxa"/>
            <w:vAlign w:val="bottom"/>
          </w:tcPr>
          <w:p>
            <w:pPr>
              <w:spacing w:after="0"/>
              <w:rPr>
                <w:sz w:val="8"/>
                <w:szCs w:val="8"/>
                <w:color w:val="auto"/>
              </w:rPr>
            </w:pPr>
          </w:p>
        </w:tc>
        <w:tc>
          <w:tcPr>
            <w:tcW w:w="720" w:type="dxa"/>
            <w:vAlign w:val="bottom"/>
            <w:gridSpan w:val="2"/>
          </w:tcPr>
          <w:p>
            <w:pPr>
              <w:jc w:val="right"/>
              <w:ind w:right="280"/>
              <w:spacing w:after="0" w:line="98" w:lineRule="exact"/>
              <w:rPr>
                <w:sz w:val="20"/>
                <w:szCs w:val="20"/>
                <w:color w:val="auto"/>
              </w:rPr>
            </w:pPr>
            <w:r>
              <w:rPr>
                <w:rFonts w:ascii="Arial" w:cs="Arial" w:eastAsia="Arial" w:hAnsi="Arial"/>
                <w:sz w:val="9"/>
                <w:szCs w:val="9"/>
                <w:color w:val="auto"/>
              </w:rPr>
              <w:t>282,716</w:t>
            </w:r>
          </w:p>
        </w:tc>
        <w:tc>
          <w:tcPr>
            <w:tcW w:w="60" w:type="dxa"/>
            <w:vAlign w:val="bottom"/>
          </w:tcPr>
          <w:p>
            <w:pPr>
              <w:spacing w:after="0"/>
              <w:rPr>
                <w:sz w:val="8"/>
                <w:szCs w:val="8"/>
                <w:color w:val="auto"/>
              </w:rPr>
            </w:pPr>
          </w:p>
        </w:tc>
        <w:tc>
          <w:tcPr>
            <w:tcW w:w="7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(176,303)</w:t>
            </w:r>
          </w:p>
        </w:tc>
        <w:tc>
          <w:tcPr>
            <w:tcW w:w="80" w:type="dxa"/>
            <w:vAlign w:val="bottom"/>
          </w:tcPr>
          <w:p>
            <w:pPr>
              <w:spacing w:after="0"/>
              <w:rPr>
                <w:sz w:val="8"/>
                <w:szCs w:val="8"/>
                <w:color w:val="auto"/>
              </w:rPr>
            </w:pPr>
          </w:p>
        </w:tc>
        <w:tc>
          <w:tcPr>
            <w:tcW w:w="5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392,453</w:t>
            </w:r>
          </w:p>
        </w:tc>
      </w:tr>
      <w:tr>
        <w:trPr>
          <w:trHeight w:val="20"/>
        </w:trPr>
        <w:tc>
          <w:tcPr>
            <w:tcW w:w="4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7"/>
        </w:trPr>
        <w:tc>
          <w:tcPr>
            <w:tcW w:w="41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Net income (loss)</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EEFF"/>
          </w:tcPr>
          <w:p>
            <w:pPr>
              <w:jc w:val="right"/>
              <w:ind w:right="320"/>
              <w:spacing w:after="0" w:line="98" w:lineRule="exact"/>
              <w:rPr>
                <w:sz w:val="20"/>
                <w:szCs w:val="20"/>
                <w:color w:val="auto"/>
              </w:rPr>
            </w:pPr>
            <w:r>
              <w:rPr>
                <w:rFonts w:ascii="Arial" w:cs="Arial" w:eastAsia="Arial" w:hAnsi="Arial"/>
                <w:sz w:val="9"/>
                <w:szCs w:val="9"/>
                <w:color w:val="auto"/>
              </w:rPr>
              <w:t>225,769</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134,851</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95,813</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52,176</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280"/>
              <w:spacing w:after="0" w:line="98" w:lineRule="exact"/>
              <w:rPr>
                <w:sz w:val="20"/>
                <w:szCs w:val="20"/>
                <w:color w:val="auto"/>
              </w:rPr>
            </w:pPr>
            <w:r>
              <w:rPr>
                <w:rFonts w:ascii="Arial" w:cs="Arial" w:eastAsia="Arial" w:hAnsi="Arial"/>
                <w:sz w:val="9"/>
                <w:szCs w:val="9"/>
                <w:color w:val="auto"/>
              </w:rPr>
              <w:t>410,401</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(79,821)</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839,189</w:t>
            </w:r>
          </w:p>
        </w:tc>
      </w:tr>
      <w:tr>
        <w:trPr>
          <w:trHeight w:val="108"/>
        </w:trPr>
        <w:tc>
          <w:tcPr>
            <w:tcW w:w="4120" w:type="dxa"/>
            <w:vAlign w:val="bottom"/>
          </w:tcPr>
          <w:p>
            <w:pPr>
              <w:spacing w:after="0"/>
              <w:rPr>
                <w:sz w:val="20"/>
                <w:szCs w:val="20"/>
                <w:color w:val="auto"/>
              </w:rPr>
            </w:pPr>
            <w:r>
              <w:rPr>
                <w:rFonts w:ascii="Arial" w:cs="Arial" w:eastAsia="Arial" w:hAnsi="Arial"/>
                <w:sz w:val="9"/>
                <w:szCs w:val="9"/>
                <w:color w:val="auto"/>
              </w:rPr>
              <w:t>Average total assets (in millions)</w:t>
            </w: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12,688</w:t>
            </w:r>
          </w:p>
        </w:tc>
        <w:tc>
          <w:tcPr>
            <w:tcW w:w="320" w:type="dxa"/>
            <w:vAlign w:val="bottom"/>
          </w:tcPr>
          <w:p>
            <w:pPr>
              <w:spacing w:after="0"/>
              <w:rPr>
                <w:sz w:val="9"/>
                <w:szCs w:val="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8,448</w:t>
            </w:r>
          </w:p>
        </w:tc>
        <w:tc>
          <w:tcPr>
            <w:tcW w:w="320" w:type="dxa"/>
            <w:vAlign w:val="bottom"/>
          </w:tcPr>
          <w:p>
            <w:pPr>
              <w:spacing w:after="0"/>
              <w:rPr>
                <w:sz w:val="9"/>
                <w:szCs w:val="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12,136</w:t>
            </w:r>
          </w:p>
        </w:tc>
        <w:tc>
          <w:tcPr>
            <w:tcW w:w="300" w:type="dxa"/>
            <w:vAlign w:val="bottom"/>
          </w:tcPr>
          <w:p>
            <w:pPr>
              <w:spacing w:after="0"/>
              <w:rPr>
                <w:sz w:val="9"/>
                <w:szCs w:val="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3,462</w:t>
            </w:r>
          </w:p>
        </w:tc>
        <w:tc>
          <w:tcPr>
            <w:tcW w:w="300" w:type="dxa"/>
            <w:vAlign w:val="bottom"/>
          </w:tcPr>
          <w:p>
            <w:pPr>
              <w:spacing w:after="0"/>
              <w:rPr>
                <w:sz w:val="9"/>
                <w:szCs w:val="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14,107</w:t>
            </w:r>
          </w:p>
        </w:tc>
        <w:tc>
          <w:tcPr>
            <w:tcW w:w="280" w:type="dxa"/>
            <w:vAlign w:val="bottom"/>
          </w:tcPr>
          <w:p>
            <w:pPr>
              <w:spacing w:after="0"/>
              <w:rPr>
                <w:sz w:val="9"/>
                <w:szCs w:val="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4,998</w:t>
            </w:r>
          </w:p>
        </w:tc>
        <w:tc>
          <w:tcPr>
            <w:tcW w:w="300" w:type="dxa"/>
            <w:vAlign w:val="bottom"/>
          </w:tcPr>
          <w:p>
            <w:pPr>
              <w:spacing w:after="0"/>
              <w:rPr>
                <w:sz w:val="9"/>
                <w:szCs w:val="9"/>
                <w:color w:val="auto"/>
              </w:rPr>
            </w:pPr>
          </w:p>
        </w:tc>
        <w:tc>
          <w:tcPr>
            <w:tcW w:w="80" w:type="dxa"/>
            <w:vAlign w:val="bottom"/>
            <w:tcBorders>
              <w:top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55,839</w:t>
            </w:r>
          </w:p>
        </w:tc>
        <w:tc>
          <w:tcPr>
            <w:tcW w:w="100" w:type="dxa"/>
            <w:vAlign w:val="bottom"/>
          </w:tcPr>
          <w:p>
            <w:pPr>
              <w:spacing w:after="0"/>
              <w:rPr>
                <w:sz w:val="9"/>
                <w:szCs w:val="9"/>
                <w:color w:val="auto"/>
              </w:rPr>
            </w:pPr>
          </w:p>
        </w:tc>
      </w:tr>
      <w:tr>
        <w:trPr>
          <w:trHeight w:val="98"/>
        </w:trPr>
        <w:tc>
          <w:tcPr>
            <w:tcW w:w="41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Capital expenditures (in millions)</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EEFF"/>
          </w:tcPr>
          <w:p>
            <w:pPr>
              <w:jc w:val="right"/>
              <w:ind w:right="32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280"/>
              <w:spacing w:after="0" w:line="98" w:lineRule="exact"/>
              <w:rPr>
                <w:sz w:val="20"/>
                <w:szCs w:val="20"/>
                <w:color w:val="auto"/>
              </w:rPr>
            </w:pPr>
            <w:r>
              <w:rPr>
                <w:rFonts w:ascii="Arial" w:cs="Arial" w:eastAsia="Arial" w:hAnsi="Arial"/>
                <w:sz w:val="9"/>
                <w:szCs w:val="9"/>
                <w:color w:val="auto"/>
              </w:rPr>
              <w:t>29</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12</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42</w:t>
            </w:r>
          </w:p>
        </w:tc>
      </w:tr>
      <w:tr>
        <w:trPr>
          <w:trHeight w:val="157"/>
        </w:trPr>
        <w:tc>
          <w:tcPr>
            <w:tcW w:w="4120" w:type="dxa"/>
            <w:vAlign w:val="bottom"/>
          </w:tcPr>
          <w:p>
            <w:pPr>
              <w:spacing w:after="0"/>
              <w:rPr>
                <w:sz w:val="20"/>
                <w:szCs w:val="20"/>
                <w:color w:val="auto"/>
              </w:rPr>
            </w:pPr>
            <w:r>
              <w:rPr>
                <w:rFonts w:ascii="Arial" w:cs="Arial" w:eastAsia="Arial" w:hAnsi="Arial"/>
                <w:sz w:val="9"/>
                <w:szCs w:val="9"/>
                <w:b w:val="1"/>
                <w:bCs w:val="1"/>
                <w:color w:val="auto"/>
              </w:rPr>
              <w:t>For the year ended December 31, 2005</w:t>
            </w: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98"/>
        </w:trPr>
        <w:tc>
          <w:tcPr>
            <w:tcW w:w="41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Net interest income(a)</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EEFF"/>
          </w:tcPr>
          <w:p>
            <w:pPr>
              <w:jc w:val="right"/>
              <w:ind w:right="320"/>
              <w:spacing w:after="0" w:line="98" w:lineRule="exact"/>
              <w:rPr>
                <w:sz w:val="20"/>
                <w:szCs w:val="20"/>
                <w:color w:val="auto"/>
              </w:rPr>
            </w:pPr>
            <w:r>
              <w:rPr>
                <w:rFonts w:ascii="Arial" w:cs="Arial" w:eastAsia="Arial" w:hAnsi="Arial"/>
                <w:sz w:val="9"/>
                <w:szCs w:val="9"/>
                <w:color w:val="auto"/>
              </w:rPr>
              <w:t>366,894</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236,937</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128,794</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92,071</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280"/>
              <w:spacing w:after="0" w:line="98" w:lineRule="exact"/>
              <w:rPr>
                <w:sz w:val="20"/>
                <w:szCs w:val="20"/>
                <w:color w:val="auto"/>
              </w:rPr>
            </w:pPr>
            <w:r>
              <w:rPr>
                <w:rFonts w:ascii="Arial" w:cs="Arial" w:eastAsia="Arial" w:hAnsi="Arial"/>
                <w:sz w:val="9"/>
                <w:szCs w:val="9"/>
                <w:color w:val="auto"/>
              </w:rPr>
              <w:t>945,273</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24,374</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94"/>
              </w:rPr>
              <w:t>1,794,343</w:t>
            </w:r>
          </w:p>
        </w:tc>
      </w:tr>
      <w:tr>
        <w:trPr>
          <w:trHeight w:val="98"/>
        </w:trPr>
        <w:tc>
          <w:tcPr>
            <w:tcW w:w="4120" w:type="dxa"/>
            <w:vAlign w:val="bottom"/>
          </w:tcPr>
          <w:p>
            <w:pPr>
              <w:spacing w:after="0" w:line="98" w:lineRule="exact"/>
              <w:rPr>
                <w:sz w:val="20"/>
                <w:szCs w:val="20"/>
                <w:color w:val="auto"/>
              </w:rPr>
            </w:pPr>
            <w:r>
              <w:rPr>
                <w:rFonts w:ascii="Arial" w:cs="Arial" w:eastAsia="Arial" w:hAnsi="Arial"/>
                <w:sz w:val="9"/>
                <w:szCs w:val="9"/>
                <w:color w:val="auto"/>
              </w:rPr>
              <w:t>Noninterest income</w:t>
            </w:r>
          </w:p>
        </w:tc>
        <w:tc>
          <w:tcPr>
            <w:tcW w:w="60" w:type="dxa"/>
            <w:vAlign w:val="bottom"/>
          </w:tcPr>
          <w:p>
            <w:pPr>
              <w:spacing w:after="0"/>
              <w:rPr>
                <w:sz w:val="8"/>
                <w:szCs w:val="8"/>
                <w:color w:val="auto"/>
              </w:rPr>
            </w:pPr>
          </w:p>
        </w:tc>
        <w:tc>
          <w:tcPr>
            <w:tcW w:w="860" w:type="dxa"/>
            <w:vAlign w:val="bottom"/>
            <w:gridSpan w:val="2"/>
          </w:tcPr>
          <w:p>
            <w:pPr>
              <w:jc w:val="right"/>
              <w:ind w:right="320"/>
              <w:spacing w:after="0" w:line="98" w:lineRule="exact"/>
              <w:rPr>
                <w:sz w:val="20"/>
                <w:szCs w:val="20"/>
                <w:color w:val="auto"/>
              </w:rPr>
            </w:pPr>
            <w:r>
              <w:rPr>
                <w:rFonts w:ascii="Arial" w:cs="Arial" w:eastAsia="Arial" w:hAnsi="Arial"/>
                <w:sz w:val="9"/>
                <w:szCs w:val="9"/>
                <w:color w:val="auto"/>
              </w:rPr>
              <w:t>161,170</w:t>
            </w:r>
          </w:p>
        </w:tc>
        <w:tc>
          <w:tcPr>
            <w:tcW w:w="60" w:type="dxa"/>
            <w:vAlign w:val="bottom"/>
          </w:tcPr>
          <w:p>
            <w:pPr>
              <w:spacing w:after="0"/>
              <w:rPr>
                <w:sz w:val="8"/>
                <w:szCs w:val="8"/>
                <w:color w:val="auto"/>
              </w:rPr>
            </w:pPr>
          </w:p>
        </w:tc>
        <w:tc>
          <w:tcPr>
            <w:tcW w:w="8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46,514</w:t>
            </w:r>
          </w:p>
        </w:tc>
        <w:tc>
          <w:tcPr>
            <w:tcW w:w="60" w:type="dxa"/>
            <w:vAlign w:val="bottom"/>
          </w:tcPr>
          <w:p>
            <w:pPr>
              <w:spacing w:after="0"/>
              <w:rPr>
                <w:sz w:val="8"/>
                <w:szCs w:val="8"/>
                <w:color w:val="auto"/>
              </w:rPr>
            </w:pPr>
          </w:p>
        </w:tc>
        <w:tc>
          <w:tcPr>
            <w:tcW w:w="9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16,076</w:t>
            </w:r>
          </w:p>
        </w:tc>
        <w:tc>
          <w:tcPr>
            <w:tcW w:w="60" w:type="dxa"/>
            <w:vAlign w:val="bottom"/>
          </w:tcPr>
          <w:p>
            <w:pPr>
              <w:spacing w:after="0"/>
              <w:rPr>
                <w:sz w:val="8"/>
                <w:szCs w:val="8"/>
                <w:color w:val="auto"/>
              </w:rPr>
            </w:pPr>
          </w:p>
        </w:tc>
        <w:tc>
          <w:tcPr>
            <w:tcW w:w="8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166,179</w:t>
            </w:r>
          </w:p>
        </w:tc>
        <w:tc>
          <w:tcPr>
            <w:tcW w:w="60" w:type="dxa"/>
            <w:vAlign w:val="bottom"/>
          </w:tcPr>
          <w:p>
            <w:pPr>
              <w:spacing w:after="0"/>
              <w:rPr>
                <w:sz w:val="8"/>
                <w:szCs w:val="8"/>
                <w:color w:val="auto"/>
              </w:rPr>
            </w:pPr>
          </w:p>
        </w:tc>
        <w:tc>
          <w:tcPr>
            <w:tcW w:w="720" w:type="dxa"/>
            <w:vAlign w:val="bottom"/>
            <w:gridSpan w:val="2"/>
          </w:tcPr>
          <w:p>
            <w:pPr>
              <w:jc w:val="right"/>
              <w:ind w:right="280"/>
              <w:spacing w:after="0" w:line="98" w:lineRule="exact"/>
              <w:rPr>
                <w:sz w:val="20"/>
                <w:szCs w:val="20"/>
                <w:color w:val="auto"/>
              </w:rPr>
            </w:pPr>
            <w:r>
              <w:rPr>
                <w:rFonts w:ascii="Arial" w:cs="Arial" w:eastAsia="Arial" w:hAnsi="Arial"/>
                <w:sz w:val="9"/>
                <w:szCs w:val="9"/>
                <w:color w:val="auto"/>
              </w:rPr>
              <w:t>384,924</w:t>
            </w:r>
          </w:p>
        </w:tc>
        <w:tc>
          <w:tcPr>
            <w:tcW w:w="60" w:type="dxa"/>
            <w:vAlign w:val="bottom"/>
          </w:tcPr>
          <w:p>
            <w:pPr>
              <w:spacing w:after="0"/>
              <w:rPr>
                <w:sz w:val="8"/>
                <w:szCs w:val="8"/>
                <w:color w:val="auto"/>
              </w:rPr>
            </w:pPr>
          </w:p>
        </w:tc>
        <w:tc>
          <w:tcPr>
            <w:tcW w:w="74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174,855</w:t>
            </w:r>
          </w:p>
        </w:tc>
        <w:tc>
          <w:tcPr>
            <w:tcW w:w="80" w:type="dxa"/>
            <w:vAlign w:val="bottom"/>
          </w:tcPr>
          <w:p>
            <w:pPr>
              <w:spacing w:after="0"/>
              <w:rPr>
                <w:sz w:val="8"/>
                <w:szCs w:val="8"/>
                <w:color w:val="auto"/>
              </w:rPr>
            </w:pPr>
          </w:p>
        </w:tc>
        <w:tc>
          <w:tcPr>
            <w:tcW w:w="5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949,718</w:t>
            </w:r>
          </w:p>
        </w:tc>
      </w:tr>
      <w:tr>
        <w:trPr>
          <w:trHeight w:val="20"/>
        </w:trPr>
        <w:tc>
          <w:tcPr>
            <w:tcW w:w="4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4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320"/>
              <w:spacing w:after="0" w:line="98" w:lineRule="exact"/>
              <w:rPr>
                <w:sz w:val="20"/>
                <w:szCs w:val="20"/>
                <w:color w:val="auto"/>
              </w:rPr>
            </w:pPr>
            <w:r>
              <w:rPr>
                <w:rFonts w:ascii="Arial" w:cs="Arial" w:eastAsia="Arial" w:hAnsi="Arial"/>
                <w:sz w:val="9"/>
                <w:szCs w:val="9"/>
                <w:color w:val="auto"/>
              </w:rPr>
              <w:t>528,064</w:t>
            </w:r>
          </w:p>
        </w:tc>
        <w:tc>
          <w:tcPr>
            <w:tcW w:w="6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283,451</w:t>
            </w:r>
          </w:p>
        </w:tc>
        <w:tc>
          <w:tcPr>
            <w:tcW w:w="6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144,870</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258,250</w:t>
            </w: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80"/>
              <w:spacing w:after="0" w:line="98" w:lineRule="exact"/>
              <w:rPr>
                <w:sz w:val="20"/>
                <w:szCs w:val="20"/>
                <w:color w:val="auto"/>
              </w:rPr>
            </w:pPr>
            <w:r>
              <w:rPr>
                <w:rFonts w:ascii="Arial" w:cs="Arial" w:eastAsia="Arial" w:hAnsi="Arial"/>
                <w:sz w:val="9"/>
                <w:szCs w:val="9"/>
                <w:color w:val="auto"/>
              </w:rPr>
              <w:t>1,330,197</w:t>
            </w: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199,229</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94"/>
              </w:rPr>
              <w:t>2,744,061</w:t>
            </w:r>
          </w:p>
        </w:tc>
      </w:tr>
      <w:tr>
        <w:trPr>
          <w:trHeight w:val="98"/>
        </w:trPr>
        <w:tc>
          <w:tcPr>
            <w:tcW w:w="4120" w:type="dxa"/>
            <w:vAlign w:val="bottom"/>
          </w:tcPr>
          <w:p>
            <w:pPr>
              <w:spacing w:after="0" w:line="98" w:lineRule="exact"/>
              <w:rPr>
                <w:sz w:val="20"/>
                <w:szCs w:val="20"/>
                <w:color w:val="auto"/>
              </w:rPr>
            </w:pPr>
            <w:r>
              <w:rPr>
                <w:rFonts w:ascii="Arial" w:cs="Arial" w:eastAsia="Arial" w:hAnsi="Arial"/>
                <w:sz w:val="9"/>
                <w:szCs w:val="9"/>
                <w:color w:val="auto"/>
              </w:rPr>
              <w:t>Provision for credit losses</w:t>
            </w:r>
          </w:p>
        </w:tc>
        <w:tc>
          <w:tcPr>
            <w:tcW w:w="60" w:type="dxa"/>
            <w:vAlign w:val="bottom"/>
          </w:tcPr>
          <w:p>
            <w:pPr>
              <w:spacing w:after="0"/>
              <w:rPr>
                <w:sz w:val="8"/>
                <w:szCs w:val="8"/>
                <w:color w:val="auto"/>
              </w:rPr>
            </w:pPr>
          </w:p>
        </w:tc>
        <w:tc>
          <w:tcPr>
            <w:tcW w:w="860" w:type="dxa"/>
            <w:vAlign w:val="bottom"/>
            <w:gridSpan w:val="2"/>
          </w:tcPr>
          <w:p>
            <w:pPr>
              <w:jc w:val="right"/>
              <w:ind w:right="320"/>
              <w:spacing w:after="0" w:line="98" w:lineRule="exact"/>
              <w:rPr>
                <w:sz w:val="20"/>
                <w:szCs w:val="20"/>
                <w:color w:val="auto"/>
              </w:rPr>
            </w:pPr>
            <w:r>
              <w:rPr>
                <w:rFonts w:ascii="Arial" w:cs="Arial" w:eastAsia="Arial" w:hAnsi="Arial"/>
                <w:sz w:val="9"/>
                <w:szCs w:val="9"/>
                <w:color w:val="auto"/>
              </w:rPr>
              <w:t>8,081</w:t>
            </w:r>
          </w:p>
        </w:tc>
        <w:tc>
          <w:tcPr>
            <w:tcW w:w="60" w:type="dxa"/>
            <w:vAlign w:val="bottom"/>
          </w:tcPr>
          <w:p>
            <w:pPr>
              <w:spacing w:after="0"/>
              <w:rPr>
                <w:sz w:val="8"/>
                <w:szCs w:val="8"/>
                <w:color w:val="auto"/>
              </w:rPr>
            </w:pPr>
          </w:p>
        </w:tc>
        <w:tc>
          <w:tcPr>
            <w:tcW w:w="860" w:type="dxa"/>
            <w:vAlign w:val="bottom"/>
            <w:gridSpan w:val="2"/>
          </w:tcPr>
          <w:p>
            <w:pPr>
              <w:jc w:val="right"/>
              <w:ind w:right="280"/>
              <w:spacing w:after="0" w:line="98" w:lineRule="exact"/>
              <w:rPr>
                <w:sz w:val="20"/>
                <w:szCs w:val="20"/>
                <w:color w:val="auto"/>
              </w:rPr>
            </w:pPr>
            <w:r>
              <w:rPr>
                <w:rFonts w:ascii="Arial" w:cs="Arial" w:eastAsia="Arial" w:hAnsi="Arial"/>
                <w:sz w:val="9"/>
                <w:szCs w:val="9"/>
                <w:color w:val="auto"/>
              </w:rPr>
              <w:t>(1,651)</w:t>
            </w:r>
          </w:p>
        </w:tc>
        <w:tc>
          <w:tcPr>
            <w:tcW w:w="60" w:type="dxa"/>
            <w:vAlign w:val="bottom"/>
          </w:tcPr>
          <w:p>
            <w:pPr>
              <w:spacing w:after="0"/>
              <w:rPr>
                <w:sz w:val="8"/>
                <w:szCs w:val="8"/>
                <w:color w:val="auto"/>
              </w:rPr>
            </w:pPr>
          </w:p>
        </w:tc>
        <w:tc>
          <w:tcPr>
            <w:tcW w:w="9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1,392</w:t>
            </w:r>
          </w:p>
        </w:tc>
        <w:tc>
          <w:tcPr>
            <w:tcW w:w="60" w:type="dxa"/>
            <w:vAlign w:val="bottom"/>
          </w:tcPr>
          <w:p>
            <w:pPr>
              <w:spacing w:after="0"/>
              <w:rPr>
                <w:sz w:val="8"/>
                <w:szCs w:val="8"/>
                <w:color w:val="auto"/>
              </w:rPr>
            </w:pPr>
          </w:p>
        </w:tc>
        <w:tc>
          <w:tcPr>
            <w:tcW w:w="8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1,372</w:t>
            </w:r>
          </w:p>
        </w:tc>
        <w:tc>
          <w:tcPr>
            <w:tcW w:w="60" w:type="dxa"/>
            <w:vAlign w:val="bottom"/>
          </w:tcPr>
          <w:p>
            <w:pPr>
              <w:spacing w:after="0"/>
              <w:rPr>
                <w:sz w:val="8"/>
                <w:szCs w:val="8"/>
                <w:color w:val="auto"/>
              </w:rPr>
            </w:pPr>
          </w:p>
        </w:tc>
        <w:tc>
          <w:tcPr>
            <w:tcW w:w="720" w:type="dxa"/>
            <w:vAlign w:val="bottom"/>
            <w:gridSpan w:val="2"/>
          </w:tcPr>
          <w:p>
            <w:pPr>
              <w:jc w:val="right"/>
              <w:ind w:right="280"/>
              <w:spacing w:after="0" w:line="98" w:lineRule="exact"/>
              <w:rPr>
                <w:sz w:val="20"/>
                <w:szCs w:val="20"/>
                <w:color w:val="auto"/>
              </w:rPr>
            </w:pPr>
            <w:r>
              <w:rPr>
                <w:rFonts w:ascii="Arial" w:cs="Arial" w:eastAsia="Arial" w:hAnsi="Arial"/>
                <w:sz w:val="9"/>
                <w:szCs w:val="9"/>
                <w:color w:val="auto"/>
              </w:rPr>
              <w:t>57,627</w:t>
            </w:r>
          </w:p>
        </w:tc>
        <w:tc>
          <w:tcPr>
            <w:tcW w:w="60" w:type="dxa"/>
            <w:vAlign w:val="bottom"/>
          </w:tcPr>
          <w:p>
            <w:pPr>
              <w:spacing w:after="0"/>
              <w:rPr>
                <w:sz w:val="8"/>
                <w:szCs w:val="8"/>
                <w:color w:val="auto"/>
              </w:rPr>
            </w:pPr>
          </w:p>
        </w:tc>
        <w:tc>
          <w:tcPr>
            <w:tcW w:w="74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21,179</w:t>
            </w:r>
          </w:p>
        </w:tc>
        <w:tc>
          <w:tcPr>
            <w:tcW w:w="80" w:type="dxa"/>
            <w:vAlign w:val="bottom"/>
          </w:tcPr>
          <w:p>
            <w:pPr>
              <w:spacing w:after="0"/>
              <w:rPr>
                <w:sz w:val="8"/>
                <w:szCs w:val="8"/>
                <w:color w:val="auto"/>
              </w:rPr>
            </w:pPr>
          </w:p>
        </w:tc>
        <w:tc>
          <w:tcPr>
            <w:tcW w:w="5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88,000</w:t>
            </w:r>
          </w:p>
        </w:tc>
      </w:tr>
      <w:tr>
        <w:trPr>
          <w:trHeight w:val="98"/>
        </w:trPr>
        <w:tc>
          <w:tcPr>
            <w:tcW w:w="41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Amortization of core deposit and other intangible assets</w:t>
            </w:r>
          </w:p>
        </w:tc>
        <w:tc>
          <w:tcPr>
            <w:tcW w:w="6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32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8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56,805</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56,805</w:t>
            </w:r>
          </w:p>
        </w:tc>
      </w:tr>
      <w:tr>
        <w:trPr>
          <w:trHeight w:val="98"/>
        </w:trPr>
        <w:tc>
          <w:tcPr>
            <w:tcW w:w="4120" w:type="dxa"/>
            <w:vAlign w:val="bottom"/>
          </w:tcPr>
          <w:p>
            <w:pPr>
              <w:spacing w:after="0" w:line="98" w:lineRule="exact"/>
              <w:rPr>
                <w:sz w:val="20"/>
                <w:szCs w:val="20"/>
                <w:color w:val="auto"/>
              </w:rPr>
            </w:pPr>
            <w:r>
              <w:rPr>
                <w:rFonts w:ascii="Arial" w:cs="Arial" w:eastAsia="Arial" w:hAnsi="Arial"/>
                <w:sz w:val="9"/>
                <w:szCs w:val="9"/>
                <w:color w:val="auto"/>
              </w:rPr>
              <w:t>Depreciation and other amortization</w:t>
            </w:r>
          </w:p>
        </w:tc>
        <w:tc>
          <w:tcPr>
            <w:tcW w:w="60" w:type="dxa"/>
            <w:vAlign w:val="bottom"/>
          </w:tcPr>
          <w:p>
            <w:pPr>
              <w:spacing w:after="0"/>
              <w:rPr>
                <w:sz w:val="8"/>
                <w:szCs w:val="8"/>
                <w:color w:val="auto"/>
              </w:rPr>
            </w:pPr>
          </w:p>
        </w:tc>
        <w:tc>
          <w:tcPr>
            <w:tcW w:w="860" w:type="dxa"/>
            <w:vAlign w:val="bottom"/>
            <w:gridSpan w:val="2"/>
          </w:tcPr>
          <w:p>
            <w:pPr>
              <w:jc w:val="right"/>
              <w:ind w:right="320"/>
              <w:spacing w:after="0" w:line="98" w:lineRule="exact"/>
              <w:rPr>
                <w:sz w:val="20"/>
                <w:szCs w:val="20"/>
                <w:color w:val="auto"/>
              </w:rPr>
            </w:pPr>
            <w:r>
              <w:rPr>
                <w:rFonts w:ascii="Arial" w:cs="Arial" w:eastAsia="Arial" w:hAnsi="Arial"/>
                <w:sz w:val="9"/>
                <w:szCs w:val="9"/>
                <w:color w:val="auto"/>
              </w:rPr>
              <w:t>415</w:t>
            </w:r>
          </w:p>
        </w:tc>
        <w:tc>
          <w:tcPr>
            <w:tcW w:w="60" w:type="dxa"/>
            <w:vAlign w:val="bottom"/>
          </w:tcPr>
          <w:p>
            <w:pPr>
              <w:spacing w:after="0"/>
              <w:rPr>
                <w:sz w:val="8"/>
                <w:szCs w:val="8"/>
                <w:color w:val="auto"/>
              </w:rPr>
            </w:pPr>
          </w:p>
        </w:tc>
        <w:tc>
          <w:tcPr>
            <w:tcW w:w="8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6,024</w:t>
            </w:r>
          </w:p>
        </w:tc>
        <w:tc>
          <w:tcPr>
            <w:tcW w:w="60" w:type="dxa"/>
            <w:vAlign w:val="bottom"/>
          </w:tcPr>
          <w:p>
            <w:pPr>
              <w:spacing w:after="0"/>
              <w:rPr>
                <w:sz w:val="8"/>
                <w:szCs w:val="8"/>
                <w:color w:val="auto"/>
              </w:rPr>
            </w:pPr>
          </w:p>
        </w:tc>
        <w:tc>
          <w:tcPr>
            <w:tcW w:w="9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5,385</w:t>
            </w:r>
          </w:p>
        </w:tc>
        <w:tc>
          <w:tcPr>
            <w:tcW w:w="60" w:type="dxa"/>
            <w:vAlign w:val="bottom"/>
          </w:tcPr>
          <w:p>
            <w:pPr>
              <w:spacing w:after="0"/>
              <w:rPr>
                <w:sz w:val="8"/>
                <w:szCs w:val="8"/>
                <w:color w:val="auto"/>
              </w:rPr>
            </w:pPr>
          </w:p>
        </w:tc>
        <w:tc>
          <w:tcPr>
            <w:tcW w:w="8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48,719</w:t>
            </w:r>
          </w:p>
        </w:tc>
        <w:tc>
          <w:tcPr>
            <w:tcW w:w="60" w:type="dxa"/>
            <w:vAlign w:val="bottom"/>
          </w:tcPr>
          <w:p>
            <w:pPr>
              <w:spacing w:after="0"/>
              <w:rPr>
                <w:sz w:val="8"/>
                <w:szCs w:val="8"/>
                <w:color w:val="auto"/>
              </w:rPr>
            </w:pPr>
          </w:p>
        </w:tc>
        <w:tc>
          <w:tcPr>
            <w:tcW w:w="720" w:type="dxa"/>
            <w:vAlign w:val="bottom"/>
            <w:gridSpan w:val="2"/>
          </w:tcPr>
          <w:p>
            <w:pPr>
              <w:jc w:val="right"/>
              <w:ind w:right="280"/>
              <w:spacing w:after="0" w:line="98" w:lineRule="exact"/>
              <w:rPr>
                <w:sz w:val="20"/>
                <w:szCs w:val="20"/>
                <w:color w:val="auto"/>
              </w:rPr>
            </w:pPr>
            <w:r>
              <w:rPr>
                <w:rFonts w:ascii="Arial" w:cs="Arial" w:eastAsia="Arial" w:hAnsi="Arial"/>
                <w:sz w:val="9"/>
                <w:szCs w:val="9"/>
                <w:color w:val="auto"/>
              </w:rPr>
              <w:t>26,165</w:t>
            </w:r>
          </w:p>
        </w:tc>
        <w:tc>
          <w:tcPr>
            <w:tcW w:w="60" w:type="dxa"/>
            <w:vAlign w:val="bottom"/>
          </w:tcPr>
          <w:p>
            <w:pPr>
              <w:spacing w:after="0"/>
              <w:rPr>
                <w:sz w:val="8"/>
                <w:szCs w:val="8"/>
                <w:color w:val="auto"/>
              </w:rPr>
            </w:pPr>
          </w:p>
        </w:tc>
        <w:tc>
          <w:tcPr>
            <w:tcW w:w="74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30,235</w:t>
            </w:r>
          </w:p>
        </w:tc>
        <w:tc>
          <w:tcPr>
            <w:tcW w:w="80" w:type="dxa"/>
            <w:vAlign w:val="bottom"/>
          </w:tcPr>
          <w:p>
            <w:pPr>
              <w:spacing w:after="0"/>
              <w:rPr>
                <w:sz w:val="8"/>
                <w:szCs w:val="8"/>
                <w:color w:val="auto"/>
              </w:rPr>
            </w:pPr>
          </w:p>
        </w:tc>
        <w:tc>
          <w:tcPr>
            <w:tcW w:w="5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116,943</w:t>
            </w:r>
          </w:p>
        </w:tc>
      </w:tr>
      <w:tr>
        <w:trPr>
          <w:trHeight w:val="98"/>
        </w:trPr>
        <w:tc>
          <w:tcPr>
            <w:tcW w:w="41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Other noninterest expense</w:t>
            </w:r>
          </w:p>
        </w:tc>
        <w:tc>
          <w:tcPr>
            <w:tcW w:w="6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320"/>
              <w:spacing w:after="0" w:line="98" w:lineRule="exact"/>
              <w:rPr>
                <w:sz w:val="20"/>
                <w:szCs w:val="20"/>
                <w:color w:val="auto"/>
              </w:rPr>
            </w:pPr>
            <w:r>
              <w:rPr>
                <w:rFonts w:ascii="Arial" w:cs="Arial" w:eastAsia="Arial" w:hAnsi="Arial"/>
                <w:sz w:val="9"/>
                <w:szCs w:val="9"/>
                <w:color w:val="auto"/>
              </w:rPr>
              <w:t>148,454</w:t>
            </w:r>
          </w:p>
        </w:tc>
        <w:tc>
          <w:tcPr>
            <w:tcW w:w="6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59,261</w:t>
            </w:r>
          </w:p>
        </w:tc>
        <w:tc>
          <w:tcPr>
            <w:tcW w:w="6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13,073</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141,640</w:t>
            </w: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80"/>
              <w:spacing w:after="0" w:line="98" w:lineRule="exact"/>
              <w:rPr>
                <w:sz w:val="20"/>
                <w:szCs w:val="20"/>
                <w:color w:val="auto"/>
              </w:rPr>
            </w:pPr>
            <w:r>
              <w:rPr>
                <w:rFonts w:ascii="Arial" w:cs="Arial" w:eastAsia="Arial" w:hAnsi="Arial"/>
                <w:sz w:val="9"/>
                <w:szCs w:val="9"/>
                <w:color w:val="auto"/>
              </w:rPr>
              <w:t>696,667</w:t>
            </w: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252,299</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94"/>
              </w:rPr>
              <w:t>1,311,394</w:t>
            </w:r>
          </w:p>
        </w:tc>
      </w:tr>
      <w:tr>
        <w:trPr>
          <w:trHeight w:val="98"/>
        </w:trPr>
        <w:tc>
          <w:tcPr>
            <w:tcW w:w="4120" w:type="dxa"/>
            <w:vAlign w:val="bottom"/>
          </w:tcPr>
          <w:p>
            <w:pPr>
              <w:spacing w:after="0" w:line="98" w:lineRule="exact"/>
              <w:rPr>
                <w:sz w:val="20"/>
                <w:szCs w:val="20"/>
                <w:color w:val="auto"/>
              </w:rPr>
            </w:pPr>
            <w:r>
              <w:rPr>
                <w:rFonts w:ascii="Arial" w:cs="Arial" w:eastAsia="Arial" w:hAnsi="Arial"/>
                <w:sz w:val="9"/>
                <w:szCs w:val="9"/>
                <w:color w:val="auto"/>
              </w:rPr>
              <w:t>Income (loss) before taxes</w:t>
            </w:r>
          </w:p>
        </w:tc>
        <w:tc>
          <w:tcPr>
            <w:tcW w:w="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371,114</w:t>
            </w:r>
          </w:p>
        </w:tc>
        <w:tc>
          <w:tcPr>
            <w:tcW w:w="3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219,817</w:t>
            </w:r>
          </w:p>
        </w:tc>
        <w:tc>
          <w:tcPr>
            <w:tcW w:w="3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125,020</w:t>
            </w:r>
          </w:p>
        </w:tc>
        <w:tc>
          <w:tcPr>
            <w:tcW w:w="3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66,519</w:t>
            </w:r>
          </w:p>
        </w:tc>
        <w:tc>
          <w:tcPr>
            <w:tcW w:w="3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549,738</w:t>
            </w:r>
          </w:p>
        </w:tc>
        <w:tc>
          <w:tcPr>
            <w:tcW w:w="2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(161,289)</w:t>
            </w:r>
          </w:p>
        </w:tc>
        <w:tc>
          <w:tcPr>
            <w:tcW w:w="3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94"/>
              </w:rPr>
              <w:t>1,170,919</w:t>
            </w:r>
          </w:p>
        </w:tc>
        <w:tc>
          <w:tcPr>
            <w:tcW w:w="100" w:type="dxa"/>
            <w:vAlign w:val="bottom"/>
          </w:tcPr>
          <w:p>
            <w:pPr>
              <w:spacing w:after="0"/>
              <w:rPr>
                <w:sz w:val="8"/>
                <w:szCs w:val="8"/>
                <w:color w:val="auto"/>
              </w:rPr>
            </w:pPr>
          </w:p>
        </w:tc>
      </w:tr>
      <w:tr>
        <w:trPr>
          <w:trHeight w:val="98"/>
        </w:trPr>
        <w:tc>
          <w:tcPr>
            <w:tcW w:w="41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Income tax expense (benefit)</w:t>
            </w:r>
          </w:p>
        </w:tc>
        <w:tc>
          <w:tcPr>
            <w:tcW w:w="6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320"/>
              <w:spacing w:after="0" w:line="98" w:lineRule="exact"/>
              <w:rPr>
                <w:sz w:val="20"/>
                <w:szCs w:val="20"/>
                <w:color w:val="auto"/>
              </w:rPr>
            </w:pPr>
            <w:r>
              <w:rPr>
                <w:rFonts w:ascii="Arial" w:cs="Arial" w:eastAsia="Arial" w:hAnsi="Arial"/>
                <w:sz w:val="9"/>
                <w:szCs w:val="9"/>
                <w:color w:val="auto"/>
              </w:rPr>
              <w:t>152,449</w:t>
            </w:r>
          </w:p>
        </w:tc>
        <w:tc>
          <w:tcPr>
            <w:tcW w:w="6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76,880</w:t>
            </w:r>
          </w:p>
        </w:tc>
        <w:tc>
          <w:tcPr>
            <w:tcW w:w="6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32,394</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23,426</w:t>
            </w: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80"/>
              <w:spacing w:after="0" w:line="98" w:lineRule="exact"/>
              <w:rPr>
                <w:sz w:val="20"/>
                <w:szCs w:val="20"/>
                <w:color w:val="auto"/>
              </w:rPr>
            </w:pPr>
            <w:r>
              <w:rPr>
                <w:rFonts w:ascii="Arial" w:cs="Arial" w:eastAsia="Arial" w:hAnsi="Arial"/>
                <w:sz w:val="9"/>
                <w:szCs w:val="9"/>
                <w:color w:val="auto"/>
              </w:rPr>
              <w:t>224,267</w:t>
            </w: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(120,680)</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388,736</w:t>
            </w:r>
          </w:p>
        </w:tc>
      </w:tr>
      <w:tr>
        <w:trPr>
          <w:trHeight w:val="112"/>
        </w:trPr>
        <w:tc>
          <w:tcPr>
            <w:tcW w:w="4120" w:type="dxa"/>
            <w:vAlign w:val="bottom"/>
          </w:tcPr>
          <w:p>
            <w:pPr>
              <w:spacing w:after="0" w:line="98" w:lineRule="exact"/>
              <w:rPr>
                <w:sz w:val="20"/>
                <w:szCs w:val="20"/>
                <w:color w:val="auto"/>
              </w:rPr>
            </w:pPr>
            <w:r>
              <w:rPr>
                <w:rFonts w:ascii="Arial" w:cs="Arial" w:eastAsia="Arial" w:hAnsi="Arial"/>
                <w:sz w:val="9"/>
                <w:szCs w:val="9"/>
                <w:color w:val="auto"/>
              </w:rPr>
              <w:t>Net income (loss)</w:t>
            </w: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218,665</w:t>
            </w:r>
          </w:p>
        </w:tc>
        <w:tc>
          <w:tcPr>
            <w:tcW w:w="32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142,937</w:t>
            </w:r>
          </w:p>
        </w:tc>
        <w:tc>
          <w:tcPr>
            <w:tcW w:w="32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92,626</w:t>
            </w:r>
          </w:p>
        </w:tc>
        <w:tc>
          <w:tcPr>
            <w:tcW w:w="30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43,093</w:t>
            </w:r>
          </w:p>
        </w:tc>
        <w:tc>
          <w:tcPr>
            <w:tcW w:w="30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325,471</w:t>
            </w:r>
          </w:p>
        </w:tc>
        <w:tc>
          <w:tcPr>
            <w:tcW w:w="28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4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(40,609</w:t>
            </w:r>
          </w:p>
        </w:tc>
        <w:tc>
          <w:tcPr>
            <w:tcW w:w="300" w:type="dxa"/>
            <w:vAlign w:val="bottom"/>
          </w:tcPr>
          <w:p>
            <w:pPr>
              <w:jc w:val="right"/>
              <w:ind w:right="220"/>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rPr>
              <w:t>782,183</w:t>
            </w:r>
          </w:p>
        </w:tc>
        <w:tc>
          <w:tcPr>
            <w:tcW w:w="100" w:type="dxa"/>
            <w:vAlign w:val="bottom"/>
          </w:tcPr>
          <w:p>
            <w:pPr>
              <w:spacing w:after="0"/>
              <w:rPr>
                <w:sz w:val="9"/>
                <w:szCs w:val="9"/>
                <w:color w:val="auto"/>
              </w:rPr>
            </w:pPr>
          </w:p>
        </w:tc>
      </w:tr>
      <w:tr>
        <w:trPr>
          <w:trHeight w:val="103"/>
        </w:trPr>
        <w:tc>
          <w:tcPr>
            <w:tcW w:w="4120" w:type="dxa"/>
            <w:vAlign w:val="bottom"/>
            <w:shd w:val="clear" w:color="auto" w:fill="CCEEFF"/>
          </w:tcPr>
          <w:p>
            <w:pPr>
              <w:spacing w:after="0"/>
              <w:rPr>
                <w:sz w:val="20"/>
                <w:szCs w:val="20"/>
                <w:color w:val="auto"/>
              </w:rPr>
            </w:pPr>
            <w:r>
              <w:rPr>
                <w:rFonts w:ascii="Arial" w:cs="Arial" w:eastAsia="Arial" w:hAnsi="Arial"/>
                <w:sz w:val="9"/>
                <w:szCs w:val="9"/>
                <w:color w:val="auto"/>
              </w:rPr>
              <w:t>Average total assets (in millions)</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9"/>
                <w:szCs w:val="9"/>
                <w:color w:val="auto"/>
              </w:rPr>
              <w:t>11,723</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9"/>
                <w:szCs w:val="9"/>
                <w:color w:val="auto"/>
              </w:rPr>
              <w:t>8,335</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9"/>
                <w:szCs w:val="9"/>
                <w:color w:val="auto"/>
              </w:rPr>
              <w:t>11,810</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9"/>
                <w:szCs w:val="9"/>
                <w:color w:val="auto"/>
              </w:rPr>
              <w:t>2,712</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9"/>
                <w:szCs w:val="9"/>
                <w:color w:val="auto"/>
              </w:rPr>
              <w:t>14,639</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9"/>
                <w:szCs w:val="9"/>
                <w:color w:val="auto"/>
              </w:rPr>
              <w:t>4,916</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9"/>
                <w:szCs w:val="9"/>
                <w:color w:val="auto"/>
              </w:rPr>
              <w:t>54,135</w:t>
            </w:r>
          </w:p>
        </w:tc>
      </w:tr>
      <w:tr>
        <w:trPr>
          <w:trHeight w:val="98"/>
        </w:trPr>
        <w:tc>
          <w:tcPr>
            <w:tcW w:w="4120" w:type="dxa"/>
            <w:vAlign w:val="bottom"/>
          </w:tcPr>
          <w:p>
            <w:pPr>
              <w:spacing w:after="0" w:line="98" w:lineRule="exact"/>
              <w:rPr>
                <w:sz w:val="20"/>
                <w:szCs w:val="20"/>
                <w:color w:val="auto"/>
              </w:rPr>
            </w:pPr>
            <w:r>
              <w:rPr>
                <w:rFonts w:ascii="Arial" w:cs="Arial" w:eastAsia="Arial" w:hAnsi="Arial"/>
                <w:sz w:val="9"/>
                <w:szCs w:val="9"/>
                <w:color w:val="auto"/>
              </w:rPr>
              <w:t>Capital expenditures (in millions)</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tcPr>
          <w:p>
            <w:pPr>
              <w:jc w:val="right"/>
              <w:ind w:right="320"/>
              <w:spacing w:after="0" w:line="98" w:lineRule="exact"/>
              <w:rPr>
                <w:sz w:val="20"/>
                <w:szCs w:val="20"/>
                <w:color w:val="auto"/>
              </w:rPr>
            </w:pPr>
            <w:r>
              <w:rPr>
                <w:rFonts w:ascii="Arial" w:cs="Arial" w:eastAsia="Arial" w:hAnsi="Arial"/>
                <w:sz w:val="9"/>
                <w:szCs w:val="9"/>
                <w:color w:val="auto"/>
              </w:rPr>
              <w:t>1</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9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2</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gridSpan w:val="2"/>
          </w:tcPr>
          <w:p>
            <w:pPr>
              <w:jc w:val="right"/>
              <w:ind w:right="280"/>
              <w:spacing w:after="0" w:line="98" w:lineRule="exact"/>
              <w:rPr>
                <w:sz w:val="20"/>
                <w:szCs w:val="20"/>
                <w:color w:val="auto"/>
              </w:rPr>
            </w:pPr>
            <w:r>
              <w:rPr>
                <w:rFonts w:ascii="Arial" w:cs="Arial" w:eastAsia="Arial" w:hAnsi="Arial"/>
                <w:sz w:val="9"/>
                <w:szCs w:val="9"/>
                <w:color w:val="auto"/>
              </w:rPr>
              <w:t>17</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7</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5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27</w:t>
            </w:r>
          </w:p>
        </w:tc>
      </w:tr>
      <w:tr>
        <w:trPr>
          <w:trHeight w:val="98"/>
        </w:trPr>
        <w:tc>
          <w:tcPr>
            <w:tcW w:w="4120" w:type="dxa"/>
            <w:vAlign w:val="bottom"/>
            <w:shd w:val="clear" w:color="auto" w:fill="CCEEFF"/>
          </w:tcPr>
          <w:p>
            <w:pPr>
              <w:spacing w:after="0" w:line="98" w:lineRule="exact"/>
              <w:rPr>
                <w:sz w:val="20"/>
                <w:szCs w:val="20"/>
                <w:color w:val="auto"/>
              </w:rPr>
            </w:pPr>
            <w:r>
              <w:rPr>
                <w:rFonts w:ascii="Arial" w:cs="Arial" w:eastAsia="Arial" w:hAnsi="Arial"/>
                <w:sz w:val="9"/>
                <w:szCs w:val="9"/>
                <w:b w:val="1"/>
                <w:bCs w:val="1"/>
                <w:color w:val="auto"/>
              </w:rPr>
              <w:t>For the year ended December 31, 2004</w:t>
            </w: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r>
        <w:trPr>
          <w:trHeight w:val="98"/>
        </w:trPr>
        <w:tc>
          <w:tcPr>
            <w:tcW w:w="4120" w:type="dxa"/>
            <w:vAlign w:val="bottom"/>
          </w:tcPr>
          <w:p>
            <w:pPr>
              <w:spacing w:after="0" w:line="98" w:lineRule="exact"/>
              <w:rPr>
                <w:sz w:val="20"/>
                <w:szCs w:val="20"/>
                <w:color w:val="auto"/>
              </w:rPr>
            </w:pPr>
            <w:r>
              <w:rPr>
                <w:rFonts w:ascii="Arial" w:cs="Arial" w:eastAsia="Arial" w:hAnsi="Arial"/>
                <w:sz w:val="9"/>
                <w:szCs w:val="9"/>
                <w:color w:val="auto"/>
              </w:rPr>
              <w:t>Net interest income(a)</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tcPr>
          <w:p>
            <w:pPr>
              <w:jc w:val="right"/>
              <w:ind w:right="320"/>
              <w:spacing w:after="0" w:line="98" w:lineRule="exact"/>
              <w:rPr>
                <w:sz w:val="20"/>
                <w:szCs w:val="20"/>
                <w:color w:val="auto"/>
              </w:rPr>
            </w:pPr>
            <w:r>
              <w:rPr>
                <w:rFonts w:ascii="Arial" w:cs="Arial" w:eastAsia="Arial" w:hAnsi="Arial"/>
                <w:sz w:val="9"/>
                <w:szCs w:val="9"/>
                <w:color w:val="auto"/>
              </w:rPr>
              <w:t>345,399</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217,708</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9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130,739</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81,580</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gridSpan w:val="2"/>
          </w:tcPr>
          <w:p>
            <w:pPr>
              <w:jc w:val="right"/>
              <w:ind w:right="280"/>
              <w:spacing w:after="0" w:line="98" w:lineRule="exact"/>
              <w:rPr>
                <w:sz w:val="20"/>
                <w:szCs w:val="20"/>
                <w:color w:val="auto"/>
              </w:rPr>
            </w:pPr>
            <w:r>
              <w:rPr>
                <w:rFonts w:ascii="Arial" w:cs="Arial" w:eastAsia="Arial" w:hAnsi="Arial"/>
                <w:sz w:val="9"/>
                <w:szCs w:val="9"/>
                <w:color w:val="auto"/>
              </w:rPr>
              <w:t>863,991</w:t>
            </w:r>
          </w:p>
        </w:tc>
        <w:tc>
          <w:tcPr>
            <w:tcW w:w="60" w:type="dxa"/>
            <w:vAlign w:val="bottom"/>
          </w:tcPr>
          <w:p>
            <w:pPr>
              <w:jc w:val="right"/>
              <w:spacing w:after="0" w:line="98" w:lineRule="exact"/>
              <w:rPr>
                <w:sz w:val="20"/>
                <w:szCs w:val="20"/>
                <w:color w:val="auto"/>
              </w:rPr>
            </w:pPr>
            <w:r>
              <w:rPr>
                <w:rFonts w:ascii="Arial" w:cs="Arial" w:eastAsia="Arial" w:hAnsi="Arial"/>
                <w:sz w:val="9"/>
                <w:szCs w:val="9"/>
                <w:color w:val="auto"/>
                <w:w w:val="78"/>
              </w:rPr>
              <w:t>$</w:t>
            </w:r>
          </w:p>
        </w:tc>
        <w:tc>
          <w:tcPr>
            <w:tcW w:w="74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95,155</w:t>
            </w: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5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w w:val="94"/>
              </w:rPr>
              <w:t>1,734,572</w:t>
            </w:r>
          </w:p>
        </w:tc>
      </w:tr>
      <w:tr>
        <w:trPr>
          <w:trHeight w:val="98"/>
        </w:trPr>
        <w:tc>
          <w:tcPr>
            <w:tcW w:w="41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Noninterest income</w:t>
            </w:r>
          </w:p>
        </w:tc>
        <w:tc>
          <w:tcPr>
            <w:tcW w:w="6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320"/>
              <w:spacing w:after="0" w:line="98" w:lineRule="exact"/>
              <w:rPr>
                <w:sz w:val="20"/>
                <w:szCs w:val="20"/>
                <w:color w:val="auto"/>
              </w:rPr>
            </w:pPr>
            <w:r>
              <w:rPr>
                <w:rFonts w:ascii="Arial" w:cs="Arial" w:eastAsia="Arial" w:hAnsi="Arial"/>
                <w:sz w:val="9"/>
                <w:szCs w:val="9"/>
                <w:color w:val="auto"/>
              </w:rPr>
              <w:t>161,558</w:t>
            </w:r>
          </w:p>
        </w:tc>
        <w:tc>
          <w:tcPr>
            <w:tcW w:w="6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38,098</w:t>
            </w:r>
          </w:p>
        </w:tc>
        <w:tc>
          <w:tcPr>
            <w:tcW w:w="6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50,386</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145,764</w:t>
            </w: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80"/>
              <w:spacing w:after="0" w:line="98" w:lineRule="exact"/>
              <w:rPr>
                <w:sz w:val="20"/>
                <w:szCs w:val="20"/>
                <w:color w:val="auto"/>
              </w:rPr>
            </w:pPr>
            <w:r>
              <w:rPr>
                <w:rFonts w:ascii="Arial" w:cs="Arial" w:eastAsia="Arial" w:hAnsi="Arial"/>
                <w:sz w:val="9"/>
                <w:szCs w:val="9"/>
                <w:color w:val="auto"/>
              </w:rPr>
              <w:t>363,893</w:t>
            </w: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183,270</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942,969</w:t>
            </w:r>
          </w:p>
        </w:tc>
      </w:tr>
      <w:tr>
        <w:trPr>
          <w:trHeight w:val="98"/>
        </w:trPr>
        <w:tc>
          <w:tcPr>
            <w:tcW w:w="4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506,957</w:t>
            </w:r>
          </w:p>
        </w:tc>
        <w:tc>
          <w:tcPr>
            <w:tcW w:w="3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255,806</w:t>
            </w:r>
          </w:p>
        </w:tc>
        <w:tc>
          <w:tcPr>
            <w:tcW w:w="3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181,125</w:t>
            </w:r>
          </w:p>
        </w:tc>
        <w:tc>
          <w:tcPr>
            <w:tcW w:w="3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227,344</w:t>
            </w:r>
          </w:p>
        </w:tc>
        <w:tc>
          <w:tcPr>
            <w:tcW w:w="3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1,227,884</w:t>
            </w:r>
          </w:p>
        </w:tc>
        <w:tc>
          <w:tcPr>
            <w:tcW w:w="2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rPr>
              <w:t>278,425</w:t>
            </w:r>
          </w:p>
        </w:tc>
        <w:tc>
          <w:tcPr>
            <w:tcW w:w="3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9"/>
                <w:szCs w:val="9"/>
                <w:color w:val="auto"/>
                <w:w w:val="94"/>
              </w:rPr>
              <w:t>2,677,541</w:t>
            </w:r>
          </w:p>
        </w:tc>
        <w:tc>
          <w:tcPr>
            <w:tcW w:w="100" w:type="dxa"/>
            <w:vAlign w:val="bottom"/>
          </w:tcPr>
          <w:p>
            <w:pPr>
              <w:spacing w:after="0"/>
              <w:rPr>
                <w:sz w:val="8"/>
                <w:szCs w:val="8"/>
                <w:color w:val="auto"/>
              </w:rPr>
            </w:pPr>
          </w:p>
        </w:tc>
      </w:tr>
      <w:tr>
        <w:trPr>
          <w:trHeight w:val="98"/>
        </w:trPr>
        <w:tc>
          <w:tcPr>
            <w:tcW w:w="41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Provision for credit losses</w:t>
            </w:r>
          </w:p>
        </w:tc>
        <w:tc>
          <w:tcPr>
            <w:tcW w:w="6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320"/>
              <w:spacing w:after="0" w:line="98" w:lineRule="exact"/>
              <w:rPr>
                <w:sz w:val="20"/>
                <w:szCs w:val="20"/>
                <w:color w:val="auto"/>
              </w:rPr>
            </w:pPr>
            <w:r>
              <w:rPr>
                <w:rFonts w:ascii="Arial" w:cs="Arial" w:eastAsia="Arial" w:hAnsi="Arial"/>
                <w:sz w:val="9"/>
                <w:szCs w:val="9"/>
                <w:color w:val="auto"/>
              </w:rPr>
              <w:t>6,468</w:t>
            </w:r>
          </w:p>
        </w:tc>
        <w:tc>
          <w:tcPr>
            <w:tcW w:w="6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3,353</w:t>
            </w:r>
          </w:p>
        </w:tc>
        <w:tc>
          <w:tcPr>
            <w:tcW w:w="6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2,682</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1,714</w:t>
            </w: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80"/>
              <w:spacing w:after="0" w:line="98" w:lineRule="exact"/>
              <w:rPr>
                <w:sz w:val="20"/>
                <w:szCs w:val="20"/>
                <w:color w:val="auto"/>
              </w:rPr>
            </w:pPr>
            <w:r>
              <w:rPr>
                <w:rFonts w:ascii="Arial" w:cs="Arial" w:eastAsia="Arial" w:hAnsi="Arial"/>
                <w:sz w:val="9"/>
                <w:szCs w:val="9"/>
                <w:color w:val="auto"/>
              </w:rPr>
              <w:t>67,871</w:t>
            </w: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12,912</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95,000</w:t>
            </w:r>
          </w:p>
        </w:tc>
      </w:tr>
      <w:tr>
        <w:trPr>
          <w:trHeight w:val="98"/>
        </w:trPr>
        <w:tc>
          <w:tcPr>
            <w:tcW w:w="4120" w:type="dxa"/>
            <w:vAlign w:val="bottom"/>
          </w:tcPr>
          <w:p>
            <w:pPr>
              <w:spacing w:after="0" w:line="98" w:lineRule="exact"/>
              <w:rPr>
                <w:sz w:val="20"/>
                <w:szCs w:val="20"/>
                <w:color w:val="auto"/>
              </w:rPr>
            </w:pPr>
            <w:r>
              <w:rPr>
                <w:rFonts w:ascii="Arial" w:cs="Arial" w:eastAsia="Arial" w:hAnsi="Arial"/>
                <w:sz w:val="9"/>
                <w:szCs w:val="9"/>
                <w:color w:val="auto"/>
              </w:rPr>
              <w:t>Amortization of core deposit and other intangible assets</w:t>
            </w:r>
          </w:p>
        </w:tc>
        <w:tc>
          <w:tcPr>
            <w:tcW w:w="60" w:type="dxa"/>
            <w:vAlign w:val="bottom"/>
          </w:tcPr>
          <w:p>
            <w:pPr>
              <w:spacing w:after="0"/>
              <w:rPr>
                <w:sz w:val="8"/>
                <w:szCs w:val="8"/>
                <w:color w:val="auto"/>
              </w:rPr>
            </w:pPr>
          </w:p>
        </w:tc>
        <w:tc>
          <w:tcPr>
            <w:tcW w:w="860" w:type="dxa"/>
            <w:vAlign w:val="bottom"/>
            <w:gridSpan w:val="2"/>
          </w:tcPr>
          <w:p>
            <w:pPr>
              <w:jc w:val="right"/>
              <w:ind w:right="32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9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720" w:type="dxa"/>
            <w:vAlign w:val="bottom"/>
            <w:gridSpan w:val="2"/>
          </w:tcPr>
          <w:p>
            <w:pPr>
              <w:jc w:val="right"/>
              <w:ind w:right="2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74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75,410</w:t>
            </w:r>
          </w:p>
        </w:tc>
        <w:tc>
          <w:tcPr>
            <w:tcW w:w="80" w:type="dxa"/>
            <w:vAlign w:val="bottom"/>
          </w:tcPr>
          <w:p>
            <w:pPr>
              <w:spacing w:after="0"/>
              <w:rPr>
                <w:sz w:val="8"/>
                <w:szCs w:val="8"/>
                <w:color w:val="auto"/>
              </w:rPr>
            </w:pPr>
          </w:p>
        </w:tc>
        <w:tc>
          <w:tcPr>
            <w:tcW w:w="5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75,410</w:t>
            </w:r>
          </w:p>
        </w:tc>
      </w:tr>
      <w:tr>
        <w:trPr>
          <w:trHeight w:val="98"/>
        </w:trPr>
        <w:tc>
          <w:tcPr>
            <w:tcW w:w="41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Depreciation and other amortization</w:t>
            </w:r>
          </w:p>
        </w:tc>
        <w:tc>
          <w:tcPr>
            <w:tcW w:w="6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320"/>
              <w:spacing w:after="0" w:line="98" w:lineRule="exact"/>
              <w:rPr>
                <w:sz w:val="20"/>
                <w:szCs w:val="20"/>
                <w:color w:val="auto"/>
              </w:rPr>
            </w:pPr>
            <w:r>
              <w:rPr>
                <w:rFonts w:ascii="Arial" w:cs="Arial" w:eastAsia="Arial" w:hAnsi="Arial"/>
                <w:sz w:val="9"/>
                <w:szCs w:val="9"/>
                <w:color w:val="auto"/>
              </w:rPr>
              <w:t>380</w:t>
            </w:r>
          </w:p>
        </w:tc>
        <w:tc>
          <w:tcPr>
            <w:tcW w:w="6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5,008</w:t>
            </w:r>
          </w:p>
        </w:tc>
        <w:tc>
          <w:tcPr>
            <w:tcW w:w="6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7,012</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47,558</w:t>
            </w: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80"/>
              <w:spacing w:after="0" w:line="98" w:lineRule="exact"/>
              <w:rPr>
                <w:sz w:val="20"/>
                <w:szCs w:val="20"/>
                <w:color w:val="auto"/>
              </w:rPr>
            </w:pPr>
            <w:r>
              <w:rPr>
                <w:rFonts w:ascii="Arial" w:cs="Arial" w:eastAsia="Arial" w:hAnsi="Arial"/>
                <w:sz w:val="9"/>
                <w:szCs w:val="9"/>
                <w:color w:val="auto"/>
              </w:rPr>
              <w:t>26,870</w:t>
            </w: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33,836</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120,664</w:t>
            </w:r>
          </w:p>
        </w:tc>
      </w:tr>
      <w:tr>
        <w:trPr>
          <w:trHeight w:val="98"/>
        </w:trPr>
        <w:tc>
          <w:tcPr>
            <w:tcW w:w="4120" w:type="dxa"/>
            <w:vAlign w:val="bottom"/>
          </w:tcPr>
          <w:p>
            <w:pPr>
              <w:spacing w:after="0" w:line="98" w:lineRule="exact"/>
              <w:rPr>
                <w:sz w:val="20"/>
                <w:szCs w:val="20"/>
                <w:color w:val="auto"/>
              </w:rPr>
            </w:pPr>
            <w:r>
              <w:rPr>
                <w:rFonts w:ascii="Arial" w:cs="Arial" w:eastAsia="Arial" w:hAnsi="Arial"/>
                <w:sz w:val="9"/>
                <w:szCs w:val="9"/>
                <w:color w:val="auto"/>
              </w:rPr>
              <w:t>Other noninterest expense</w:t>
            </w:r>
          </w:p>
        </w:tc>
        <w:tc>
          <w:tcPr>
            <w:tcW w:w="60" w:type="dxa"/>
            <w:vAlign w:val="bottom"/>
          </w:tcPr>
          <w:p>
            <w:pPr>
              <w:spacing w:after="0"/>
              <w:rPr>
                <w:sz w:val="8"/>
                <w:szCs w:val="8"/>
                <w:color w:val="auto"/>
              </w:rPr>
            </w:pPr>
          </w:p>
        </w:tc>
        <w:tc>
          <w:tcPr>
            <w:tcW w:w="860" w:type="dxa"/>
            <w:vAlign w:val="bottom"/>
            <w:gridSpan w:val="2"/>
          </w:tcPr>
          <w:p>
            <w:pPr>
              <w:jc w:val="right"/>
              <w:ind w:right="320"/>
              <w:spacing w:after="0" w:line="98" w:lineRule="exact"/>
              <w:rPr>
                <w:sz w:val="20"/>
                <w:szCs w:val="20"/>
                <w:color w:val="auto"/>
              </w:rPr>
            </w:pPr>
            <w:r>
              <w:rPr>
                <w:rFonts w:ascii="Arial" w:cs="Arial" w:eastAsia="Arial" w:hAnsi="Arial"/>
                <w:sz w:val="9"/>
                <w:szCs w:val="9"/>
                <w:color w:val="auto"/>
              </w:rPr>
              <w:t>139,101</w:t>
            </w:r>
          </w:p>
        </w:tc>
        <w:tc>
          <w:tcPr>
            <w:tcW w:w="60" w:type="dxa"/>
            <w:vAlign w:val="bottom"/>
          </w:tcPr>
          <w:p>
            <w:pPr>
              <w:spacing w:after="0"/>
              <w:rPr>
                <w:sz w:val="8"/>
                <w:szCs w:val="8"/>
                <w:color w:val="auto"/>
              </w:rPr>
            </w:pPr>
          </w:p>
        </w:tc>
        <w:tc>
          <w:tcPr>
            <w:tcW w:w="8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53,635</w:t>
            </w:r>
          </w:p>
        </w:tc>
        <w:tc>
          <w:tcPr>
            <w:tcW w:w="60" w:type="dxa"/>
            <w:vAlign w:val="bottom"/>
          </w:tcPr>
          <w:p>
            <w:pPr>
              <w:spacing w:after="0"/>
              <w:rPr>
                <w:sz w:val="8"/>
                <w:szCs w:val="8"/>
                <w:color w:val="auto"/>
              </w:rPr>
            </w:pPr>
          </w:p>
        </w:tc>
        <w:tc>
          <w:tcPr>
            <w:tcW w:w="9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12,641</w:t>
            </w:r>
          </w:p>
        </w:tc>
        <w:tc>
          <w:tcPr>
            <w:tcW w:w="60" w:type="dxa"/>
            <w:vAlign w:val="bottom"/>
          </w:tcPr>
          <w:p>
            <w:pPr>
              <w:spacing w:after="0"/>
              <w:rPr>
                <w:sz w:val="8"/>
                <w:szCs w:val="8"/>
                <w:color w:val="auto"/>
              </w:rPr>
            </w:pPr>
          </w:p>
        </w:tc>
        <w:tc>
          <w:tcPr>
            <w:tcW w:w="8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131,977</w:t>
            </w:r>
          </w:p>
        </w:tc>
        <w:tc>
          <w:tcPr>
            <w:tcW w:w="60" w:type="dxa"/>
            <w:vAlign w:val="bottom"/>
          </w:tcPr>
          <w:p>
            <w:pPr>
              <w:spacing w:after="0"/>
              <w:rPr>
                <w:sz w:val="8"/>
                <w:szCs w:val="8"/>
                <w:color w:val="auto"/>
              </w:rPr>
            </w:pPr>
          </w:p>
        </w:tc>
        <w:tc>
          <w:tcPr>
            <w:tcW w:w="720" w:type="dxa"/>
            <w:vAlign w:val="bottom"/>
            <w:gridSpan w:val="2"/>
          </w:tcPr>
          <w:p>
            <w:pPr>
              <w:jc w:val="right"/>
              <w:ind w:right="280"/>
              <w:spacing w:after="0" w:line="98" w:lineRule="exact"/>
              <w:rPr>
                <w:sz w:val="20"/>
                <w:szCs w:val="20"/>
                <w:color w:val="auto"/>
              </w:rPr>
            </w:pPr>
            <w:r>
              <w:rPr>
                <w:rFonts w:ascii="Arial" w:cs="Arial" w:eastAsia="Arial" w:hAnsi="Arial"/>
                <w:sz w:val="9"/>
                <w:szCs w:val="9"/>
                <w:color w:val="auto"/>
              </w:rPr>
              <w:t>708,924</w:t>
            </w:r>
          </w:p>
        </w:tc>
        <w:tc>
          <w:tcPr>
            <w:tcW w:w="60" w:type="dxa"/>
            <w:vAlign w:val="bottom"/>
          </w:tcPr>
          <w:p>
            <w:pPr>
              <w:spacing w:after="0"/>
              <w:rPr>
                <w:sz w:val="8"/>
                <w:szCs w:val="8"/>
                <w:color w:val="auto"/>
              </w:rPr>
            </w:pPr>
          </w:p>
        </w:tc>
        <w:tc>
          <w:tcPr>
            <w:tcW w:w="740" w:type="dxa"/>
            <w:vAlign w:val="bottom"/>
            <w:gridSpan w:val="2"/>
          </w:tcPr>
          <w:p>
            <w:pPr>
              <w:jc w:val="right"/>
              <w:ind w:right="260"/>
              <w:spacing w:after="0" w:line="98" w:lineRule="exact"/>
              <w:rPr>
                <w:sz w:val="20"/>
                <w:szCs w:val="20"/>
                <w:color w:val="auto"/>
              </w:rPr>
            </w:pPr>
            <w:r>
              <w:rPr>
                <w:rFonts w:ascii="Arial" w:cs="Arial" w:eastAsia="Arial" w:hAnsi="Arial"/>
                <w:sz w:val="9"/>
                <w:szCs w:val="9"/>
                <w:color w:val="auto"/>
              </w:rPr>
              <w:t>273,666</w:t>
            </w:r>
          </w:p>
        </w:tc>
        <w:tc>
          <w:tcPr>
            <w:tcW w:w="80" w:type="dxa"/>
            <w:vAlign w:val="bottom"/>
          </w:tcPr>
          <w:p>
            <w:pPr>
              <w:spacing w:after="0"/>
              <w:rPr>
                <w:sz w:val="8"/>
                <w:szCs w:val="8"/>
                <w:color w:val="auto"/>
              </w:rPr>
            </w:pPr>
          </w:p>
        </w:tc>
        <w:tc>
          <w:tcPr>
            <w:tcW w:w="5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w w:val="94"/>
              </w:rPr>
              <w:t>1,319,944</w:t>
            </w:r>
          </w:p>
        </w:tc>
      </w:tr>
      <w:tr>
        <w:trPr>
          <w:trHeight w:val="20"/>
        </w:trPr>
        <w:tc>
          <w:tcPr>
            <w:tcW w:w="4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8"/>
        </w:trPr>
        <w:tc>
          <w:tcPr>
            <w:tcW w:w="41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Income (loss) before taxes</w:t>
            </w:r>
          </w:p>
        </w:tc>
        <w:tc>
          <w:tcPr>
            <w:tcW w:w="6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320"/>
              <w:spacing w:after="0" w:line="98" w:lineRule="exact"/>
              <w:rPr>
                <w:sz w:val="20"/>
                <w:szCs w:val="20"/>
                <w:color w:val="auto"/>
              </w:rPr>
            </w:pPr>
            <w:r>
              <w:rPr>
                <w:rFonts w:ascii="Arial" w:cs="Arial" w:eastAsia="Arial" w:hAnsi="Arial"/>
                <w:sz w:val="9"/>
                <w:szCs w:val="9"/>
                <w:color w:val="auto"/>
              </w:rPr>
              <w:t>361,008</w:t>
            </w:r>
          </w:p>
        </w:tc>
        <w:tc>
          <w:tcPr>
            <w:tcW w:w="6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193,810</w:t>
            </w:r>
          </w:p>
        </w:tc>
        <w:tc>
          <w:tcPr>
            <w:tcW w:w="60" w:type="dxa"/>
            <w:vAlign w:val="bottom"/>
            <w:shd w:val="clear" w:color="auto" w:fill="CCEEFF"/>
          </w:tcPr>
          <w:p>
            <w:pPr>
              <w:spacing w:after="0"/>
              <w:rPr>
                <w:sz w:val="8"/>
                <w:szCs w:val="8"/>
                <w:color w:val="auto"/>
              </w:rPr>
            </w:pPr>
          </w:p>
        </w:tc>
        <w:tc>
          <w:tcPr>
            <w:tcW w:w="9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158,790</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46,095</w:t>
            </w:r>
          </w:p>
        </w:tc>
        <w:tc>
          <w:tcPr>
            <w:tcW w:w="60" w:type="dxa"/>
            <w:vAlign w:val="bottom"/>
            <w:shd w:val="clear" w:color="auto" w:fill="CCEEFF"/>
          </w:tcPr>
          <w:p>
            <w:pPr>
              <w:spacing w:after="0"/>
              <w:rPr>
                <w:sz w:val="8"/>
                <w:szCs w:val="8"/>
                <w:color w:val="auto"/>
              </w:rPr>
            </w:pPr>
          </w:p>
        </w:tc>
        <w:tc>
          <w:tcPr>
            <w:tcW w:w="720" w:type="dxa"/>
            <w:vAlign w:val="bottom"/>
            <w:gridSpan w:val="2"/>
            <w:shd w:val="clear" w:color="auto" w:fill="CCEEFF"/>
          </w:tcPr>
          <w:p>
            <w:pPr>
              <w:jc w:val="right"/>
              <w:ind w:right="280"/>
              <w:spacing w:after="0" w:line="98" w:lineRule="exact"/>
              <w:rPr>
                <w:sz w:val="20"/>
                <w:szCs w:val="20"/>
                <w:color w:val="auto"/>
              </w:rPr>
            </w:pPr>
            <w:r>
              <w:rPr>
                <w:rFonts w:ascii="Arial" w:cs="Arial" w:eastAsia="Arial" w:hAnsi="Arial"/>
                <w:sz w:val="9"/>
                <w:szCs w:val="9"/>
                <w:color w:val="auto"/>
              </w:rPr>
              <w:t>424,219</w:t>
            </w:r>
          </w:p>
        </w:tc>
        <w:tc>
          <w:tcPr>
            <w:tcW w:w="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(117,399)</w:t>
            </w:r>
          </w:p>
        </w:tc>
        <w:tc>
          <w:tcPr>
            <w:tcW w:w="8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94"/>
              </w:rPr>
              <w:t>1,066,523</w:t>
            </w:r>
          </w:p>
        </w:tc>
      </w:tr>
      <w:tr>
        <w:trPr>
          <w:trHeight w:val="98"/>
        </w:trPr>
        <w:tc>
          <w:tcPr>
            <w:tcW w:w="4120" w:type="dxa"/>
            <w:vAlign w:val="bottom"/>
          </w:tcPr>
          <w:p>
            <w:pPr>
              <w:spacing w:after="0" w:line="98" w:lineRule="exact"/>
              <w:rPr>
                <w:sz w:val="20"/>
                <w:szCs w:val="20"/>
                <w:color w:val="auto"/>
              </w:rPr>
            </w:pPr>
            <w:r>
              <w:rPr>
                <w:rFonts w:ascii="Arial" w:cs="Arial" w:eastAsia="Arial" w:hAnsi="Arial"/>
                <w:sz w:val="9"/>
                <w:szCs w:val="9"/>
                <w:color w:val="auto"/>
              </w:rPr>
              <w:t>Income tax expense (benefit)</w:t>
            </w:r>
          </w:p>
        </w:tc>
        <w:tc>
          <w:tcPr>
            <w:tcW w:w="60" w:type="dxa"/>
            <w:vAlign w:val="bottom"/>
          </w:tcPr>
          <w:p>
            <w:pPr>
              <w:spacing w:after="0"/>
              <w:rPr>
                <w:sz w:val="8"/>
                <w:szCs w:val="8"/>
                <w:color w:val="auto"/>
              </w:rPr>
            </w:pPr>
          </w:p>
        </w:tc>
        <w:tc>
          <w:tcPr>
            <w:tcW w:w="860" w:type="dxa"/>
            <w:vAlign w:val="bottom"/>
            <w:gridSpan w:val="2"/>
          </w:tcPr>
          <w:p>
            <w:pPr>
              <w:jc w:val="right"/>
              <w:ind w:right="320"/>
              <w:spacing w:after="0" w:line="98" w:lineRule="exact"/>
              <w:rPr>
                <w:sz w:val="20"/>
                <w:szCs w:val="20"/>
                <w:color w:val="auto"/>
              </w:rPr>
            </w:pPr>
            <w:r>
              <w:rPr>
                <w:rFonts w:ascii="Arial" w:cs="Arial" w:eastAsia="Arial" w:hAnsi="Arial"/>
                <w:sz w:val="9"/>
                <w:szCs w:val="9"/>
                <w:color w:val="auto"/>
              </w:rPr>
              <w:t>148,083</w:t>
            </w:r>
          </w:p>
        </w:tc>
        <w:tc>
          <w:tcPr>
            <w:tcW w:w="60" w:type="dxa"/>
            <w:vAlign w:val="bottom"/>
          </w:tcPr>
          <w:p>
            <w:pPr>
              <w:spacing w:after="0"/>
              <w:rPr>
                <w:sz w:val="8"/>
                <w:szCs w:val="8"/>
                <w:color w:val="auto"/>
              </w:rPr>
            </w:pPr>
          </w:p>
        </w:tc>
        <w:tc>
          <w:tcPr>
            <w:tcW w:w="86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67,872</w:t>
            </w:r>
          </w:p>
        </w:tc>
        <w:tc>
          <w:tcPr>
            <w:tcW w:w="60" w:type="dxa"/>
            <w:vAlign w:val="bottom"/>
          </w:tcPr>
          <w:p>
            <w:pPr>
              <w:spacing w:after="0"/>
              <w:rPr>
                <w:sz w:val="8"/>
                <w:szCs w:val="8"/>
                <w:color w:val="auto"/>
              </w:rPr>
            </w:pPr>
          </w:p>
        </w:tc>
        <w:tc>
          <w:tcPr>
            <w:tcW w:w="9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46,583</w:t>
            </w:r>
          </w:p>
        </w:tc>
        <w:tc>
          <w:tcPr>
            <w:tcW w:w="60" w:type="dxa"/>
            <w:vAlign w:val="bottom"/>
          </w:tcPr>
          <w:p>
            <w:pPr>
              <w:spacing w:after="0"/>
              <w:rPr>
                <w:sz w:val="8"/>
                <w:szCs w:val="8"/>
                <w:color w:val="auto"/>
              </w:rPr>
            </w:pPr>
          </w:p>
        </w:tc>
        <w:tc>
          <w:tcPr>
            <w:tcW w:w="820" w:type="dxa"/>
            <w:vAlign w:val="bottom"/>
            <w:gridSpan w:val="2"/>
          </w:tcPr>
          <w:p>
            <w:pPr>
              <w:jc w:val="right"/>
              <w:ind w:right="300"/>
              <w:spacing w:after="0" w:line="98" w:lineRule="exact"/>
              <w:rPr>
                <w:sz w:val="20"/>
                <w:szCs w:val="20"/>
                <w:color w:val="auto"/>
              </w:rPr>
            </w:pPr>
            <w:r>
              <w:rPr>
                <w:rFonts w:ascii="Arial" w:cs="Arial" w:eastAsia="Arial" w:hAnsi="Arial"/>
                <w:sz w:val="9"/>
                <w:szCs w:val="9"/>
                <w:color w:val="auto"/>
              </w:rPr>
              <w:t>17,301</w:t>
            </w:r>
          </w:p>
        </w:tc>
        <w:tc>
          <w:tcPr>
            <w:tcW w:w="60" w:type="dxa"/>
            <w:vAlign w:val="bottom"/>
          </w:tcPr>
          <w:p>
            <w:pPr>
              <w:spacing w:after="0"/>
              <w:rPr>
                <w:sz w:val="8"/>
                <w:szCs w:val="8"/>
                <w:color w:val="auto"/>
              </w:rPr>
            </w:pPr>
          </w:p>
        </w:tc>
        <w:tc>
          <w:tcPr>
            <w:tcW w:w="720" w:type="dxa"/>
            <w:vAlign w:val="bottom"/>
            <w:gridSpan w:val="2"/>
          </w:tcPr>
          <w:p>
            <w:pPr>
              <w:jc w:val="right"/>
              <w:ind w:right="280"/>
              <w:spacing w:after="0" w:line="98" w:lineRule="exact"/>
              <w:rPr>
                <w:sz w:val="20"/>
                <w:szCs w:val="20"/>
                <w:color w:val="auto"/>
              </w:rPr>
            </w:pPr>
            <w:r>
              <w:rPr>
                <w:rFonts w:ascii="Arial" w:cs="Arial" w:eastAsia="Arial" w:hAnsi="Arial"/>
                <w:sz w:val="9"/>
                <w:szCs w:val="9"/>
                <w:color w:val="auto"/>
              </w:rPr>
              <w:t>172,912</w:t>
            </w:r>
          </w:p>
        </w:tc>
        <w:tc>
          <w:tcPr>
            <w:tcW w:w="60" w:type="dxa"/>
            <w:vAlign w:val="bottom"/>
          </w:tcPr>
          <w:p>
            <w:pPr>
              <w:spacing w:after="0"/>
              <w:rPr>
                <w:sz w:val="8"/>
                <w:szCs w:val="8"/>
                <w:color w:val="auto"/>
              </w:rPr>
            </w:pPr>
          </w:p>
        </w:tc>
        <w:tc>
          <w:tcPr>
            <w:tcW w:w="740" w:type="dxa"/>
            <w:vAlign w:val="bottom"/>
            <w:gridSpan w:val="2"/>
          </w:tcPr>
          <w:p>
            <w:pPr>
              <w:jc w:val="right"/>
              <w:ind w:right="220"/>
              <w:spacing w:after="0" w:line="98" w:lineRule="exact"/>
              <w:rPr>
                <w:sz w:val="20"/>
                <w:szCs w:val="20"/>
                <w:color w:val="auto"/>
              </w:rPr>
            </w:pPr>
            <w:r>
              <w:rPr>
                <w:rFonts w:ascii="Arial" w:cs="Arial" w:eastAsia="Arial" w:hAnsi="Arial"/>
                <w:sz w:val="9"/>
                <w:szCs w:val="9"/>
                <w:color w:val="auto"/>
              </w:rPr>
              <w:t>(108,749)</w:t>
            </w:r>
          </w:p>
        </w:tc>
        <w:tc>
          <w:tcPr>
            <w:tcW w:w="80" w:type="dxa"/>
            <w:vAlign w:val="bottom"/>
          </w:tcPr>
          <w:p>
            <w:pPr>
              <w:spacing w:after="0"/>
              <w:rPr>
                <w:sz w:val="8"/>
                <w:szCs w:val="8"/>
                <w:color w:val="auto"/>
              </w:rPr>
            </w:pPr>
          </w:p>
        </w:tc>
        <w:tc>
          <w:tcPr>
            <w:tcW w:w="500" w:type="dxa"/>
            <w:vAlign w:val="bottom"/>
            <w:gridSpan w:val="2"/>
          </w:tcPr>
          <w:p>
            <w:pPr>
              <w:jc w:val="right"/>
              <w:ind w:right="100"/>
              <w:spacing w:after="0" w:line="98" w:lineRule="exact"/>
              <w:rPr>
                <w:sz w:val="20"/>
                <w:szCs w:val="20"/>
                <w:color w:val="auto"/>
              </w:rPr>
            </w:pPr>
            <w:r>
              <w:rPr>
                <w:rFonts w:ascii="Arial" w:cs="Arial" w:eastAsia="Arial" w:hAnsi="Arial"/>
                <w:sz w:val="9"/>
                <w:szCs w:val="9"/>
                <w:color w:val="auto"/>
              </w:rPr>
              <w:t>344,002</w:t>
            </w:r>
          </w:p>
        </w:tc>
      </w:tr>
      <w:tr>
        <w:trPr>
          <w:trHeight w:val="20"/>
        </w:trPr>
        <w:tc>
          <w:tcPr>
            <w:tcW w:w="4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7"/>
        </w:trPr>
        <w:tc>
          <w:tcPr>
            <w:tcW w:w="41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Net income (loss)</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EEFF"/>
          </w:tcPr>
          <w:p>
            <w:pPr>
              <w:jc w:val="right"/>
              <w:ind w:right="320"/>
              <w:spacing w:after="0" w:line="98" w:lineRule="exact"/>
              <w:rPr>
                <w:sz w:val="20"/>
                <w:szCs w:val="20"/>
                <w:color w:val="auto"/>
              </w:rPr>
            </w:pPr>
            <w:r>
              <w:rPr>
                <w:rFonts w:ascii="Arial" w:cs="Arial" w:eastAsia="Arial" w:hAnsi="Arial"/>
                <w:sz w:val="9"/>
                <w:szCs w:val="9"/>
                <w:color w:val="auto"/>
              </w:rPr>
              <w:t>212,925</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125,938</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112,207</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28,794</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280"/>
              <w:spacing w:after="0" w:line="98" w:lineRule="exact"/>
              <w:rPr>
                <w:sz w:val="20"/>
                <w:szCs w:val="20"/>
                <w:color w:val="auto"/>
              </w:rPr>
            </w:pPr>
            <w:r>
              <w:rPr>
                <w:rFonts w:ascii="Arial" w:cs="Arial" w:eastAsia="Arial" w:hAnsi="Arial"/>
                <w:sz w:val="9"/>
                <w:szCs w:val="9"/>
                <w:color w:val="auto"/>
              </w:rPr>
              <w:t>251,307</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(8,650)</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722,521</w:t>
            </w:r>
          </w:p>
        </w:tc>
      </w:tr>
      <w:tr>
        <w:trPr>
          <w:trHeight w:val="108"/>
        </w:trPr>
        <w:tc>
          <w:tcPr>
            <w:tcW w:w="4120" w:type="dxa"/>
            <w:vAlign w:val="bottom"/>
          </w:tcPr>
          <w:p>
            <w:pPr>
              <w:spacing w:after="0"/>
              <w:rPr>
                <w:sz w:val="20"/>
                <w:szCs w:val="20"/>
                <w:color w:val="auto"/>
              </w:rPr>
            </w:pPr>
            <w:r>
              <w:rPr>
                <w:rFonts w:ascii="Arial" w:cs="Arial" w:eastAsia="Arial" w:hAnsi="Arial"/>
                <w:sz w:val="9"/>
                <w:szCs w:val="9"/>
                <w:color w:val="auto"/>
              </w:rPr>
              <w:t>Average total assets (in millions)</w:t>
            </w: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10,946</w:t>
            </w:r>
          </w:p>
        </w:tc>
        <w:tc>
          <w:tcPr>
            <w:tcW w:w="320" w:type="dxa"/>
            <w:vAlign w:val="bottom"/>
          </w:tcPr>
          <w:p>
            <w:pPr>
              <w:spacing w:after="0"/>
              <w:rPr>
                <w:sz w:val="9"/>
                <w:szCs w:val="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7,868</w:t>
            </w:r>
          </w:p>
        </w:tc>
        <w:tc>
          <w:tcPr>
            <w:tcW w:w="320" w:type="dxa"/>
            <w:vAlign w:val="bottom"/>
          </w:tcPr>
          <w:p>
            <w:pPr>
              <w:spacing w:after="0"/>
              <w:rPr>
                <w:sz w:val="9"/>
                <w:szCs w:val="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10,936</w:t>
            </w:r>
          </w:p>
        </w:tc>
        <w:tc>
          <w:tcPr>
            <w:tcW w:w="300" w:type="dxa"/>
            <w:vAlign w:val="bottom"/>
          </w:tcPr>
          <w:p>
            <w:pPr>
              <w:spacing w:after="0"/>
              <w:rPr>
                <w:sz w:val="9"/>
                <w:szCs w:val="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1,801</w:t>
            </w:r>
          </w:p>
        </w:tc>
        <w:tc>
          <w:tcPr>
            <w:tcW w:w="300" w:type="dxa"/>
            <w:vAlign w:val="bottom"/>
          </w:tcPr>
          <w:p>
            <w:pPr>
              <w:spacing w:after="0"/>
              <w:rPr>
                <w:sz w:val="9"/>
                <w:szCs w:val="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14,739</w:t>
            </w:r>
          </w:p>
        </w:tc>
        <w:tc>
          <w:tcPr>
            <w:tcW w:w="280" w:type="dxa"/>
            <w:vAlign w:val="bottom"/>
          </w:tcPr>
          <w:p>
            <w:pPr>
              <w:spacing w:after="0"/>
              <w:rPr>
                <w:sz w:val="9"/>
                <w:szCs w:val="9"/>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5,227</w:t>
            </w:r>
          </w:p>
        </w:tc>
        <w:tc>
          <w:tcPr>
            <w:tcW w:w="300" w:type="dxa"/>
            <w:vAlign w:val="bottom"/>
          </w:tcPr>
          <w:p>
            <w:pPr>
              <w:spacing w:after="0"/>
              <w:rPr>
                <w:sz w:val="9"/>
                <w:szCs w:val="9"/>
                <w:color w:val="auto"/>
              </w:rPr>
            </w:pPr>
          </w:p>
        </w:tc>
        <w:tc>
          <w:tcPr>
            <w:tcW w:w="80" w:type="dxa"/>
            <w:vAlign w:val="bottom"/>
            <w:tcBorders>
              <w:top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rPr>
              <w:t>51,517</w:t>
            </w:r>
          </w:p>
        </w:tc>
        <w:tc>
          <w:tcPr>
            <w:tcW w:w="100" w:type="dxa"/>
            <w:vAlign w:val="bottom"/>
          </w:tcPr>
          <w:p>
            <w:pPr>
              <w:spacing w:after="0"/>
              <w:rPr>
                <w:sz w:val="9"/>
                <w:szCs w:val="9"/>
                <w:color w:val="auto"/>
              </w:rPr>
            </w:pPr>
          </w:p>
        </w:tc>
      </w:tr>
      <w:tr>
        <w:trPr>
          <w:trHeight w:val="98"/>
        </w:trPr>
        <w:tc>
          <w:tcPr>
            <w:tcW w:w="412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Capital expenditures (in millions)</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EEFF"/>
          </w:tcPr>
          <w:p>
            <w:pPr>
              <w:jc w:val="right"/>
              <w:ind w:right="32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6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9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820" w:type="dxa"/>
            <w:vAlign w:val="bottom"/>
            <w:gridSpan w:val="2"/>
            <w:shd w:val="clear" w:color="auto" w:fill="CCEEFF"/>
          </w:tcPr>
          <w:p>
            <w:pPr>
              <w:jc w:val="right"/>
              <w:ind w:right="300"/>
              <w:spacing w:after="0" w:line="98" w:lineRule="exact"/>
              <w:rPr>
                <w:sz w:val="20"/>
                <w:szCs w:val="20"/>
                <w:color w:val="auto"/>
              </w:rPr>
            </w:pPr>
            <w:r>
              <w:rPr>
                <w:rFonts w:ascii="Arial" w:cs="Arial" w:eastAsia="Arial" w:hAnsi="Arial"/>
                <w:sz w:val="9"/>
                <w:szCs w:val="9"/>
                <w:color w:val="auto"/>
              </w:rPr>
              <w:t>2</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280"/>
              <w:spacing w:after="0" w:line="98" w:lineRule="exact"/>
              <w:rPr>
                <w:sz w:val="20"/>
                <w:szCs w:val="20"/>
                <w:color w:val="auto"/>
              </w:rPr>
            </w:pPr>
            <w:r>
              <w:rPr>
                <w:rFonts w:ascii="Arial" w:cs="Arial" w:eastAsia="Arial" w:hAnsi="Arial"/>
                <w:sz w:val="9"/>
                <w:szCs w:val="9"/>
                <w:color w:val="auto"/>
              </w:rPr>
              <w:t>25</w:t>
            </w:r>
          </w:p>
        </w:tc>
        <w:tc>
          <w:tcPr>
            <w:tcW w:w="60" w:type="dxa"/>
            <w:vAlign w:val="bottom"/>
            <w:shd w:val="clear" w:color="auto" w:fill="CCEEFF"/>
          </w:tcPr>
          <w:p>
            <w:pPr>
              <w:jc w:val="right"/>
              <w:spacing w:after="0" w:line="98" w:lineRule="exact"/>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5</w:t>
            </w:r>
          </w:p>
        </w:tc>
        <w:tc>
          <w:tcPr>
            <w:tcW w:w="80" w:type="dxa"/>
            <w:vAlign w:val="bottom"/>
            <w:shd w:val="clear" w:color="auto" w:fill="CCEEFF"/>
          </w:tcPr>
          <w:p>
            <w:pPr>
              <w:jc w:val="right"/>
              <w:ind w:right="17"/>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112395</wp:posOffset>
            </wp:positionV>
            <wp:extent cx="823595"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07" w:lineRule="exact"/>
        <w:rPr>
          <w:sz w:val="20"/>
          <w:szCs w:val="20"/>
          <w:color w:val="auto"/>
        </w:rPr>
      </w:pPr>
    </w:p>
    <w:p>
      <w:pPr>
        <w:ind w:left="1180" w:right="40" w:hanging="493"/>
        <w:spacing w:after="0" w:line="260" w:lineRule="auto"/>
        <w:tabs>
          <w:tab w:leader="none" w:pos="1180" w:val="left"/>
        </w:tabs>
        <w:numPr>
          <w:ilvl w:val="0"/>
          <w:numId w:val="41"/>
        </w:numPr>
        <w:rPr>
          <w:rFonts w:ascii="Arial" w:cs="Arial" w:eastAsia="Arial" w:hAnsi="Arial"/>
          <w:sz w:val="13"/>
          <w:szCs w:val="13"/>
          <w:i w:val="1"/>
          <w:iCs w:val="1"/>
          <w:color w:val="auto"/>
        </w:rPr>
      </w:pPr>
      <w:r>
        <w:rPr>
          <w:rFonts w:ascii="Arial" w:cs="Arial" w:eastAsia="Arial" w:hAnsi="Arial"/>
          <w:sz w:val="13"/>
          <w:szCs w:val="13"/>
          <w:i w:val="1"/>
          <w:iCs w:val="1"/>
          <w:color w:val="auto"/>
        </w:rPr>
        <w:t>Net interest income is the difference between actual taxable-equivalent interest earned on assets and interest paid on liabilities by a segment and a funding charge (credit) based on the Company’s internal funds transfer pricing methodology. Segments are charged a cost to fund any assets (e.g. loans) and are paid a funding credit for any funds provided (e.g. deposits). The taxable-equivalent adjustment aggregated $19,667,000 in 2006, $17,311,000 in 2005 and $17,330,000 in 2004 and is eliminated in “All Other” net interest income and income tax expense (benefit).</w:t>
      </w:r>
    </w:p>
    <w:p>
      <w:pPr>
        <w:spacing w:after="0" w:line="66" w:lineRule="exact"/>
        <w:rPr>
          <w:sz w:val="20"/>
          <w:szCs w:val="20"/>
          <w:color w:val="auto"/>
        </w:rPr>
      </w:pPr>
    </w:p>
    <w:p>
      <w:pPr>
        <w:jc w:val="both"/>
        <w:ind w:left="680" w:right="360" w:firstLine="599"/>
        <w:spacing w:after="0" w:line="265" w:lineRule="auto"/>
        <w:rPr>
          <w:sz w:val="20"/>
          <w:szCs w:val="20"/>
          <w:color w:val="auto"/>
        </w:rPr>
      </w:pPr>
      <w:r>
        <w:rPr>
          <w:rFonts w:ascii="Arial" w:cs="Arial" w:eastAsia="Arial" w:hAnsi="Arial"/>
          <w:sz w:val="14"/>
          <w:szCs w:val="14"/>
          <w:color w:val="auto"/>
        </w:rPr>
        <w:t>The Commercial Banking segment provides a wide range of credit products and banking services to middle-market and large commercial customers, largely within the markets the Company serves. Among the services provided by this segment are commercial lending and leasing, letters of credit, deposit products and cash management services. The Commercial Real Estate segment provides credit</w:t>
      </w:r>
    </w:p>
    <w:p>
      <w:pPr>
        <w:spacing w:after="0" w:line="14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5" w:name="page126"/>
    <w:bookmarkEnd w:id="1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52" w:lineRule="exact"/>
        <w:rPr>
          <w:sz w:val="20"/>
          <w:szCs w:val="20"/>
          <w:color w:val="auto"/>
        </w:rPr>
      </w:pPr>
    </w:p>
    <w:p>
      <w:pPr>
        <w:ind w:left="680" w:right="20"/>
        <w:spacing w:after="0" w:line="255" w:lineRule="auto"/>
        <w:rPr>
          <w:sz w:val="20"/>
          <w:szCs w:val="20"/>
          <w:color w:val="auto"/>
        </w:rPr>
      </w:pPr>
      <w:r>
        <w:rPr>
          <w:rFonts w:ascii="Arial" w:cs="Arial" w:eastAsia="Arial" w:hAnsi="Arial"/>
          <w:sz w:val="13"/>
          <w:szCs w:val="13"/>
          <w:color w:val="auto"/>
        </w:rPr>
        <w:t>services which are secured by various types of multifamily residential and commercial real estate and deposit services to its customers. Activities of this segment include the origination, sales and servicing of commercial real estate loans. The Discretionary Portfolio segment includes securities, residential mortgage loans and other assets; short-term and long-term borrowed funds; brokered certificates of deposit and interest rate swap agreements related thereto; and offshore branch deposits. This segment also provides foreign exchange services to customers. The Residential Mortgage Banking segment originates and services residential mortgage loans for consumers and sells substantially all of those loans in the secondary market to investors or to bank subsidiaries of M&amp;T. The segment periodically purchases servicing rights to loans that have been originated by other entities. This segment also originates and services loans to developers of residential real estate properties. Residential mortgage loans held for sale are included in the Residential Mortgage Banking segment. The Retail Banking segment offers a variety of services to consumers and small businesses through several delivery channels that include banking offices, automated teller machines, telephone banking and Internet banking. The “All Other” category includes other operating activities of the Company that are not directly attributable to the reported segments as determined in accordance with SFAS No. 131, the difference between the provision for credit losses and the calculated provision allocated to the reportable segments, goodwill and core deposit and other intangible assets resulting from acquisitions of financial institutions, the net impact of the Company’s internal funds transfer pricing methodology, eliminations of transactions between reportable segments, certain nonrecurring transactions, the residual effects of unallocated support systems and general and administrative expenses, and the impact of interest rate risk management strategies. The amount of intersegment activity eliminated in arriving at consolidated totals was included in the “All Other” category as follows:</w:t>
      </w:r>
    </w:p>
    <w:p>
      <w:pPr>
        <w:spacing w:after="0" w:line="7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0"/>
                <w:szCs w:val="10"/>
                <w:b w:val="1"/>
                <w:bCs w:val="1"/>
                <w:color w:val="auto"/>
                <w:w w:val="94"/>
              </w:rPr>
              <w:t>Year Ended December 31</w:t>
            </w: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300" w:type="dxa"/>
            <w:vAlign w:val="bottom"/>
          </w:tcPr>
          <w:p>
            <w:pPr>
              <w:spacing w:after="0"/>
              <w:rPr>
                <w:sz w:val="8"/>
                <w:szCs w:val="8"/>
                <w:color w:val="auto"/>
              </w:rPr>
            </w:pPr>
          </w:p>
        </w:tc>
        <w:tc>
          <w:tcPr>
            <w:tcW w:w="600" w:type="dxa"/>
            <w:vAlign w:val="bottom"/>
            <w:tcBorders>
              <w:bottom w:val="single" w:sz="8" w:color="auto"/>
            </w:tcBorders>
          </w:tcPr>
          <w:p>
            <w:pPr>
              <w:jc w:val="right"/>
              <w:ind w:right="112"/>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w w:val="98"/>
              </w:rPr>
              <w:t>2005</w:t>
            </w:r>
          </w:p>
        </w:tc>
        <w:tc>
          <w:tcPr>
            <w:tcW w:w="400" w:type="dxa"/>
            <w:vAlign w:val="bottom"/>
          </w:tcPr>
          <w:p>
            <w:pPr>
              <w:spacing w:after="0"/>
              <w:rPr>
                <w:sz w:val="8"/>
                <w:szCs w:val="8"/>
                <w:color w:val="auto"/>
              </w:rPr>
            </w:pPr>
          </w:p>
        </w:tc>
        <w:tc>
          <w:tcPr>
            <w:tcW w:w="580" w:type="dxa"/>
            <w:vAlign w:val="bottom"/>
            <w:tcBorders>
              <w:bottom w:val="single" w:sz="8" w:color="auto"/>
            </w:tcBorders>
          </w:tcPr>
          <w:p>
            <w:pPr>
              <w:jc w:val="right"/>
              <w:ind w:right="112"/>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r>
      <w:tr>
        <w:trPr>
          <w:trHeight w:val="131"/>
        </w:trPr>
        <w:tc>
          <w:tcPr>
            <w:tcW w:w="7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left="195"/>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3"/>
        </w:trPr>
        <w:tc>
          <w:tcPr>
            <w:tcW w:w="730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 (70,789)</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 (70,698)</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7"/>
              </w:rPr>
              <w:t>$ (60,195)</w:t>
            </w:r>
          </w:p>
        </w:tc>
      </w:tr>
      <w:tr>
        <w:trPr>
          <w:trHeight w:val="167"/>
        </w:trPr>
        <w:tc>
          <w:tcPr>
            <w:tcW w:w="7300" w:type="dxa"/>
            <w:vAlign w:val="bottom"/>
          </w:tcPr>
          <w:p>
            <w:pPr>
              <w:spacing w:after="0"/>
              <w:rPr>
                <w:sz w:val="20"/>
                <w:szCs w:val="20"/>
                <w:color w:val="auto"/>
              </w:rPr>
            </w:pPr>
            <w:r>
              <w:rPr>
                <w:rFonts w:ascii="Arial" w:cs="Arial" w:eastAsia="Arial" w:hAnsi="Arial"/>
                <w:sz w:val="14"/>
                <w:szCs w:val="14"/>
                <w:color w:val="auto"/>
              </w:rPr>
              <w:t>Expenses</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(20,760)</w:t>
            </w:r>
          </w:p>
        </w:tc>
        <w:tc>
          <w:tcPr>
            <w:tcW w:w="1300" w:type="dxa"/>
            <w:vAlign w:val="bottom"/>
            <w:gridSpan w:val="3"/>
          </w:tcPr>
          <w:p>
            <w:pPr>
              <w:jc w:val="right"/>
              <w:ind w:right="340"/>
              <w:spacing w:after="0"/>
              <w:rPr>
                <w:sz w:val="20"/>
                <w:szCs w:val="20"/>
                <w:color w:val="auto"/>
              </w:rPr>
            </w:pPr>
            <w:r>
              <w:rPr>
                <w:rFonts w:ascii="Arial" w:cs="Arial" w:eastAsia="Arial" w:hAnsi="Arial"/>
                <w:sz w:val="14"/>
                <w:szCs w:val="14"/>
                <w:color w:val="auto"/>
              </w:rPr>
              <w:t>(18,445)</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(16,950)</w:t>
            </w:r>
          </w:p>
        </w:tc>
      </w:tr>
      <w:tr>
        <w:trPr>
          <w:trHeight w:val="167"/>
        </w:trPr>
        <w:tc>
          <w:tcPr>
            <w:tcW w:w="7300" w:type="dxa"/>
            <w:vAlign w:val="bottom"/>
            <w:shd w:val="clear" w:color="auto" w:fill="CCEEFF"/>
          </w:tcPr>
          <w:p>
            <w:pPr>
              <w:spacing w:after="0"/>
              <w:rPr>
                <w:sz w:val="20"/>
                <w:szCs w:val="20"/>
                <w:color w:val="auto"/>
              </w:rPr>
            </w:pPr>
            <w:r>
              <w:rPr>
                <w:rFonts w:ascii="Arial" w:cs="Arial" w:eastAsia="Arial" w:hAnsi="Arial"/>
                <w:sz w:val="14"/>
                <w:szCs w:val="14"/>
                <w:color w:val="auto"/>
              </w:rPr>
              <w:t>Income taxes (benefit)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(20,357)</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(21,262)</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(17,596)</w:t>
            </w:r>
          </w:p>
        </w:tc>
      </w:tr>
      <w:tr>
        <w:trPr>
          <w:trHeight w:val="182"/>
        </w:trPr>
        <w:tc>
          <w:tcPr>
            <w:tcW w:w="7300" w:type="dxa"/>
            <w:vAlign w:val="bottom"/>
          </w:tcPr>
          <w:p>
            <w:pPr>
              <w:spacing w:after="0"/>
              <w:rPr>
                <w:sz w:val="20"/>
                <w:szCs w:val="20"/>
                <w:color w:val="auto"/>
              </w:rPr>
            </w:pPr>
            <w:r>
              <w:rPr>
                <w:rFonts w:ascii="Arial" w:cs="Arial" w:eastAsia="Arial" w:hAnsi="Arial"/>
                <w:sz w:val="14"/>
                <w:szCs w:val="14"/>
                <w:color w:val="auto"/>
              </w:rPr>
              <w:t>Net income (loss)</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(29,672)</w:t>
            </w:r>
          </w:p>
        </w:tc>
        <w:tc>
          <w:tcPr>
            <w:tcW w:w="1300" w:type="dxa"/>
            <w:vAlign w:val="bottom"/>
            <w:gridSpan w:val="3"/>
          </w:tcPr>
          <w:p>
            <w:pPr>
              <w:jc w:val="right"/>
              <w:ind w:right="340"/>
              <w:spacing w:after="0"/>
              <w:rPr>
                <w:sz w:val="20"/>
                <w:szCs w:val="20"/>
                <w:color w:val="auto"/>
              </w:rPr>
            </w:pPr>
            <w:r>
              <w:rPr>
                <w:rFonts w:ascii="Arial" w:cs="Arial" w:eastAsia="Arial" w:hAnsi="Arial"/>
                <w:sz w:val="14"/>
                <w:szCs w:val="14"/>
                <w:color w:val="auto"/>
              </w:rPr>
              <w:t>(30,991)</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color w:val="auto"/>
              </w:rPr>
              <w:t>(25,649)</w:t>
            </w:r>
          </w:p>
        </w:tc>
      </w:tr>
    </w:tbl>
    <w:p>
      <w:pPr>
        <w:spacing w:after="0" w:line="61" w:lineRule="exact"/>
        <w:rPr>
          <w:sz w:val="20"/>
          <w:szCs w:val="20"/>
          <w:color w:val="auto"/>
        </w:rPr>
      </w:pPr>
    </w:p>
    <w:p>
      <w:pPr>
        <w:ind w:left="680" w:right="360" w:firstLine="599"/>
        <w:spacing w:after="0" w:line="280" w:lineRule="auto"/>
        <w:rPr>
          <w:sz w:val="20"/>
          <w:szCs w:val="20"/>
          <w:color w:val="auto"/>
        </w:rPr>
      </w:pPr>
      <w:r>
        <w:rPr>
          <w:rFonts w:ascii="Arial" w:cs="Arial" w:eastAsia="Arial" w:hAnsi="Arial"/>
          <w:sz w:val="14"/>
          <w:szCs w:val="14"/>
          <w:color w:val="auto"/>
        </w:rPr>
        <w:t>The Company conducts substantially all of its operations in the United States. There are no transactions with a single customer that in the aggregate result in revenues that exceed ten percent of consolidated total revenues.</w:t>
      </w:r>
    </w:p>
    <w:p>
      <w:pPr>
        <w:spacing w:after="0" w:line="122" w:lineRule="exact"/>
        <w:rPr>
          <w:sz w:val="20"/>
          <w:szCs w:val="20"/>
          <w:color w:val="auto"/>
        </w:rPr>
      </w:pPr>
    </w:p>
    <w:p>
      <w:pPr>
        <w:ind w:left="1180" w:hanging="493"/>
        <w:spacing w:after="0"/>
        <w:tabs>
          <w:tab w:leader="none" w:pos="1180" w:val="left"/>
        </w:tabs>
        <w:numPr>
          <w:ilvl w:val="0"/>
          <w:numId w:val="42"/>
        </w:numPr>
        <w:rPr>
          <w:rFonts w:ascii="Arial" w:cs="Arial" w:eastAsia="Arial" w:hAnsi="Arial"/>
          <w:sz w:val="14"/>
          <w:szCs w:val="14"/>
          <w:b w:val="1"/>
          <w:bCs w:val="1"/>
          <w:color w:val="auto"/>
        </w:rPr>
      </w:pPr>
      <w:r>
        <w:rPr>
          <w:rFonts w:ascii="Arial" w:cs="Arial" w:eastAsia="Arial" w:hAnsi="Arial"/>
          <w:sz w:val="14"/>
          <w:szCs w:val="14"/>
          <w:b w:val="1"/>
          <w:bCs w:val="1"/>
          <w:color w:val="auto"/>
        </w:rPr>
        <w:t>Regulatory matters</w:t>
      </w:r>
    </w:p>
    <w:p>
      <w:pPr>
        <w:spacing w:after="0" w:line="22" w:lineRule="exact"/>
        <w:rPr>
          <w:sz w:val="20"/>
          <w:szCs w:val="20"/>
          <w:color w:val="auto"/>
        </w:rPr>
      </w:pPr>
    </w:p>
    <w:p>
      <w:pPr>
        <w:ind w:left="680"/>
        <w:spacing w:after="0" w:line="249" w:lineRule="auto"/>
        <w:rPr>
          <w:sz w:val="20"/>
          <w:szCs w:val="20"/>
          <w:color w:val="auto"/>
        </w:rPr>
      </w:pPr>
      <w:r>
        <w:rPr>
          <w:rFonts w:ascii="Arial" w:cs="Arial" w:eastAsia="Arial" w:hAnsi="Arial"/>
          <w:sz w:val="14"/>
          <w:szCs w:val="14"/>
          <w:color w:val="auto"/>
        </w:rPr>
        <w:t>Payment of dividends by M</w:t>
      </w:r>
      <w:r>
        <w:rPr>
          <w:rFonts w:ascii="Arial" w:cs="Arial" w:eastAsia="Arial" w:hAnsi="Arial"/>
          <w:sz w:val="13"/>
          <w:szCs w:val="13"/>
          <w:color w:val="auto"/>
        </w:rPr>
        <w:t>&amp;</w:t>
      </w:r>
      <w:r>
        <w:rPr>
          <w:rFonts w:ascii="Arial" w:cs="Arial" w:eastAsia="Arial" w:hAnsi="Arial"/>
          <w:sz w:val="14"/>
          <w:szCs w:val="14"/>
          <w:color w:val="auto"/>
        </w:rPr>
        <w:t>T’s banking subsidiaries is restricted by various legal and regulatory limitations. Dividends from any banking subsidiary to M</w:t>
      </w:r>
      <w:r>
        <w:rPr>
          <w:rFonts w:ascii="Arial" w:cs="Arial" w:eastAsia="Arial" w:hAnsi="Arial"/>
          <w:sz w:val="13"/>
          <w:szCs w:val="13"/>
          <w:color w:val="auto"/>
        </w:rPr>
        <w:t>&amp;</w:t>
      </w:r>
      <w:r>
        <w:rPr>
          <w:rFonts w:ascii="Arial" w:cs="Arial" w:eastAsia="Arial" w:hAnsi="Arial"/>
          <w:sz w:val="14"/>
          <w:szCs w:val="14"/>
          <w:color w:val="auto"/>
        </w:rPr>
        <w:t>T are limited by the amount of earnings of the banking subsidiary in the current year and the preceding two years. For purposes of this test, at December 31, 2006, approximately $108,084,000 was available for payment of dividends to M</w:t>
      </w:r>
      <w:r>
        <w:rPr>
          <w:rFonts w:ascii="Arial" w:cs="Arial" w:eastAsia="Arial" w:hAnsi="Arial"/>
          <w:sz w:val="13"/>
          <w:szCs w:val="13"/>
          <w:color w:val="auto"/>
        </w:rPr>
        <w:t>&amp;</w:t>
      </w:r>
      <w:r>
        <w:rPr>
          <w:rFonts w:ascii="Arial" w:cs="Arial" w:eastAsia="Arial" w:hAnsi="Arial"/>
          <w:sz w:val="14"/>
          <w:szCs w:val="14"/>
          <w:color w:val="auto"/>
        </w:rPr>
        <w:t>T from banking subsidiaries without prior regulatory approval.</w:t>
      </w:r>
    </w:p>
    <w:p>
      <w:pPr>
        <w:ind w:left="680" w:right="40" w:firstLine="599"/>
        <w:spacing w:after="0" w:line="249" w:lineRule="auto"/>
        <w:rPr>
          <w:sz w:val="20"/>
          <w:szCs w:val="20"/>
          <w:color w:val="auto"/>
        </w:rPr>
      </w:pPr>
      <w:r>
        <w:rPr>
          <w:rFonts w:ascii="Arial" w:cs="Arial" w:eastAsia="Arial" w:hAnsi="Arial"/>
          <w:sz w:val="14"/>
          <w:szCs w:val="14"/>
          <w:color w:val="auto"/>
        </w:rPr>
        <w:t>Banking regulations prohibit extensions of credit by the subsidiary banks to M</w:t>
      </w:r>
      <w:r>
        <w:rPr>
          <w:rFonts w:ascii="Arial" w:cs="Arial" w:eastAsia="Arial" w:hAnsi="Arial"/>
          <w:sz w:val="13"/>
          <w:szCs w:val="13"/>
          <w:color w:val="auto"/>
        </w:rPr>
        <w:t>&amp;</w:t>
      </w:r>
      <w:r>
        <w:rPr>
          <w:rFonts w:ascii="Arial" w:cs="Arial" w:eastAsia="Arial" w:hAnsi="Arial"/>
          <w:sz w:val="14"/>
          <w:szCs w:val="14"/>
          <w:color w:val="auto"/>
        </w:rPr>
        <w:t>T unless appropriately secured by assets. Securities of affiliates are not eligible as collateral for this purpose.</w:t>
      </w:r>
    </w:p>
    <w:p>
      <w:pPr>
        <w:ind w:left="680" w:right="440" w:firstLine="599"/>
        <w:spacing w:after="0" w:line="268" w:lineRule="auto"/>
        <w:rPr>
          <w:sz w:val="20"/>
          <w:szCs w:val="20"/>
          <w:color w:val="auto"/>
        </w:rPr>
      </w:pPr>
      <w:r>
        <w:rPr>
          <w:rFonts w:ascii="Arial" w:cs="Arial" w:eastAsia="Arial" w:hAnsi="Arial"/>
          <w:sz w:val="13"/>
          <w:szCs w:val="13"/>
          <w:color w:val="auto"/>
        </w:rPr>
        <w:t>The bank subsidiaries are required to maintain noninterest-earning reserves against certain deposit liabilities. During the maintenance periods that included December 31, 2006 and 2005, cash and due from banks included a daily average of $182,953,000 and $388,697,000, respectively, for such purpose.</w:t>
      </w:r>
    </w:p>
    <w:p>
      <w:pPr>
        <w:ind w:left="680" w:right="20" w:firstLine="599"/>
        <w:spacing w:after="0" w:line="276" w:lineRule="auto"/>
        <w:rPr>
          <w:sz w:val="20"/>
          <w:szCs w:val="20"/>
          <w:color w:val="auto"/>
        </w:rPr>
      </w:pPr>
      <w:r>
        <w:rPr>
          <w:rFonts w:ascii="Arial" w:cs="Arial" w:eastAsia="Arial" w:hAnsi="Arial"/>
          <w:sz w:val="13"/>
          <w:szCs w:val="13"/>
          <w:color w:val="auto"/>
        </w:rPr>
        <w:t>Federal regulators have adopted capital adequacy guidelines for bank holding companies and banks. Failure to meet minimum capital requirements can result in certain mandatory, and possibly additional discretionary, actions by regulators that, if undertaken, could have a material effect on the Company’s financial statements. Under the capital adequacy guidelines, the so-called “Tier 1 capital” and “Total capital” as a percentage of risk-weighted assets and certain off-balance sheet financial instruments must be at least 4% and 8%, respectively. In addition to these risk-based measures, regulators also require banking institutions that meet certain qualitative criteria to maintain a minimum “leverage” ratio of “Tier 1 capital” to average total assets, adjusted for goodwill and certain other items, of at least 3% to be</w:t>
      </w:r>
    </w:p>
    <w:p>
      <w:pPr>
        <w:spacing w:after="0" w:line="137"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6" w:name="page127"/>
    <w:bookmarkEnd w:id="1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56" w:lineRule="exact"/>
        <w:rPr>
          <w:sz w:val="20"/>
          <w:szCs w:val="20"/>
          <w:color w:val="auto"/>
        </w:rPr>
      </w:pPr>
    </w:p>
    <w:p>
      <w:pPr>
        <w:ind w:left="680" w:right="100"/>
        <w:spacing w:after="0" w:line="252" w:lineRule="auto"/>
        <w:rPr>
          <w:sz w:val="20"/>
          <w:szCs w:val="20"/>
          <w:color w:val="auto"/>
        </w:rPr>
      </w:pPr>
      <w:r>
        <w:rPr>
          <w:rFonts w:ascii="Arial" w:cs="Arial" w:eastAsia="Arial" w:hAnsi="Arial"/>
          <w:sz w:val="13"/>
          <w:szCs w:val="13"/>
          <w:color w:val="auto"/>
        </w:rPr>
        <w:t>considered adequately capitalized. As of December 31, 2006, M&amp;</w:t>
      </w:r>
      <w:r>
        <w:rPr>
          <w:rFonts w:ascii="Arial" w:cs="Arial" w:eastAsia="Arial" w:hAnsi="Arial"/>
          <w:sz w:val="14"/>
          <w:szCs w:val="14"/>
          <w:color w:val="auto"/>
        </w:rPr>
        <w:t>T and each of its banking subsidiaries exceeded all applicable capital adequacy requirements. As of</w:t>
      </w:r>
      <w:r>
        <w:rPr>
          <w:rFonts w:ascii="Arial" w:cs="Arial" w:eastAsia="Arial" w:hAnsi="Arial"/>
          <w:sz w:val="13"/>
          <w:szCs w:val="13"/>
          <w:color w:val="auto"/>
        </w:rPr>
        <w:t xml:space="preserve"> </w:t>
      </w:r>
      <w:r>
        <w:rPr>
          <w:rFonts w:ascii="Arial" w:cs="Arial" w:eastAsia="Arial" w:hAnsi="Arial"/>
          <w:sz w:val="14"/>
          <w:szCs w:val="14"/>
          <w:color w:val="auto"/>
        </w:rPr>
        <w:t>December 31, 2006 and 2005, the most recent notifications from federal regulators categorized each of M</w:t>
      </w:r>
      <w:r>
        <w:rPr>
          <w:rFonts w:ascii="Arial" w:cs="Arial" w:eastAsia="Arial" w:hAnsi="Arial"/>
          <w:sz w:val="13"/>
          <w:szCs w:val="13"/>
          <w:color w:val="auto"/>
        </w:rPr>
        <w:t>&amp;</w:t>
      </w:r>
      <w:r>
        <w:rPr>
          <w:rFonts w:ascii="Arial" w:cs="Arial" w:eastAsia="Arial" w:hAnsi="Arial"/>
          <w:sz w:val="14"/>
          <w:szCs w:val="14"/>
          <w:color w:val="auto"/>
        </w:rPr>
        <w:t>T’s bank subsidiaries as “well capitalized” under the regulatory framework for prompt corrective action. To be considered “well capitalized,” a banking institution must maintain Tier 1 risk-based capital, total risk-based capital and leverage ratios of at least 6%, 10% and 5%, respectively. Management is unaware of any conditions or events since the latest notifications from federal regulators that have changed the capital adequacy category of M</w:t>
      </w:r>
      <w:r>
        <w:rPr>
          <w:rFonts w:ascii="Arial" w:cs="Arial" w:eastAsia="Arial" w:hAnsi="Arial"/>
          <w:sz w:val="13"/>
          <w:szCs w:val="13"/>
          <w:color w:val="auto"/>
        </w:rPr>
        <w:t>&amp;</w:t>
      </w:r>
      <w:r>
        <w:rPr>
          <w:rFonts w:ascii="Arial" w:cs="Arial" w:eastAsia="Arial" w:hAnsi="Arial"/>
          <w:sz w:val="14"/>
          <w:szCs w:val="14"/>
          <w:color w:val="auto"/>
        </w:rPr>
        <w:t>T’s bank subsidiaries.</w:t>
      </w:r>
    </w:p>
    <w:p>
      <w:pPr>
        <w:spacing w:after="0" w:line="2"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The capital ratios and amounts of the Company and its banking subsidiaries as of December 31, 2006 and 2005 are presented below:</w:t>
      </w:r>
    </w:p>
    <w:p>
      <w:pPr>
        <w:spacing w:after="0" w:line="92"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5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right"/>
              <w:ind w:right="834"/>
              <w:spacing w:after="0"/>
              <w:rPr>
                <w:sz w:val="20"/>
                <w:szCs w:val="20"/>
                <w:color w:val="auto"/>
              </w:rPr>
            </w:pPr>
            <w:r>
              <w:rPr>
                <w:rFonts w:ascii="Arial" w:cs="Arial" w:eastAsia="Arial" w:hAnsi="Arial"/>
                <w:sz w:val="13"/>
                <w:szCs w:val="13"/>
                <w:b w:val="1"/>
                <w:bCs w:val="1"/>
                <w:color w:val="auto"/>
              </w:rPr>
              <w:t>M&amp;T</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M&amp;T</w:t>
            </w:r>
          </w:p>
        </w:tc>
      </w:tr>
      <w:tr>
        <w:trPr>
          <w:trHeight w:val="169"/>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574"/>
              <w:spacing w:after="0"/>
              <w:rPr>
                <w:sz w:val="20"/>
                <w:szCs w:val="20"/>
                <w:color w:val="auto"/>
              </w:rPr>
            </w:pPr>
            <w:r>
              <w:rPr>
                <w:rFonts w:ascii="Arial" w:cs="Arial" w:eastAsia="Arial" w:hAnsi="Arial"/>
                <w:sz w:val="13"/>
                <w:szCs w:val="13"/>
                <w:b w:val="1"/>
                <w:bCs w:val="1"/>
                <w:color w:val="auto"/>
                <w:w w:val="98"/>
              </w:rPr>
              <w:t>(Consolidated)</w:t>
            </w:r>
          </w:p>
        </w:tc>
        <w:tc>
          <w:tcPr>
            <w:tcW w:w="100" w:type="dxa"/>
            <w:vAlign w:val="bottom"/>
          </w:tcPr>
          <w:p>
            <w:pPr>
              <w:spacing w:after="0"/>
              <w:rPr>
                <w:sz w:val="14"/>
                <w:szCs w:val="1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b w:val="1"/>
                <w:bCs w:val="1"/>
                <w:color w:val="auto"/>
              </w:rPr>
              <w:t>M&amp;T Bank</w:t>
            </w:r>
          </w:p>
        </w:tc>
        <w:tc>
          <w:tcPr>
            <w:tcW w:w="10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8"/>
              </w:rPr>
              <w:t>Bank, N.A.</w:t>
            </w:r>
          </w:p>
        </w:tc>
      </w:tr>
      <w:tr>
        <w:trPr>
          <w:trHeight w:val="160"/>
        </w:trPr>
        <w:tc>
          <w:tcPr>
            <w:tcW w:w="59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w w:val="82"/>
              </w:rPr>
              <w:t>(Dollars</w:t>
            </w:r>
          </w:p>
        </w:tc>
        <w:tc>
          <w:tcPr>
            <w:tcW w:w="900" w:type="dxa"/>
            <w:vAlign w:val="bottom"/>
            <w:tcBorders>
              <w:top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w w:val="89"/>
              </w:rPr>
              <w:t>in thousands)</w:t>
            </w:r>
          </w:p>
        </w:tc>
        <w:tc>
          <w:tcPr>
            <w:tcW w:w="4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8"/>
        </w:trPr>
        <w:tc>
          <w:tcPr>
            <w:tcW w:w="5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67"/>
        </w:trPr>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December 31, 2006:</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7"/>
        </w:trPr>
        <w:tc>
          <w:tcPr>
            <w:tcW w:w="5940" w:type="dxa"/>
            <w:vAlign w:val="bottom"/>
          </w:tcPr>
          <w:p>
            <w:pPr>
              <w:spacing w:after="0"/>
              <w:rPr>
                <w:sz w:val="20"/>
                <w:szCs w:val="20"/>
                <w:color w:val="auto"/>
              </w:rPr>
            </w:pPr>
            <w:r>
              <w:rPr>
                <w:rFonts w:ascii="Arial" w:cs="Arial" w:eastAsia="Arial" w:hAnsi="Arial"/>
                <w:sz w:val="14"/>
                <w:szCs w:val="14"/>
                <w:color w:val="auto"/>
              </w:rPr>
              <w:t>Tier 1 capital</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5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Amount</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CEEFF"/>
          </w:tcPr>
          <w:p>
            <w:pPr>
              <w:jc w:val="right"/>
              <w:ind w:right="354"/>
              <w:spacing w:after="0"/>
              <w:rPr>
                <w:sz w:val="20"/>
                <w:szCs w:val="20"/>
                <w:color w:val="auto"/>
              </w:rPr>
            </w:pPr>
            <w:r>
              <w:rPr>
                <w:rFonts w:ascii="Arial" w:cs="Arial" w:eastAsia="Arial" w:hAnsi="Arial"/>
                <w:sz w:val="14"/>
                <w:szCs w:val="14"/>
                <w:color w:val="auto"/>
              </w:rPr>
              <w:t>3,844,322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3,355,935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93,024</w:t>
            </w:r>
          </w:p>
        </w:tc>
      </w:tr>
      <w:tr>
        <w:trPr>
          <w:trHeight w:val="167"/>
        </w:trPr>
        <w:tc>
          <w:tcPr>
            <w:tcW w:w="5940" w:type="dxa"/>
            <w:vAlign w:val="bottom"/>
          </w:tcPr>
          <w:p>
            <w:pPr>
              <w:ind w:left="140"/>
              <w:spacing w:after="0"/>
              <w:rPr>
                <w:sz w:val="20"/>
                <w:szCs w:val="20"/>
                <w:color w:val="auto"/>
              </w:rPr>
            </w:pPr>
            <w:r>
              <w:rPr>
                <w:rFonts w:ascii="Arial" w:cs="Arial" w:eastAsia="Arial" w:hAnsi="Arial"/>
                <w:sz w:val="14"/>
                <w:szCs w:val="14"/>
                <w:color w:val="auto"/>
              </w:rPr>
              <w:t>Ratio(a)</w:t>
            </w:r>
          </w:p>
        </w:tc>
        <w:tc>
          <w:tcPr>
            <w:tcW w:w="140" w:type="dxa"/>
            <w:vAlign w:val="bottom"/>
          </w:tcPr>
          <w:p>
            <w:pPr>
              <w:spacing w:after="0"/>
              <w:rPr>
                <w:sz w:val="14"/>
                <w:szCs w:val="14"/>
                <w:color w:val="auto"/>
              </w:rPr>
            </w:pPr>
          </w:p>
        </w:tc>
        <w:tc>
          <w:tcPr>
            <w:tcW w:w="1560" w:type="dxa"/>
            <w:vAlign w:val="bottom"/>
            <w:gridSpan w:val="2"/>
          </w:tcPr>
          <w:p>
            <w:pPr>
              <w:jc w:val="right"/>
              <w:ind w:right="234"/>
              <w:spacing w:after="0"/>
              <w:rPr>
                <w:sz w:val="20"/>
                <w:szCs w:val="20"/>
                <w:color w:val="auto"/>
              </w:rPr>
            </w:pPr>
            <w:r>
              <w:rPr>
                <w:rFonts w:ascii="Arial" w:cs="Arial" w:eastAsia="Arial" w:hAnsi="Arial"/>
                <w:sz w:val="14"/>
                <w:szCs w:val="14"/>
                <w:color w:val="auto"/>
              </w:rPr>
              <w:t>7.74%</w:t>
            </w:r>
          </w:p>
        </w:tc>
        <w:tc>
          <w:tcPr>
            <w:tcW w:w="100" w:type="dxa"/>
            <w:vAlign w:val="bottom"/>
          </w:tcPr>
          <w:p>
            <w:pPr>
              <w:spacing w:after="0"/>
              <w:rPr>
                <w:sz w:val="14"/>
                <w:szCs w:val="1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color w:val="auto"/>
              </w:rPr>
              <w:t>6.81%</w:t>
            </w:r>
          </w:p>
        </w:tc>
        <w:tc>
          <w:tcPr>
            <w:tcW w:w="1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35.62%</w:t>
            </w:r>
          </w:p>
        </w:tc>
      </w:tr>
      <w:tr>
        <w:trPr>
          <w:trHeight w:val="167"/>
        </w:trPr>
        <w:tc>
          <w:tcPr>
            <w:tcW w:w="5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Minimum required amount(b)</w:t>
            </w:r>
          </w:p>
        </w:tc>
        <w:tc>
          <w:tcPr>
            <w:tcW w:w="1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354"/>
              <w:spacing w:after="0"/>
              <w:rPr>
                <w:sz w:val="20"/>
                <w:szCs w:val="20"/>
                <w:color w:val="auto"/>
              </w:rPr>
            </w:pPr>
            <w:r>
              <w:rPr>
                <w:rFonts w:ascii="Arial" w:cs="Arial" w:eastAsia="Arial" w:hAnsi="Arial"/>
                <w:sz w:val="14"/>
                <w:szCs w:val="14"/>
                <w:color w:val="auto"/>
              </w:rPr>
              <w:t>1,985,987</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1,970,212</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10,446</w:t>
            </w:r>
          </w:p>
        </w:tc>
      </w:tr>
      <w:tr>
        <w:trPr>
          <w:trHeight w:val="167"/>
        </w:trPr>
        <w:tc>
          <w:tcPr>
            <w:tcW w:w="5940" w:type="dxa"/>
            <w:vAlign w:val="bottom"/>
          </w:tcPr>
          <w:p>
            <w:pPr>
              <w:spacing w:after="0"/>
              <w:rPr>
                <w:sz w:val="20"/>
                <w:szCs w:val="20"/>
                <w:color w:val="auto"/>
              </w:rPr>
            </w:pPr>
            <w:r>
              <w:rPr>
                <w:rFonts w:ascii="Arial" w:cs="Arial" w:eastAsia="Arial" w:hAnsi="Arial"/>
                <w:sz w:val="14"/>
                <w:szCs w:val="14"/>
                <w:color w:val="auto"/>
              </w:rPr>
              <w:t>Total capital</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5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Amount</w:t>
            </w:r>
          </w:p>
        </w:tc>
        <w:tc>
          <w:tcPr>
            <w:tcW w:w="1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354"/>
              <w:spacing w:after="0"/>
              <w:rPr>
                <w:sz w:val="20"/>
                <w:szCs w:val="20"/>
                <w:color w:val="auto"/>
              </w:rPr>
            </w:pPr>
            <w:r>
              <w:rPr>
                <w:rFonts w:ascii="Arial" w:cs="Arial" w:eastAsia="Arial" w:hAnsi="Arial"/>
                <w:sz w:val="14"/>
                <w:szCs w:val="14"/>
                <w:color w:val="auto"/>
              </w:rPr>
              <w:t>5,849,969</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5,391,656</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95,480</w:t>
            </w:r>
          </w:p>
        </w:tc>
      </w:tr>
      <w:tr>
        <w:trPr>
          <w:trHeight w:val="167"/>
        </w:trPr>
        <w:tc>
          <w:tcPr>
            <w:tcW w:w="5940" w:type="dxa"/>
            <w:vAlign w:val="bottom"/>
          </w:tcPr>
          <w:p>
            <w:pPr>
              <w:ind w:left="140"/>
              <w:spacing w:after="0"/>
              <w:rPr>
                <w:sz w:val="20"/>
                <w:szCs w:val="20"/>
                <w:color w:val="auto"/>
              </w:rPr>
            </w:pPr>
            <w:r>
              <w:rPr>
                <w:rFonts w:ascii="Arial" w:cs="Arial" w:eastAsia="Arial" w:hAnsi="Arial"/>
                <w:sz w:val="14"/>
                <w:szCs w:val="14"/>
                <w:color w:val="auto"/>
              </w:rPr>
              <w:t>Ratio(a)</w:t>
            </w:r>
          </w:p>
        </w:tc>
        <w:tc>
          <w:tcPr>
            <w:tcW w:w="140" w:type="dxa"/>
            <w:vAlign w:val="bottom"/>
          </w:tcPr>
          <w:p>
            <w:pPr>
              <w:spacing w:after="0"/>
              <w:rPr>
                <w:sz w:val="14"/>
                <w:szCs w:val="14"/>
                <w:color w:val="auto"/>
              </w:rPr>
            </w:pPr>
          </w:p>
        </w:tc>
        <w:tc>
          <w:tcPr>
            <w:tcW w:w="1560" w:type="dxa"/>
            <w:vAlign w:val="bottom"/>
            <w:gridSpan w:val="2"/>
          </w:tcPr>
          <w:p>
            <w:pPr>
              <w:jc w:val="right"/>
              <w:ind w:right="234"/>
              <w:spacing w:after="0"/>
              <w:rPr>
                <w:sz w:val="20"/>
                <w:szCs w:val="20"/>
                <w:color w:val="auto"/>
              </w:rPr>
            </w:pPr>
            <w:r>
              <w:rPr>
                <w:rFonts w:ascii="Arial" w:cs="Arial" w:eastAsia="Arial" w:hAnsi="Arial"/>
                <w:sz w:val="14"/>
                <w:szCs w:val="14"/>
                <w:color w:val="auto"/>
              </w:rPr>
              <w:t>11.78%</w:t>
            </w:r>
          </w:p>
        </w:tc>
        <w:tc>
          <w:tcPr>
            <w:tcW w:w="100" w:type="dxa"/>
            <w:vAlign w:val="bottom"/>
          </w:tcPr>
          <w:p>
            <w:pPr>
              <w:spacing w:after="0"/>
              <w:rPr>
                <w:sz w:val="14"/>
                <w:szCs w:val="1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color w:val="auto"/>
              </w:rPr>
              <w:t>10.95%</w:t>
            </w:r>
          </w:p>
        </w:tc>
        <w:tc>
          <w:tcPr>
            <w:tcW w:w="1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36.56%</w:t>
            </w:r>
          </w:p>
        </w:tc>
      </w:tr>
      <w:tr>
        <w:trPr>
          <w:trHeight w:val="167"/>
        </w:trPr>
        <w:tc>
          <w:tcPr>
            <w:tcW w:w="5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Minimum required amount(b)</w:t>
            </w:r>
          </w:p>
        </w:tc>
        <w:tc>
          <w:tcPr>
            <w:tcW w:w="1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354"/>
              <w:spacing w:after="0"/>
              <w:rPr>
                <w:sz w:val="20"/>
                <w:szCs w:val="20"/>
                <w:color w:val="auto"/>
              </w:rPr>
            </w:pPr>
            <w:r>
              <w:rPr>
                <w:rFonts w:ascii="Arial" w:cs="Arial" w:eastAsia="Arial" w:hAnsi="Arial"/>
                <w:sz w:val="14"/>
                <w:szCs w:val="14"/>
                <w:color w:val="auto"/>
              </w:rPr>
              <w:t>3,971,974</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3,940,424</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20,892</w:t>
            </w:r>
          </w:p>
        </w:tc>
      </w:tr>
      <w:tr>
        <w:trPr>
          <w:trHeight w:val="167"/>
        </w:trPr>
        <w:tc>
          <w:tcPr>
            <w:tcW w:w="5940" w:type="dxa"/>
            <w:vAlign w:val="bottom"/>
          </w:tcPr>
          <w:p>
            <w:pPr>
              <w:spacing w:after="0"/>
              <w:rPr>
                <w:sz w:val="20"/>
                <w:szCs w:val="20"/>
                <w:color w:val="auto"/>
              </w:rPr>
            </w:pPr>
            <w:r>
              <w:rPr>
                <w:rFonts w:ascii="Arial" w:cs="Arial" w:eastAsia="Arial" w:hAnsi="Arial"/>
                <w:sz w:val="14"/>
                <w:szCs w:val="14"/>
                <w:color w:val="auto"/>
              </w:rPr>
              <w:t>Leverage</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5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Amount</w:t>
            </w:r>
          </w:p>
        </w:tc>
        <w:tc>
          <w:tcPr>
            <w:tcW w:w="1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354"/>
              <w:spacing w:after="0"/>
              <w:rPr>
                <w:sz w:val="20"/>
                <w:szCs w:val="20"/>
                <w:color w:val="auto"/>
              </w:rPr>
            </w:pPr>
            <w:r>
              <w:rPr>
                <w:rFonts w:ascii="Arial" w:cs="Arial" w:eastAsia="Arial" w:hAnsi="Arial"/>
                <w:sz w:val="14"/>
                <w:szCs w:val="14"/>
                <w:color w:val="auto"/>
              </w:rPr>
              <w:t>3,844,322</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3,355,935</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93,024</w:t>
            </w:r>
          </w:p>
        </w:tc>
      </w:tr>
      <w:tr>
        <w:trPr>
          <w:trHeight w:val="167"/>
        </w:trPr>
        <w:tc>
          <w:tcPr>
            <w:tcW w:w="5940" w:type="dxa"/>
            <w:vAlign w:val="bottom"/>
          </w:tcPr>
          <w:p>
            <w:pPr>
              <w:ind w:left="140"/>
              <w:spacing w:after="0"/>
              <w:rPr>
                <w:sz w:val="20"/>
                <w:szCs w:val="20"/>
                <w:color w:val="auto"/>
              </w:rPr>
            </w:pPr>
            <w:r>
              <w:rPr>
                <w:rFonts w:ascii="Arial" w:cs="Arial" w:eastAsia="Arial" w:hAnsi="Arial"/>
                <w:sz w:val="14"/>
                <w:szCs w:val="14"/>
                <w:color w:val="auto"/>
              </w:rPr>
              <w:t>Ratio(c)</w:t>
            </w:r>
          </w:p>
        </w:tc>
        <w:tc>
          <w:tcPr>
            <w:tcW w:w="140" w:type="dxa"/>
            <w:vAlign w:val="bottom"/>
          </w:tcPr>
          <w:p>
            <w:pPr>
              <w:spacing w:after="0"/>
              <w:rPr>
                <w:sz w:val="14"/>
                <w:szCs w:val="14"/>
                <w:color w:val="auto"/>
              </w:rPr>
            </w:pPr>
          </w:p>
        </w:tc>
        <w:tc>
          <w:tcPr>
            <w:tcW w:w="1560" w:type="dxa"/>
            <w:vAlign w:val="bottom"/>
            <w:gridSpan w:val="2"/>
          </w:tcPr>
          <w:p>
            <w:pPr>
              <w:jc w:val="right"/>
              <w:ind w:right="234"/>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14"/>
                <w:szCs w:val="1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4"/>
                <w:szCs w:val="14"/>
                <w:color w:val="auto"/>
              </w:rPr>
              <w:t>6.36%</w:t>
            </w:r>
          </w:p>
        </w:tc>
        <w:tc>
          <w:tcPr>
            <w:tcW w:w="1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16.12%</w:t>
            </w:r>
          </w:p>
        </w:tc>
      </w:tr>
      <w:tr>
        <w:trPr>
          <w:trHeight w:val="167"/>
        </w:trPr>
        <w:tc>
          <w:tcPr>
            <w:tcW w:w="5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Minimum required amount(b)</w:t>
            </w:r>
          </w:p>
        </w:tc>
        <w:tc>
          <w:tcPr>
            <w:tcW w:w="1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354"/>
              <w:spacing w:after="0"/>
              <w:rPr>
                <w:sz w:val="20"/>
                <w:szCs w:val="20"/>
                <w:color w:val="auto"/>
              </w:rPr>
            </w:pPr>
            <w:r>
              <w:rPr>
                <w:rFonts w:ascii="Arial" w:cs="Arial" w:eastAsia="Arial" w:hAnsi="Arial"/>
                <w:sz w:val="14"/>
                <w:szCs w:val="14"/>
                <w:color w:val="auto"/>
              </w:rPr>
              <w:t>1,602,673</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1,582,573</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17,307</w:t>
            </w:r>
          </w:p>
        </w:tc>
      </w:tr>
      <w:tr>
        <w:trPr>
          <w:trHeight w:val="167"/>
        </w:trPr>
        <w:tc>
          <w:tcPr>
            <w:tcW w:w="5940" w:type="dxa"/>
            <w:vAlign w:val="bottom"/>
          </w:tcPr>
          <w:p>
            <w:pPr>
              <w:spacing w:after="0"/>
              <w:rPr>
                <w:sz w:val="20"/>
                <w:szCs w:val="20"/>
                <w:color w:val="auto"/>
              </w:rPr>
            </w:pPr>
            <w:r>
              <w:rPr>
                <w:rFonts w:ascii="Arial" w:cs="Arial" w:eastAsia="Arial" w:hAnsi="Arial"/>
                <w:sz w:val="14"/>
                <w:szCs w:val="14"/>
                <w:color w:val="auto"/>
              </w:rPr>
              <w:t>December 31, 2005:</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Tier 1 capital</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7"/>
        </w:trPr>
        <w:tc>
          <w:tcPr>
            <w:tcW w:w="5940" w:type="dxa"/>
            <w:vAlign w:val="bottom"/>
          </w:tcPr>
          <w:p>
            <w:pPr>
              <w:ind w:left="140"/>
              <w:spacing w:after="0"/>
              <w:rPr>
                <w:sz w:val="20"/>
                <w:szCs w:val="20"/>
                <w:color w:val="auto"/>
              </w:rPr>
            </w:pPr>
            <w:r>
              <w:rPr>
                <w:rFonts w:ascii="Arial" w:cs="Arial" w:eastAsia="Arial" w:hAnsi="Arial"/>
                <w:sz w:val="14"/>
                <w:szCs w:val="14"/>
                <w:color w:val="auto"/>
              </w:rPr>
              <w:t>Amount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1560" w:type="dxa"/>
            <w:vAlign w:val="bottom"/>
            <w:gridSpan w:val="2"/>
          </w:tcPr>
          <w:p>
            <w:pPr>
              <w:jc w:val="right"/>
              <w:ind w:right="354"/>
              <w:spacing w:after="0"/>
              <w:rPr>
                <w:sz w:val="20"/>
                <w:szCs w:val="20"/>
                <w:color w:val="auto"/>
              </w:rPr>
            </w:pPr>
            <w:r>
              <w:rPr>
                <w:rFonts w:ascii="Arial" w:cs="Arial" w:eastAsia="Arial" w:hAnsi="Arial"/>
                <w:sz w:val="14"/>
                <w:szCs w:val="14"/>
                <w:color w:val="auto"/>
              </w:rPr>
              <w:t>3,598,829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420"/>
              <w:spacing w:after="0"/>
              <w:rPr>
                <w:sz w:val="20"/>
                <w:szCs w:val="20"/>
                <w:color w:val="auto"/>
              </w:rPr>
            </w:pPr>
            <w:r>
              <w:rPr>
                <w:rFonts w:ascii="Arial" w:cs="Arial" w:eastAsia="Arial" w:hAnsi="Arial"/>
                <w:sz w:val="14"/>
                <w:szCs w:val="14"/>
                <w:color w:val="auto"/>
              </w:rPr>
              <w:t>3,313,343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84,355</w:t>
            </w:r>
          </w:p>
        </w:tc>
      </w:tr>
      <w:tr>
        <w:trPr>
          <w:trHeight w:val="167"/>
        </w:trPr>
        <w:tc>
          <w:tcPr>
            <w:tcW w:w="5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Ratio(a)</w:t>
            </w:r>
          </w:p>
        </w:tc>
        <w:tc>
          <w:tcPr>
            <w:tcW w:w="1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234"/>
              <w:spacing w:after="0"/>
              <w:rPr>
                <w:sz w:val="20"/>
                <w:szCs w:val="20"/>
                <w:color w:val="auto"/>
              </w:rPr>
            </w:pPr>
            <w:r>
              <w:rPr>
                <w:rFonts w:ascii="Arial" w:cs="Arial" w:eastAsia="Arial" w:hAnsi="Arial"/>
                <w:sz w:val="14"/>
                <w:szCs w:val="14"/>
                <w:color w:val="auto"/>
              </w:rPr>
              <w:t>7.56%</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7.02%</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27.99%</w:t>
            </w:r>
          </w:p>
        </w:tc>
      </w:tr>
      <w:tr>
        <w:trPr>
          <w:trHeight w:val="167"/>
        </w:trPr>
        <w:tc>
          <w:tcPr>
            <w:tcW w:w="5940" w:type="dxa"/>
            <w:vAlign w:val="bottom"/>
          </w:tcPr>
          <w:p>
            <w:pPr>
              <w:ind w:left="140"/>
              <w:spacing w:after="0"/>
              <w:rPr>
                <w:sz w:val="20"/>
                <w:szCs w:val="20"/>
                <w:color w:val="auto"/>
              </w:rPr>
            </w:pPr>
            <w:r>
              <w:rPr>
                <w:rFonts w:ascii="Arial" w:cs="Arial" w:eastAsia="Arial" w:hAnsi="Arial"/>
                <w:sz w:val="14"/>
                <w:szCs w:val="14"/>
                <w:color w:val="auto"/>
              </w:rPr>
              <w:t>Minimum required amount(b)</w:t>
            </w:r>
          </w:p>
        </w:tc>
        <w:tc>
          <w:tcPr>
            <w:tcW w:w="140" w:type="dxa"/>
            <w:vAlign w:val="bottom"/>
          </w:tcPr>
          <w:p>
            <w:pPr>
              <w:spacing w:after="0"/>
              <w:rPr>
                <w:sz w:val="14"/>
                <w:szCs w:val="14"/>
                <w:color w:val="auto"/>
              </w:rPr>
            </w:pPr>
          </w:p>
        </w:tc>
        <w:tc>
          <w:tcPr>
            <w:tcW w:w="1560" w:type="dxa"/>
            <w:vAlign w:val="bottom"/>
            <w:gridSpan w:val="2"/>
          </w:tcPr>
          <w:p>
            <w:pPr>
              <w:jc w:val="right"/>
              <w:ind w:right="354"/>
              <w:spacing w:after="0"/>
              <w:rPr>
                <w:sz w:val="20"/>
                <w:szCs w:val="20"/>
                <w:color w:val="auto"/>
              </w:rPr>
            </w:pPr>
            <w:r>
              <w:rPr>
                <w:rFonts w:ascii="Arial" w:cs="Arial" w:eastAsia="Arial" w:hAnsi="Arial"/>
                <w:sz w:val="14"/>
                <w:szCs w:val="14"/>
                <w:color w:val="auto"/>
              </w:rPr>
              <w:t>1,903,593</w:t>
            </w:r>
          </w:p>
        </w:tc>
        <w:tc>
          <w:tcPr>
            <w:tcW w:w="100" w:type="dxa"/>
            <w:vAlign w:val="bottom"/>
          </w:tcPr>
          <w:p>
            <w:pPr>
              <w:spacing w:after="0"/>
              <w:rPr>
                <w:sz w:val="14"/>
                <w:szCs w:val="1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color w:val="auto"/>
              </w:rPr>
              <w:t>1,886,707</w:t>
            </w:r>
          </w:p>
        </w:tc>
        <w:tc>
          <w:tcPr>
            <w:tcW w:w="1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12,054</w:t>
            </w:r>
          </w:p>
        </w:tc>
      </w:tr>
      <w:tr>
        <w:trPr>
          <w:trHeight w:val="167"/>
        </w:trPr>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Total capital</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7"/>
        </w:trPr>
        <w:tc>
          <w:tcPr>
            <w:tcW w:w="5940" w:type="dxa"/>
            <w:vAlign w:val="bottom"/>
          </w:tcPr>
          <w:p>
            <w:pPr>
              <w:ind w:left="140"/>
              <w:spacing w:after="0"/>
              <w:rPr>
                <w:sz w:val="20"/>
                <w:szCs w:val="20"/>
                <w:color w:val="auto"/>
              </w:rPr>
            </w:pPr>
            <w:r>
              <w:rPr>
                <w:rFonts w:ascii="Arial" w:cs="Arial" w:eastAsia="Arial" w:hAnsi="Arial"/>
                <w:sz w:val="14"/>
                <w:szCs w:val="14"/>
                <w:color w:val="auto"/>
              </w:rPr>
              <w:t>Amount</w:t>
            </w:r>
          </w:p>
        </w:tc>
        <w:tc>
          <w:tcPr>
            <w:tcW w:w="140" w:type="dxa"/>
            <w:vAlign w:val="bottom"/>
          </w:tcPr>
          <w:p>
            <w:pPr>
              <w:spacing w:after="0"/>
              <w:rPr>
                <w:sz w:val="14"/>
                <w:szCs w:val="14"/>
                <w:color w:val="auto"/>
              </w:rPr>
            </w:pPr>
          </w:p>
        </w:tc>
        <w:tc>
          <w:tcPr>
            <w:tcW w:w="1560" w:type="dxa"/>
            <w:vAlign w:val="bottom"/>
            <w:gridSpan w:val="2"/>
          </w:tcPr>
          <w:p>
            <w:pPr>
              <w:jc w:val="right"/>
              <w:ind w:right="354"/>
              <w:spacing w:after="0"/>
              <w:rPr>
                <w:sz w:val="20"/>
                <w:szCs w:val="20"/>
                <w:color w:val="auto"/>
              </w:rPr>
            </w:pPr>
            <w:r>
              <w:rPr>
                <w:rFonts w:ascii="Arial" w:cs="Arial" w:eastAsia="Arial" w:hAnsi="Arial"/>
                <w:sz w:val="14"/>
                <w:szCs w:val="14"/>
                <w:color w:val="auto"/>
              </w:rPr>
              <w:t>5,161,173</w:t>
            </w:r>
          </w:p>
        </w:tc>
        <w:tc>
          <w:tcPr>
            <w:tcW w:w="100" w:type="dxa"/>
            <w:vAlign w:val="bottom"/>
          </w:tcPr>
          <w:p>
            <w:pPr>
              <w:spacing w:after="0"/>
              <w:rPr>
                <w:sz w:val="14"/>
                <w:szCs w:val="1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color w:val="auto"/>
              </w:rPr>
              <w:t>4,882,057</w:t>
            </w:r>
          </w:p>
        </w:tc>
        <w:tc>
          <w:tcPr>
            <w:tcW w:w="1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86,920</w:t>
            </w:r>
          </w:p>
        </w:tc>
      </w:tr>
      <w:tr>
        <w:trPr>
          <w:trHeight w:val="167"/>
        </w:trPr>
        <w:tc>
          <w:tcPr>
            <w:tcW w:w="5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Ratio(a)</w:t>
            </w:r>
          </w:p>
        </w:tc>
        <w:tc>
          <w:tcPr>
            <w:tcW w:w="1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234"/>
              <w:spacing w:after="0"/>
              <w:rPr>
                <w:sz w:val="20"/>
                <w:szCs w:val="20"/>
                <w:color w:val="auto"/>
              </w:rPr>
            </w:pPr>
            <w:r>
              <w:rPr>
                <w:rFonts w:ascii="Arial" w:cs="Arial" w:eastAsia="Arial" w:hAnsi="Arial"/>
                <w:sz w:val="14"/>
                <w:szCs w:val="14"/>
                <w:color w:val="auto"/>
              </w:rPr>
              <w:t>10.85%</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10.35%</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28.84%</w:t>
            </w:r>
          </w:p>
        </w:tc>
      </w:tr>
      <w:tr>
        <w:trPr>
          <w:trHeight w:val="167"/>
        </w:trPr>
        <w:tc>
          <w:tcPr>
            <w:tcW w:w="5940" w:type="dxa"/>
            <w:vAlign w:val="bottom"/>
          </w:tcPr>
          <w:p>
            <w:pPr>
              <w:ind w:left="140"/>
              <w:spacing w:after="0"/>
              <w:rPr>
                <w:sz w:val="20"/>
                <w:szCs w:val="20"/>
                <w:color w:val="auto"/>
              </w:rPr>
            </w:pPr>
            <w:r>
              <w:rPr>
                <w:rFonts w:ascii="Arial" w:cs="Arial" w:eastAsia="Arial" w:hAnsi="Arial"/>
                <w:sz w:val="14"/>
                <w:szCs w:val="14"/>
                <w:color w:val="auto"/>
              </w:rPr>
              <w:t>Minimum required amount(b)</w:t>
            </w:r>
          </w:p>
        </w:tc>
        <w:tc>
          <w:tcPr>
            <w:tcW w:w="140" w:type="dxa"/>
            <w:vAlign w:val="bottom"/>
          </w:tcPr>
          <w:p>
            <w:pPr>
              <w:spacing w:after="0"/>
              <w:rPr>
                <w:sz w:val="14"/>
                <w:szCs w:val="14"/>
                <w:color w:val="auto"/>
              </w:rPr>
            </w:pPr>
          </w:p>
        </w:tc>
        <w:tc>
          <w:tcPr>
            <w:tcW w:w="1560" w:type="dxa"/>
            <w:vAlign w:val="bottom"/>
            <w:gridSpan w:val="2"/>
          </w:tcPr>
          <w:p>
            <w:pPr>
              <w:jc w:val="right"/>
              <w:ind w:right="354"/>
              <w:spacing w:after="0"/>
              <w:rPr>
                <w:sz w:val="20"/>
                <w:szCs w:val="20"/>
                <w:color w:val="auto"/>
              </w:rPr>
            </w:pPr>
            <w:r>
              <w:rPr>
                <w:rFonts w:ascii="Arial" w:cs="Arial" w:eastAsia="Arial" w:hAnsi="Arial"/>
                <w:sz w:val="14"/>
                <w:szCs w:val="14"/>
                <w:color w:val="auto"/>
              </w:rPr>
              <w:t>3,807,186</w:t>
            </w:r>
          </w:p>
        </w:tc>
        <w:tc>
          <w:tcPr>
            <w:tcW w:w="100" w:type="dxa"/>
            <w:vAlign w:val="bottom"/>
          </w:tcPr>
          <w:p>
            <w:pPr>
              <w:spacing w:after="0"/>
              <w:rPr>
                <w:sz w:val="14"/>
                <w:szCs w:val="1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color w:val="auto"/>
              </w:rPr>
              <w:t>3,773,414</w:t>
            </w:r>
          </w:p>
        </w:tc>
        <w:tc>
          <w:tcPr>
            <w:tcW w:w="1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24,108</w:t>
            </w:r>
          </w:p>
        </w:tc>
      </w:tr>
      <w:tr>
        <w:trPr>
          <w:trHeight w:val="167"/>
        </w:trPr>
        <w:tc>
          <w:tcPr>
            <w:tcW w:w="5940" w:type="dxa"/>
            <w:vAlign w:val="bottom"/>
            <w:shd w:val="clear" w:color="auto" w:fill="CCEEFF"/>
          </w:tcPr>
          <w:p>
            <w:pPr>
              <w:spacing w:after="0"/>
              <w:rPr>
                <w:sz w:val="20"/>
                <w:szCs w:val="20"/>
                <w:color w:val="auto"/>
              </w:rPr>
            </w:pPr>
            <w:r>
              <w:rPr>
                <w:rFonts w:ascii="Arial" w:cs="Arial" w:eastAsia="Arial" w:hAnsi="Arial"/>
                <w:sz w:val="14"/>
                <w:szCs w:val="14"/>
                <w:color w:val="auto"/>
              </w:rPr>
              <w:t>Leverage</w:t>
            </w: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7"/>
        </w:trPr>
        <w:tc>
          <w:tcPr>
            <w:tcW w:w="5940" w:type="dxa"/>
            <w:vAlign w:val="bottom"/>
          </w:tcPr>
          <w:p>
            <w:pPr>
              <w:ind w:left="140"/>
              <w:spacing w:after="0"/>
              <w:rPr>
                <w:sz w:val="20"/>
                <w:szCs w:val="20"/>
                <w:color w:val="auto"/>
              </w:rPr>
            </w:pPr>
            <w:r>
              <w:rPr>
                <w:rFonts w:ascii="Arial" w:cs="Arial" w:eastAsia="Arial" w:hAnsi="Arial"/>
                <w:sz w:val="14"/>
                <w:szCs w:val="14"/>
                <w:color w:val="auto"/>
              </w:rPr>
              <w:t>Amount</w:t>
            </w:r>
          </w:p>
        </w:tc>
        <w:tc>
          <w:tcPr>
            <w:tcW w:w="140" w:type="dxa"/>
            <w:vAlign w:val="bottom"/>
          </w:tcPr>
          <w:p>
            <w:pPr>
              <w:spacing w:after="0"/>
              <w:rPr>
                <w:sz w:val="14"/>
                <w:szCs w:val="14"/>
                <w:color w:val="auto"/>
              </w:rPr>
            </w:pPr>
          </w:p>
        </w:tc>
        <w:tc>
          <w:tcPr>
            <w:tcW w:w="1560" w:type="dxa"/>
            <w:vAlign w:val="bottom"/>
            <w:gridSpan w:val="2"/>
          </w:tcPr>
          <w:p>
            <w:pPr>
              <w:jc w:val="right"/>
              <w:ind w:right="354"/>
              <w:spacing w:after="0"/>
              <w:rPr>
                <w:sz w:val="20"/>
                <w:szCs w:val="20"/>
                <w:color w:val="auto"/>
              </w:rPr>
            </w:pPr>
            <w:r>
              <w:rPr>
                <w:rFonts w:ascii="Arial" w:cs="Arial" w:eastAsia="Arial" w:hAnsi="Arial"/>
                <w:sz w:val="14"/>
                <w:szCs w:val="14"/>
                <w:color w:val="auto"/>
              </w:rPr>
              <w:t>3,598,829</w:t>
            </w:r>
          </w:p>
        </w:tc>
        <w:tc>
          <w:tcPr>
            <w:tcW w:w="100" w:type="dxa"/>
            <w:vAlign w:val="bottom"/>
          </w:tcPr>
          <w:p>
            <w:pPr>
              <w:spacing w:after="0"/>
              <w:rPr>
                <w:sz w:val="14"/>
                <w:szCs w:val="1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color w:val="auto"/>
              </w:rPr>
              <w:t>3,313,343</w:t>
            </w:r>
          </w:p>
        </w:tc>
        <w:tc>
          <w:tcPr>
            <w:tcW w:w="1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84,355</w:t>
            </w:r>
          </w:p>
        </w:tc>
      </w:tr>
      <w:tr>
        <w:trPr>
          <w:trHeight w:val="167"/>
        </w:trPr>
        <w:tc>
          <w:tcPr>
            <w:tcW w:w="59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Ratio(c)</w:t>
            </w:r>
          </w:p>
        </w:tc>
        <w:tc>
          <w:tcPr>
            <w:tcW w:w="14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ind w:right="234"/>
              <w:spacing w:after="0"/>
              <w:rPr>
                <w:sz w:val="20"/>
                <w:szCs w:val="20"/>
                <w:color w:val="auto"/>
              </w:rPr>
            </w:pPr>
            <w:r>
              <w:rPr>
                <w:rFonts w:ascii="Arial" w:cs="Arial" w:eastAsia="Arial" w:hAnsi="Arial"/>
                <w:sz w:val="14"/>
                <w:szCs w:val="14"/>
                <w:color w:val="auto"/>
              </w:rPr>
              <w:t>6.94%</w:t>
            </w:r>
          </w:p>
        </w:tc>
        <w:tc>
          <w:tcPr>
            <w:tcW w:w="10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6.46%</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15.34%</w:t>
            </w:r>
          </w:p>
        </w:tc>
      </w:tr>
      <w:tr>
        <w:trPr>
          <w:trHeight w:val="182"/>
        </w:trPr>
        <w:tc>
          <w:tcPr>
            <w:tcW w:w="5940" w:type="dxa"/>
            <w:vAlign w:val="bottom"/>
          </w:tcPr>
          <w:p>
            <w:pPr>
              <w:ind w:left="140"/>
              <w:spacing w:after="0"/>
              <w:rPr>
                <w:sz w:val="20"/>
                <w:szCs w:val="20"/>
                <w:color w:val="auto"/>
              </w:rPr>
            </w:pPr>
            <w:r>
              <w:rPr>
                <w:rFonts w:ascii="Arial" w:cs="Arial" w:eastAsia="Arial" w:hAnsi="Arial"/>
                <w:sz w:val="14"/>
                <w:szCs w:val="14"/>
                <w:color w:val="auto"/>
              </w:rPr>
              <w:t>Minimum required amount(b)</w:t>
            </w:r>
          </w:p>
        </w:tc>
        <w:tc>
          <w:tcPr>
            <w:tcW w:w="140" w:type="dxa"/>
            <w:vAlign w:val="bottom"/>
          </w:tcPr>
          <w:p>
            <w:pPr>
              <w:spacing w:after="0"/>
              <w:rPr>
                <w:sz w:val="15"/>
                <w:szCs w:val="15"/>
                <w:color w:val="auto"/>
              </w:rPr>
            </w:pPr>
          </w:p>
        </w:tc>
        <w:tc>
          <w:tcPr>
            <w:tcW w:w="1560" w:type="dxa"/>
            <w:vAlign w:val="bottom"/>
            <w:gridSpan w:val="2"/>
          </w:tcPr>
          <w:p>
            <w:pPr>
              <w:jc w:val="right"/>
              <w:ind w:right="354"/>
              <w:spacing w:after="0"/>
              <w:rPr>
                <w:sz w:val="20"/>
                <w:szCs w:val="20"/>
                <w:color w:val="auto"/>
              </w:rPr>
            </w:pPr>
            <w:r>
              <w:rPr>
                <w:rFonts w:ascii="Arial" w:cs="Arial" w:eastAsia="Arial" w:hAnsi="Arial"/>
                <w:sz w:val="14"/>
                <w:szCs w:val="14"/>
                <w:color w:val="auto"/>
              </w:rPr>
              <w:t>1,556,213</w:t>
            </w:r>
          </w:p>
        </w:tc>
        <w:tc>
          <w:tcPr>
            <w:tcW w:w="100" w:type="dxa"/>
            <w:vAlign w:val="bottom"/>
          </w:tcPr>
          <w:p>
            <w:pPr>
              <w:spacing w:after="0"/>
              <w:rPr>
                <w:sz w:val="15"/>
                <w:szCs w:val="15"/>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color w:val="auto"/>
              </w:rPr>
              <w:t>1,539,784</w:t>
            </w:r>
          </w:p>
        </w:tc>
        <w:tc>
          <w:tcPr>
            <w:tcW w:w="1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16,501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52705</wp:posOffset>
            </wp:positionV>
            <wp:extent cx="823595"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3" w:lineRule="exact"/>
        <w:rPr>
          <w:sz w:val="20"/>
          <w:szCs w:val="20"/>
          <w:color w:val="auto"/>
        </w:rPr>
      </w:pPr>
    </w:p>
    <w:p>
      <w:pPr>
        <w:ind w:left="1180" w:hanging="493"/>
        <w:spacing w:after="0"/>
        <w:tabs>
          <w:tab w:leader="none" w:pos="1180" w:val="left"/>
        </w:tabs>
        <w:numPr>
          <w:ilvl w:val="0"/>
          <w:numId w:val="43"/>
        </w:numPr>
        <w:rPr>
          <w:rFonts w:ascii="Arial" w:cs="Arial" w:eastAsia="Arial" w:hAnsi="Arial"/>
          <w:sz w:val="13"/>
          <w:szCs w:val="13"/>
          <w:i w:val="1"/>
          <w:iCs w:val="1"/>
          <w:color w:val="auto"/>
        </w:rPr>
      </w:pPr>
      <w:r>
        <w:rPr>
          <w:rFonts w:ascii="Arial" w:cs="Arial" w:eastAsia="Arial" w:hAnsi="Arial"/>
          <w:sz w:val="13"/>
          <w:szCs w:val="13"/>
          <w:i w:val="1"/>
          <w:iCs w:val="1"/>
          <w:color w:val="auto"/>
        </w:rPr>
        <w:t>The ratio of capital to risk-weighted assets, as defined by regulation.</w:t>
      </w:r>
    </w:p>
    <w:p>
      <w:pPr>
        <w:spacing w:after="0" w:line="15" w:lineRule="exact"/>
        <w:rPr>
          <w:rFonts w:ascii="Arial" w:cs="Arial" w:eastAsia="Arial" w:hAnsi="Arial"/>
          <w:sz w:val="13"/>
          <w:szCs w:val="13"/>
          <w:i w:val="1"/>
          <w:iCs w:val="1"/>
          <w:color w:val="auto"/>
        </w:rPr>
      </w:pPr>
    </w:p>
    <w:p>
      <w:pPr>
        <w:ind w:left="1180" w:hanging="493"/>
        <w:spacing w:after="0"/>
        <w:tabs>
          <w:tab w:leader="none" w:pos="1180" w:val="left"/>
        </w:tabs>
        <w:numPr>
          <w:ilvl w:val="0"/>
          <w:numId w:val="43"/>
        </w:numPr>
        <w:rPr>
          <w:rFonts w:ascii="Arial" w:cs="Arial" w:eastAsia="Arial" w:hAnsi="Arial"/>
          <w:sz w:val="13"/>
          <w:szCs w:val="13"/>
          <w:i w:val="1"/>
          <w:iCs w:val="1"/>
          <w:color w:val="auto"/>
        </w:rPr>
      </w:pPr>
      <w:r>
        <w:rPr>
          <w:rFonts w:ascii="Arial" w:cs="Arial" w:eastAsia="Arial" w:hAnsi="Arial"/>
          <w:sz w:val="13"/>
          <w:szCs w:val="13"/>
          <w:i w:val="1"/>
          <w:iCs w:val="1"/>
          <w:color w:val="auto"/>
        </w:rPr>
        <w:t>Minimum amount of capital to be considered adequately capitalized, as defined by regulation.</w:t>
      </w:r>
    </w:p>
    <w:p>
      <w:pPr>
        <w:spacing w:after="0" w:line="7" w:lineRule="exact"/>
        <w:rPr>
          <w:rFonts w:ascii="Arial" w:cs="Arial" w:eastAsia="Arial" w:hAnsi="Arial"/>
          <w:sz w:val="13"/>
          <w:szCs w:val="13"/>
          <w:i w:val="1"/>
          <w:iCs w:val="1"/>
          <w:color w:val="auto"/>
        </w:rPr>
      </w:pPr>
    </w:p>
    <w:p>
      <w:pPr>
        <w:ind w:left="1180" w:hanging="493"/>
        <w:spacing w:after="0"/>
        <w:tabs>
          <w:tab w:leader="none" w:pos="1180" w:val="left"/>
        </w:tabs>
        <w:numPr>
          <w:ilvl w:val="0"/>
          <w:numId w:val="43"/>
        </w:numPr>
        <w:rPr>
          <w:rFonts w:ascii="Arial" w:cs="Arial" w:eastAsia="Arial" w:hAnsi="Arial"/>
          <w:sz w:val="13"/>
          <w:szCs w:val="13"/>
          <w:i w:val="1"/>
          <w:iCs w:val="1"/>
          <w:color w:val="auto"/>
        </w:rPr>
      </w:pPr>
      <w:r>
        <w:rPr>
          <w:rFonts w:ascii="Arial" w:cs="Arial" w:eastAsia="Arial" w:hAnsi="Arial"/>
          <w:sz w:val="13"/>
          <w:szCs w:val="13"/>
          <w:i w:val="1"/>
          <w:iCs w:val="1"/>
          <w:color w:val="auto"/>
        </w:rPr>
        <w:t>The ratio of capital to average assets, as defined by regulation.</w:t>
      </w:r>
    </w:p>
    <w:p>
      <w:pPr>
        <w:spacing w:after="0" w:line="16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7" w:name="page128"/>
    <w:bookmarkEnd w:id="1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62" w:lineRule="exact"/>
        <w:rPr>
          <w:sz w:val="20"/>
          <w:szCs w:val="20"/>
          <w:color w:val="auto"/>
        </w:rPr>
      </w:pPr>
    </w:p>
    <w:p>
      <w:pPr>
        <w:ind w:left="1180" w:hanging="493"/>
        <w:spacing w:after="0"/>
        <w:tabs>
          <w:tab w:leader="none" w:pos="1180" w:val="left"/>
        </w:tabs>
        <w:numPr>
          <w:ilvl w:val="0"/>
          <w:numId w:val="44"/>
        </w:numPr>
        <w:rPr>
          <w:rFonts w:ascii="Arial" w:cs="Arial" w:eastAsia="Arial" w:hAnsi="Arial"/>
          <w:sz w:val="14"/>
          <w:szCs w:val="14"/>
          <w:b w:val="1"/>
          <w:bCs w:val="1"/>
          <w:color w:val="auto"/>
        </w:rPr>
      </w:pPr>
      <w:r>
        <w:rPr>
          <w:rFonts w:ascii="Arial" w:cs="Arial" w:eastAsia="Arial" w:hAnsi="Arial"/>
          <w:sz w:val="14"/>
          <w:szCs w:val="14"/>
          <w:b w:val="1"/>
          <w:bCs w:val="1"/>
          <w:color w:val="auto"/>
        </w:rPr>
        <w:t>Relationship of M</w:t>
      </w:r>
      <w:r>
        <w:rPr>
          <w:rFonts w:ascii="Arial" w:cs="Arial" w:eastAsia="Arial" w:hAnsi="Arial"/>
          <w:sz w:val="13"/>
          <w:szCs w:val="13"/>
          <w:b w:val="1"/>
          <w:bCs w:val="1"/>
          <w:color w:val="auto"/>
        </w:rPr>
        <w:t>&amp;</w:t>
      </w:r>
      <w:r>
        <w:rPr>
          <w:rFonts w:ascii="Arial" w:cs="Arial" w:eastAsia="Arial" w:hAnsi="Arial"/>
          <w:sz w:val="14"/>
          <w:szCs w:val="14"/>
          <w:b w:val="1"/>
          <w:bCs w:val="1"/>
          <w:color w:val="auto"/>
        </w:rPr>
        <w:t>T and AIB</w:t>
      </w:r>
    </w:p>
    <w:p>
      <w:pPr>
        <w:spacing w:after="0" w:line="22" w:lineRule="exact"/>
        <w:rPr>
          <w:sz w:val="20"/>
          <w:szCs w:val="20"/>
          <w:color w:val="auto"/>
        </w:rPr>
      </w:pPr>
    </w:p>
    <w:p>
      <w:pPr>
        <w:ind w:left="680" w:right="40"/>
        <w:spacing w:after="0" w:line="268" w:lineRule="auto"/>
        <w:rPr>
          <w:sz w:val="20"/>
          <w:szCs w:val="20"/>
          <w:color w:val="auto"/>
        </w:rPr>
      </w:pPr>
      <w:r>
        <w:rPr>
          <w:rFonts w:ascii="Arial" w:cs="Arial" w:eastAsia="Arial" w:hAnsi="Arial"/>
          <w:sz w:val="13"/>
          <w:szCs w:val="13"/>
          <w:color w:val="auto"/>
        </w:rPr>
        <w:t>AIB received 26,700,000 shares of M</w:t>
      </w:r>
      <w:r>
        <w:rPr>
          <w:rFonts w:ascii="Arial" w:cs="Arial" w:eastAsia="Arial" w:hAnsi="Arial"/>
          <w:sz w:val="12"/>
          <w:szCs w:val="12"/>
          <w:color w:val="auto"/>
        </w:rPr>
        <w:t>&amp;</w:t>
      </w:r>
      <w:r>
        <w:rPr>
          <w:rFonts w:ascii="Arial" w:cs="Arial" w:eastAsia="Arial" w:hAnsi="Arial"/>
          <w:sz w:val="13"/>
          <w:szCs w:val="13"/>
          <w:color w:val="auto"/>
        </w:rPr>
        <w:t>T common stock on April 1, 2003 as a result of M</w:t>
      </w:r>
      <w:r>
        <w:rPr>
          <w:rFonts w:ascii="Arial" w:cs="Arial" w:eastAsia="Arial" w:hAnsi="Arial"/>
          <w:sz w:val="12"/>
          <w:szCs w:val="12"/>
          <w:color w:val="auto"/>
        </w:rPr>
        <w:t>&amp;</w:t>
      </w:r>
      <w:r>
        <w:rPr>
          <w:rFonts w:ascii="Arial" w:cs="Arial" w:eastAsia="Arial" w:hAnsi="Arial"/>
          <w:sz w:val="13"/>
          <w:szCs w:val="13"/>
          <w:color w:val="auto"/>
        </w:rPr>
        <w:t>T’s acquisition of a subsidiary of AIB on that date. Those shares of common stock owned by AIB represented 24.2% of the issued and outstanding shares of M</w:t>
      </w:r>
      <w:r>
        <w:rPr>
          <w:rFonts w:ascii="Arial" w:cs="Arial" w:eastAsia="Arial" w:hAnsi="Arial"/>
          <w:sz w:val="12"/>
          <w:szCs w:val="12"/>
          <w:color w:val="auto"/>
        </w:rPr>
        <w:t>&amp;</w:t>
      </w:r>
      <w:r>
        <w:rPr>
          <w:rFonts w:ascii="Arial" w:cs="Arial" w:eastAsia="Arial" w:hAnsi="Arial"/>
          <w:sz w:val="13"/>
          <w:szCs w:val="13"/>
          <w:color w:val="auto"/>
        </w:rPr>
        <w:t>T common stock on December 31, 2006. While AIB maintains a significant ownership in M</w:t>
      </w:r>
      <w:r>
        <w:rPr>
          <w:rFonts w:ascii="Arial" w:cs="Arial" w:eastAsia="Arial" w:hAnsi="Arial"/>
          <w:sz w:val="12"/>
          <w:szCs w:val="12"/>
          <w:color w:val="auto"/>
        </w:rPr>
        <w:t>&amp;</w:t>
      </w:r>
      <w:r>
        <w:rPr>
          <w:rFonts w:ascii="Arial" w:cs="Arial" w:eastAsia="Arial" w:hAnsi="Arial"/>
          <w:sz w:val="13"/>
          <w:szCs w:val="13"/>
          <w:color w:val="auto"/>
        </w:rPr>
        <w:t>T, the Agreement and Plan of Reorganization between M</w:t>
      </w:r>
      <w:r>
        <w:rPr>
          <w:rFonts w:ascii="Arial" w:cs="Arial" w:eastAsia="Arial" w:hAnsi="Arial"/>
          <w:sz w:val="12"/>
          <w:szCs w:val="12"/>
          <w:color w:val="auto"/>
        </w:rPr>
        <w:t>&amp;</w:t>
      </w:r>
      <w:r>
        <w:rPr>
          <w:rFonts w:ascii="Arial" w:cs="Arial" w:eastAsia="Arial" w:hAnsi="Arial"/>
          <w:sz w:val="13"/>
          <w:szCs w:val="13"/>
          <w:color w:val="auto"/>
        </w:rPr>
        <w:t>T and AIB (“Reorganization Agreement”) includes several provisions related to the corporate governance of M</w:t>
      </w:r>
      <w:r>
        <w:rPr>
          <w:rFonts w:ascii="Arial" w:cs="Arial" w:eastAsia="Arial" w:hAnsi="Arial"/>
          <w:sz w:val="12"/>
          <w:szCs w:val="12"/>
          <w:color w:val="auto"/>
        </w:rPr>
        <w:t>&amp;</w:t>
      </w:r>
      <w:r>
        <w:rPr>
          <w:rFonts w:ascii="Arial" w:cs="Arial" w:eastAsia="Arial" w:hAnsi="Arial"/>
          <w:sz w:val="13"/>
          <w:szCs w:val="13"/>
          <w:color w:val="auto"/>
        </w:rPr>
        <w:t>T that provide AIB with representation on the M</w:t>
      </w:r>
      <w:r>
        <w:rPr>
          <w:rFonts w:ascii="Arial" w:cs="Arial" w:eastAsia="Arial" w:hAnsi="Arial"/>
          <w:sz w:val="12"/>
          <w:szCs w:val="12"/>
          <w:color w:val="auto"/>
        </w:rPr>
        <w:t>&amp;</w:t>
      </w:r>
      <w:r>
        <w:rPr>
          <w:rFonts w:ascii="Arial" w:cs="Arial" w:eastAsia="Arial" w:hAnsi="Arial"/>
          <w:sz w:val="13"/>
          <w:szCs w:val="13"/>
          <w:color w:val="auto"/>
        </w:rPr>
        <w:t>T and M</w:t>
      </w:r>
      <w:r>
        <w:rPr>
          <w:rFonts w:ascii="Arial" w:cs="Arial" w:eastAsia="Arial" w:hAnsi="Arial"/>
          <w:sz w:val="12"/>
          <w:szCs w:val="12"/>
          <w:color w:val="auto"/>
        </w:rPr>
        <w:t>&amp;</w:t>
      </w:r>
      <w:r>
        <w:rPr>
          <w:rFonts w:ascii="Arial" w:cs="Arial" w:eastAsia="Arial" w:hAnsi="Arial"/>
          <w:sz w:val="13"/>
          <w:szCs w:val="13"/>
          <w:color w:val="auto"/>
        </w:rPr>
        <w:t>T Bank boards of directors and key board committees and certain protections of its rights as a substantial M</w:t>
      </w:r>
      <w:r>
        <w:rPr>
          <w:rFonts w:ascii="Arial" w:cs="Arial" w:eastAsia="Arial" w:hAnsi="Arial"/>
          <w:sz w:val="12"/>
          <w:szCs w:val="12"/>
          <w:color w:val="auto"/>
        </w:rPr>
        <w:t>&amp;</w:t>
      </w:r>
      <w:r>
        <w:rPr>
          <w:rFonts w:ascii="Arial" w:cs="Arial" w:eastAsia="Arial" w:hAnsi="Arial"/>
          <w:sz w:val="13"/>
          <w:szCs w:val="13"/>
          <w:color w:val="auto"/>
        </w:rPr>
        <w:t>T shareholder. In addition, AIB has rights that will facilitate its ability to maintain its proportionate ownership position in M</w:t>
      </w:r>
      <w:r>
        <w:rPr>
          <w:rFonts w:ascii="Arial" w:cs="Arial" w:eastAsia="Arial" w:hAnsi="Arial"/>
          <w:sz w:val="12"/>
          <w:szCs w:val="12"/>
          <w:color w:val="auto"/>
        </w:rPr>
        <w:t>&amp;</w:t>
      </w:r>
      <w:r>
        <w:rPr>
          <w:rFonts w:ascii="Arial" w:cs="Arial" w:eastAsia="Arial" w:hAnsi="Arial"/>
          <w:sz w:val="13"/>
          <w:szCs w:val="13"/>
          <w:color w:val="auto"/>
        </w:rPr>
        <w:t>T.</w:t>
      </w:r>
    </w:p>
    <w:p>
      <w:pPr>
        <w:spacing w:after="0" w:line="1" w:lineRule="exact"/>
        <w:rPr>
          <w:sz w:val="20"/>
          <w:szCs w:val="20"/>
          <w:color w:val="auto"/>
        </w:rPr>
      </w:pPr>
    </w:p>
    <w:p>
      <w:pPr>
        <w:ind w:left="680" w:right="40" w:firstLine="599"/>
        <w:spacing w:after="0" w:line="268" w:lineRule="auto"/>
        <w:rPr>
          <w:sz w:val="20"/>
          <w:szCs w:val="20"/>
          <w:color w:val="auto"/>
        </w:rPr>
      </w:pPr>
      <w:r>
        <w:rPr>
          <w:rFonts w:ascii="Arial" w:cs="Arial" w:eastAsia="Arial" w:hAnsi="Arial"/>
          <w:sz w:val="13"/>
          <w:szCs w:val="13"/>
          <w:color w:val="auto"/>
        </w:rPr>
        <w:t>With respect to AIB’s right to have representation on the M</w:t>
      </w:r>
      <w:r>
        <w:rPr>
          <w:rFonts w:ascii="Arial" w:cs="Arial" w:eastAsia="Arial" w:hAnsi="Arial"/>
          <w:sz w:val="12"/>
          <w:szCs w:val="12"/>
          <w:color w:val="auto"/>
        </w:rPr>
        <w:t>&amp;</w:t>
      </w:r>
      <w:r>
        <w:rPr>
          <w:rFonts w:ascii="Arial" w:cs="Arial" w:eastAsia="Arial" w:hAnsi="Arial"/>
          <w:sz w:val="13"/>
          <w:szCs w:val="13"/>
          <w:color w:val="auto"/>
        </w:rPr>
        <w:t>T and M</w:t>
      </w:r>
      <w:r>
        <w:rPr>
          <w:rFonts w:ascii="Arial" w:cs="Arial" w:eastAsia="Arial" w:hAnsi="Arial"/>
          <w:sz w:val="12"/>
          <w:szCs w:val="12"/>
          <w:color w:val="auto"/>
        </w:rPr>
        <w:t>&amp;</w:t>
      </w:r>
      <w:r>
        <w:rPr>
          <w:rFonts w:ascii="Arial" w:cs="Arial" w:eastAsia="Arial" w:hAnsi="Arial"/>
          <w:sz w:val="13"/>
          <w:szCs w:val="13"/>
          <w:color w:val="auto"/>
        </w:rPr>
        <w:t>T Bank boards of directors and key board committees, for as long as AIB holds at least 15% of M</w:t>
      </w:r>
      <w:r>
        <w:rPr>
          <w:rFonts w:ascii="Arial" w:cs="Arial" w:eastAsia="Arial" w:hAnsi="Arial"/>
          <w:sz w:val="12"/>
          <w:szCs w:val="12"/>
          <w:color w:val="auto"/>
        </w:rPr>
        <w:t>&amp;</w:t>
      </w:r>
      <w:r>
        <w:rPr>
          <w:rFonts w:ascii="Arial" w:cs="Arial" w:eastAsia="Arial" w:hAnsi="Arial"/>
          <w:sz w:val="13"/>
          <w:szCs w:val="13"/>
          <w:color w:val="auto"/>
        </w:rPr>
        <w:t>T’s outstanding common stock, AIB is entitled to designate four individuals, reasonably acceptable to M</w:t>
      </w:r>
      <w:r>
        <w:rPr>
          <w:rFonts w:ascii="Arial" w:cs="Arial" w:eastAsia="Arial" w:hAnsi="Arial"/>
          <w:sz w:val="12"/>
          <w:szCs w:val="12"/>
          <w:color w:val="auto"/>
        </w:rPr>
        <w:t>&amp;</w:t>
      </w:r>
      <w:r>
        <w:rPr>
          <w:rFonts w:ascii="Arial" w:cs="Arial" w:eastAsia="Arial" w:hAnsi="Arial"/>
          <w:sz w:val="13"/>
          <w:szCs w:val="13"/>
          <w:color w:val="auto"/>
        </w:rPr>
        <w:t>T, on both the M</w:t>
      </w:r>
      <w:r>
        <w:rPr>
          <w:rFonts w:ascii="Arial" w:cs="Arial" w:eastAsia="Arial" w:hAnsi="Arial"/>
          <w:sz w:val="12"/>
          <w:szCs w:val="12"/>
          <w:color w:val="auto"/>
        </w:rPr>
        <w:t>&amp;</w:t>
      </w:r>
      <w:r>
        <w:rPr>
          <w:rFonts w:ascii="Arial" w:cs="Arial" w:eastAsia="Arial" w:hAnsi="Arial"/>
          <w:sz w:val="13"/>
          <w:szCs w:val="13"/>
          <w:color w:val="auto"/>
        </w:rPr>
        <w:t>T and M</w:t>
      </w:r>
      <w:r>
        <w:rPr>
          <w:rFonts w:ascii="Arial" w:cs="Arial" w:eastAsia="Arial" w:hAnsi="Arial"/>
          <w:sz w:val="12"/>
          <w:szCs w:val="12"/>
          <w:color w:val="auto"/>
        </w:rPr>
        <w:t>&amp;</w:t>
      </w:r>
      <w:r>
        <w:rPr>
          <w:rFonts w:ascii="Arial" w:cs="Arial" w:eastAsia="Arial" w:hAnsi="Arial"/>
          <w:sz w:val="13"/>
          <w:szCs w:val="13"/>
          <w:color w:val="auto"/>
        </w:rPr>
        <w:t>T Bank boards of directors. In addition, one of the AIB designees to the M</w:t>
      </w:r>
      <w:r>
        <w:rPr>
          <w:rFonts w:ascii="Arial" w:cs="Arial" w:eastAsia="Arial" w:hAnsi="Arial"/>
          <w:sz w:val="12"/>
          <w:szCs w:val="12"/>
          <w:color w:val="auto"/>
        </w:rPr>
        <w:t>&amp;</w:t>
      </w:r>
      <w:r>
        <w:rPr>
          <w:rFonts w:ascii="Arial" w:cs="Arial" w:eastAsia="Arial" w:hAnsi="Arial"/>
          <w:sz w:val="13"/>
          <w:szCs w:val="13"/>
          <w:color w:val="auto"/>
        </w:rPr>
        <w:t>T board of directors will serve on each of the Executive; Nomination, Compensation and Governance; and Audit and Risk committees. Also, as long as AIB holds at least 15% of M</w:t>
      </w:r>
      <w:r>
        <w:rPr>
          <w:rFonts w:ascii="Arial" w:cs="Arial" w:eastAsia="Arial" w:hAnsi="Arial"/>
          <w:sz w:val="12"/>
          <w:szCs w:val="12"/>
          <w:color w:val="auto"/>
        </w:rPr>
        <w:t>&amp;</w:t>
      </w:r>
      <w:r>
        <w:rPr>
          <w:rFonts w:ascii="Arial" w:cs="Arial" w:eastAsia="Arial" w:hAnsi="Arial"/>
          <w:sz w:val="13"/>
          <w:szCs w:val="13"/>
          <w:color w:val="auto"/>
        </w:rPr>
        <w:t>T’s outstanding common stock, neither the M</w:t>
      </w:r>
      <w:r>
        <w:rPr>
          <w:rFonts w:ascii="Arial" w:cs="Arial" w:eastAsia="Arial" w:hAnsi="Arial"/>
          <w:sz w:val="12"/>
          <w:szCs w:val="12"/>
          <w:color w:val="auto"/>
        </w:rPr>
        <w:t>&amp;</w:t>
      </w:r>
      <w:r>
        <w:rPr>
          <w:rFonts w:ascii="Arial" w:cs="Arial" w:eastAsia="Arial" w:hAnsi="Arial"/>
          <w:sz w:val="13"/>
          <w:szCs w:val="13"/>
          <w:color w:val="auto"/>
        </w:rPr>
        <w:t>T nor the M</w:t>
      </w:r>
      <w:r>
        <w:rPr>
          <w:rFonts w:ascii="Arial" w:cs="Arial" w:eastAsia="Arial" w:hAnsi="Arial"/>
          <w:sz w:val="12"/>
          <w:szCs w:val="12"/>
          <w:color w:val="auto"/>
        </w:rPr>
        <w:t>&amp;</w:t>
      </w:r>
      <w:r>
        <w:rPr>
          <w:rFonts w:ascii="Arial" w:cs="Arial" w:eastAsia="Arial" w:hAnsi="Arial"/>
          <w:sz w:val="13"/>
          <w:szCs w:val="13"/>
          <w:color w:val="auto"/>
        </w:rPr>
        <w:t>T Bank board of directors may consist of more than 28 directors without the consent of the M</w:t>
      </w:r>
      <w:r>
        <w:rPr>
          <w:rFonts w:ascii="Arial" w:cs="Arial" w:eastAsia="Arial" w:hAnsi="Arial"/>
          <w:sz w:val="12"/>
          <w:szCs w:val="12"/>
          <w:color w:val="auto"/>
        </w:rPr>
        <w:t>&amp;</w:t>
      </w:r>
      <w:r>
        <w:rPr>
          <w:rFonts w:ascii="Arial" w:cs="Arial" w:eastAsia="Arial" w:hAnsi="Arial"/>
          <w:sz w:val="13"/>
          <w:szCs w:val="13"/>
          <w:color w:val="auto"/>
        </w:rPr>
        <w:t>T directors designated by AIB. AIB will continue to enjoy these rights if its holdings of M</w:t>
      </w:r>
      <w:r>
        <w:rPr>
          <w:rFonts w:ascii="Arial" w:cs="Arial" w:eastAsia="Arial" w:hAnsi="Arial"/>
          <w:sz w:val="12"/>
          <w:szCs w:val="12"/>
          <w:color w:val="auto"/>
        </w:rPr>
        <w:t>&amp;</w:t>
      </w:r>
      <w:r>
        <w:rPr>
          <w:rFonts w:ascii="Arial" w:cs="Arial" w:eastAsia="Arial" w:hAnsi="Arial"/>
          <w:sz w:val="13"/>
          <w:szCs w:val="13"/>
          <w:color w:val="auto"/>
        </w:rPr>
        <w:t>T common stock drop below 15%, but not below 12%, so long as AIB restores its ownership percentage to 15% within one year. In the event that AIB holds at least 10%, but less than 15%, of M</w:t>
      </w:r>
      <w:r>
        <w:rPr>
          <w:rFonts w:ascii="Arial" w:cs="Arial" w:eastAsia="Arial" w:hAnsi="Arial"/>
          <w:sz w:val="12"/>
          <w:szCs w:val="12"/>
          <w:color w:val="auto"/>
        </w:rPr>
        <w:t>&amp;</w:t>
      </w:r>
      <w:r>
        <w:rPr>
          <w:rFonts w:ascii="Arial" w:cs="Arial" w:eastAsia="Arial" w:hAnsi="Arial"/>
          <w:sz w:val="13"/>
          <w:szCs w:val="13"/>
          <w:color w:val="auto"/>
        </w:rPr>
        <w:t>T’s outstanding common stock, AIB will be entitled to designate at least two individuals on both the M</w:t>
      </w:r>
      <w:r>
        <w:rPr>
          <w:rFonts w:ascii="Arial" w:cs="Arial" w:eastAsia="Arial" w:hAnsi="Arial"/>
          <w:sz w:val="12"/>
          <w:szCs w:val="12"/>
          <w:color w:val="auto"/>
        </w:rPr>
        <w:t>&amp;</w:t>
      </w:r>
      <w:r>
        <w:rPr>
          <w:rFonts w:ascii="Arial" w:cs="Arial" w:eastAsia="Arial" w:hAnsi="Arial"/>
          <w:sz w:val="13"/>
          <w:szCs w:val="13"/>
          <w:color w:val="auto"/>
        </w:rPr>
        <w:t>T and M</w:t>
      </w:r>
      <w:r>
        <w:rPr>
          <w:rFonts w:ascii="Arial" w:cs="Arial" w:eastAsia="Arial" w:hAnsi="Arial"/>
          <w:sz w:val="12"/>
          <w:szCs w:val="12"/>
          <w:color w:val="auto"/>
        </w:rPr>
        <w:t>&amp;</w:t>
      </w:r>
      <w:r>
        <w:rPr>
          <w:rFonts w:ascii="Arial" w:cs="Arial" w:eastAsia="Arial" w:hAnsi="Arial"/>
          <w:sz w:val="13"/>
          <w:szCs w:val="13"/>
          <w:color w:val="auto"/>
        </w:rPr>
        <w:t>T Bank boards of directors and, in the event that AIB holds at least 5%, but less than 10%, of M</w:t>
      </w:r>
      <w:r>
        <w:rPr>
          <w:rFonts w:ascii="Arial" w:cs="Arial" w:eastAsia="Arial" w:hAnsi="Arial"/>
          <w:sz w:val="12"/>
          <w:szCs w:val="12"/>
          <w:color w:val="auto"/>
        </w:rPr>
        <w:t>&amp;</w:t>
      </w:r>
      <w:r>
        <w:rPr>
          <w:rFonts w:ascii="Arial" w:cs="Arial" w:eastAsia="Arial" w:hAnsi="Arial"/>
          <w:sz w:val="13"/>
          <w:szCs w:val="13"/>
          <w:color w:val="auto"/>
        </w:rPr>
        <w:t>T’s outstanding common stock, AIB will be entitled to designate one individual on both the M</w:t>
      </w:r>
      <w:r>
        <w:rPr>
          <w:rFonts w:ascii="Arial" w:cs="Arial" w:eastAsia="Arial" w:hAnsi="Arial"/>
          <w:sz w:val="12"/>
          <w:szCs w:val="12"/>
          <w:color w:val="auto"/>
        </w:rPr>
        <w:t>&amp;</w:t>
      </w:r>
      <w:r>
        <w:rPr>
          <w:rFonts w:ascii="Arial" w:cs="Arial" w:eastAsia="Arial" w:hAnsi="Arial"/>
          <w:sz w:val="13"/>
          <w:szCs w:val="13"/>
          <w:color w:val="auto"/>
        </w:rPr>
        <w:t>T and M</w:t>
      </w:r>
      <w:r>
        <w:rPr>
          <w:rFonts w:ascii="Arial" w:cs="Arial" w:eastAsia="Arial" w:hAnsi="Arial"/>
          <w:sz w:val="12"/>
          <w:szCs w:val="12"/>
          <w:color w:val="auto"/>
        </w:rPr>
        <w:t>&amp;</w:t>
      </w:r>
      <w:r>
        <w:rPr>
          <w:rFonts w:ascii="Arial" w:cs="Arial" w:eastAsia="Arial" w:hAnsi="Arial"/>
          <w:sz w:val="13"/>
          <w:szCs w:val="13"/>
          <w:color w:val="auto"/>
        </w:rPr>
        <w:t>T Bank boards of directors. M</w:t>
      </w:r>
      <w:r>
        <w:rPr>
          <w:rFonts w:ascii="Arial" w:cs="Arial" w:eastAsia="Arial" w:hAnsi="Arial"/>
          <w:sz w:val="12"/>
          <w:szCs w:val="12"/>
          <w:color w:val="auto"/>
        </w:rPr>
        <w:t>&amp;</w:t>
      </w:r>
      <w:r>
        <w:rPr>
          <w:rFonts w:ascii="Arial" w:cs="Arial" w:eastAsia="Arial" w:hAnsi="Arial"/>
          <w:sz w:val="13"/>
          <w:szCs w:val="13"/>
          <w:color w:val="auto"/>
        </w:rPr>
        <w:t>T also has the right to appoint one representative to the AIB board while AIB remains a significant shareholder.</w:t>
      </w:r>
    </w:p>
    <w:p>
      <w:pPr>
        <w:spacing w:after="0" w:line="1" w:lineRule="exact"/>
        <w:rPr>
          <w:sz w:val="20"/>
          <w:szCs w:val="20"/>
          <w:color w:val="auto"/>
        </w:rPr>
      </w:pPr>
    </w:p>
    <w:p>
      <w:pPr>
        <w:ind w:left="680" w:right="20" w:firstLine="599"/>
        <w:spacing w:after="0" w:line="251" w:lineRule="auto"/>
        <w:rPr>
          <w:sz w:val="20"/>
          <w:szCs w:val="20"/>
          <w:color w:val="auto"/>
        </w:rPr>
      </w:pPr>
      <w:r>
        <w:rPr>
          <w:rFonts w:ascii="Arial" w:cs="Arial" w:eastAsia="Arial" w:hAnsi="Arial"/>
          <w:sz w:val="14"/>
          <w:szCs w:val="14"/>
          <w:color w:val="auto"/>
        </w:rPr>
        <w:t>There are several other corporate governance provisions that serve to protect AIB’s rights as a substantial M</w:t>
      </w:r>
      <w:r>
        <w:rPr>
          <w:rFonts w:ascii="Arial" w:cs="Arial" w:eastAsia="Arial" w:hAnsi="Arial"/>
          <w:sz w:val="13"/>
          <w:szCs w:val="13"/>
          <w:color w:val="auto"/>
        </w:rPr>
        <w:t>&amp;</w:t>
      </w:r>
      <w:r>
        <w:rPr>
          <w:rFonts w:ascii="Arial" w:cs="Arial" w:eastAsia="Arial" w:hAnsi="Arial"/>
          <w:sz w:val="14"/>
          <w:szCs w:val="14"/>
          <w:color w:val="auto"/>
        </w:rPr>
        <w:t>T shareholder and are embodied in M</w:t>
      </w:r>
      <w:r>
        <w:rPr>
          <w:rFonts w:ascii="Arial" w:cs="Arial" w:eastAsia="Arial" w:hAnsi="Arial"/>
          <w:sz w:val="13"/>
          <w:szCs w:val="13"/>
          <w:color w:val="auto"/>
        </w:rPr>
        <w:t>&amp;</w:t>
      </w:r>
      <w:r>
        <w:rPr>
          <w:rFonts w:ascii="Arial" w:cs="Arial" w:eastAsia="Arial" w:hAnsi="Arial"/>
          <w:sz w:val="14"/>
          <w:szCs w:val="14"/>
          <w:color w:val="auto"/>
        </w:rPr>
        <w:t>T’s certificate of incorporation and bylaws. These protections include an effective consent right in connection with certain actions by M</w:t>
      </w:r>
      <w:r>
        <w:rPr>
          <w:rFonts w:ascii="Arial" w:cs="Arial" w:eastAsia="Arial" w:hAnsi="Arial"/>
          <w:sz w:val="13"/>
          <w:szCs w:val="13"/>
          <w:color w:val="auto"/>
        </w:rPr>
        <w:t>&amp;</w:t>
      </w:r>
      <w:r>
        <w:rPr>
          <w:rFonts w:ascii="Arial" w:cs="Arial" w:eastAsia="Arial" w:hAnsi="Arial"/>
          <w:sz w:val="14"/>
          <w:szCs w:val="14"/>
          <w:color w:val="auto"/>
        </w:rPr>
        <w:t>T, such as amending M</w:t>
      </w:r>
      <w:r>
        <w:rPr>
          <w:rFonts w:ascii="Arial" w:cs="Arial" w:eastAsia="Arial" w:hAnsi="Arial"/>
          <w:sz w:val="13"/>
          <w:szCs w:val="13"/>
          <w:color w:val="auto"/>
        </w:rPr>
        <w:t>&amp;</w:t>
      </w:r>
      <w:r>
        <w:rPr>
          <w:rFonts w:ascii="Arial" w:cs="Arial" w:eastAsia="Arial" w:hAnsi="Arial"/>
          <w:sz w:val="14"/>
          <w:szCs w:val="14"/>
          <w:color w:val="auto"/>
        </w:rPr>
        <w:t>T’s certificate of incorporation or bylaws in a manner inconsistent with AIB’s rights, engaging in activities not permissible for a bank holding company or adopting any shareholder rights plan or other measures intended to prevent or delay any transaction involving a change in control of M</w:t>
      </w:r>
      <w:r>
        <w:rPr>
          <w:rFonts w:ascii="Arial" w:cs="Arial" w:eastAsia="Arial" w:hAnsi="Arial"/>
          <w:sz w:val="13"/>
          <w:szCs w:val="13"/>
          <w:color w:val="auto"/>
        </w:rPr>
        <w:t>&amp;</w:t>
      </w:r>
      <w:r>
        <w:rPr>
          <w:rFonts w:ascii="Arial" w:cs="Arial" w:eastAsia="Arial" w:hAnsi="Arial"/>
          <w:sz w:val="14"/>
          <w:szCs w:val="14"/>
          <w:color w:val="auto"/>
        </w:rPr>
        <w:t>T. AIB has the right to limit, with the agreement of at least one non-AIB designee on the M</w:t>
      </w:r>
      <w:r>
        <w:rPr>
          <w:rFonts w:ascii="Arial" w:cs="Arial" w:eastAsia="Arial" w:hAnsi="Arial"/>
          <w:sz w:val="13"/>
          <w:szCs w:val="13"/>
          <w:color w:val="auto"/>
        </w:rPr>
        <w:t>&amp;</w:t>
      </w:r>
      <w:r>
        <w:rPr>
          <w:rFonts w:ascii="Arial" w:cs="Arial" w:eastAsia="Arial" w:hAnsi="Arial"/>
          <w:sz w:val="14"/>
          <w:szCs w:val="14"/>
          <w:color w:val="auto"/>
        </w:rPr>
        <w:t>T board of directors, other actions by M</w:t>
      </w:r>
      <w:r>
        <w:rPr>
          <w:rFonts w:ascii="Arial" w:cs="Arial" w:eastAsia="Arial" w:hAnsi="Arial"/>
          <w:sz w:val="13"/>
          <w:szCs w:val="13"/>
          <w:color w:val="auto"/>
        </w:rPr>
        <w:t>&amp;</w:t>
      </w:r>
      <w:r>
        <w:rPr>
          <w:rFonts w:ascii="Arial" w:cs="Arial" w:eastAsia="Arial" w:hAnsi="Arial"/>
          <w:sz w:val="14"/>
          <w:szCs w:val="14"/>
          <w:color w:val="auto"/>
        </w:rPr>
        <w:t>T, such as reducing M</w:t>
      </w:r>
      <w:r>
        <w:rPr>
          <w:rFonts w:ascii="Arial" w:cs="Arial" w:eastAsia="Arial" w:hAnsi="Arial"/>
          <w:sz w:val="13"/>
          <w:szCs w:val="13"/>
          <w:color w:val="auto"/>
        </w:rPr>
        <w:t>&amp;</w:t>
      </w:r>
      <w:r>
        <w:rPr>
          <w:rFonts w:ascii="Arial" w:cs="Arial" w:eastAsia="Arial" w:hAnsi="Arial"/>
          <w:sz w:val="14"/>
          <w:szCs w:val="14"/>
          <w:color w:val="auto"/>
        </w:rPr>
        <w:t>T’s cash dividend policy such that the ratio of cash dividends to net income is less than 15%, acquisitions and dispositions of significant amounts of assets, and the appointment or election of the chairman of the board of directors or the chief executive officer of M</w:t>
      </w:r>
      <w:r>
        <w:rPr>
          <w:rFonts w:ascii="Arial" w:cs="Arial" w:eastAsia="Arial" w:hAnsi="Arial"/>
          <w:sz w:val="13"/>
          <w:szCs w:val="13"/>
          <w:color w:val="auto"/>
        </w:rPr>
        <w:t>&amp;</w:t>
      </w:r>
      <w:r>
        <w:rPr>
          <w:rFonts w:ascii="Arial" w:cs="Arial" w:eastAsia="Arial" w:hAnsi="Arial"/>
          <w:sz w:val="14"/>
          <w:szCs w:val="14"/>
          <w:color w:val="auto"/>
        </w:rPr>
        <w:t>T. The protective provisions described above will cease to be applicable when AIB no longer owns at least 15% of M</w:t>
      </w:r>
      <w:r>
        <w:rPr>
          <w:rFonts w:ascii="Arial" w:cs="Arial" w:eastAsia="Arial" w:hAnsi="Arial"/>
          <w:sz w:val="13"/>
          <w:szCs w:val="13"/>
          <w:color w:val="auto"/>
        </w:rPr>
        <w:t>&amp;</w:t>
      </w:r>
      <w:r>
        <w:rPr>
          <w:rFonts w:ascii="Arial" w:cs="Arial" w:eastAsia="Arial" w:hAnsi="Arial"/>
          <w:sz w:val="14"/>
          <w:szCs w:val="14"/>
          <w:color w:val="auto"/>
        </w:rPr>
        <w:t>T’s outstanding common stock, calculated as described in the Reorganization Agreement.</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8" w:name="page129"/>
    <w:bookmarkEnd w:id="1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0" w:type="dxa"/>
            <w:vAlign w:val="bottom"/>
          </w:tcPr>
          <w:p>
            <w:pPr>
              <w:spacing w:after="0"/>
              <w:rPr>
                <w:sz w:val="16"/>
                <w:szCs w:val="16"/>
                <w:color w:val="auto"/>
              </w:rPr>
            </w:pPr>
          </w:p>
        </w:tc>
        <w:tc>
          <w:tcPr>
            <w:tcW w:w="7900" w:type="dxa"/>
            <w:vAlign w:val="bottom"/>
            <w:gridSpan w:val="2"/>
          </w:tcPr>
          <w:p>
            <w:pPr>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34"/>
        </w:trPr>
        <w:tc>
          <w:tcPr>
            <w:tcW w:w="680" w:type="dxa"/>
            <w:vAlign w:val="bottom"/>
          </w:tcPr>
          <w:p>
            <w:pPr>
              <w:spacing w:after="0"/>
              <w:rPr>
                <w:sz w:val="24"/>
                <w:szCs w:val="24"/>
                <w:color w:val="auto"/>
              </w:rPr>
            </w:pPr>
          </w:p>
        </w:tc>
        <w:tc>
          <w:tcPr>
            <w:tcW w:w="7900" w:type="dxa"/>
            <w:vAlign w:val="bottom"/>
            <w:gridSpan w:val="2"/>
          </w:tcPr>
          <w:p>
            <w:pPr>
              <w:spacing w:after="0"/>
              <w:rPr>
                <w:sz w:val="20"/>
                <w:szCs w:val="20"/>
                <w:color w:val="auto"/>
              </w:rPr>
            </w:pPr>
            <w:r>
              <w:rPr>
                <w:rFonts w:ascii="Arial" w:cs="Arial" w:eastAsia="Arial" w:hAnsi="Arial"/>
                <w:sz w:val="14"/>
                <w:szCs w:val="14"/>
                <w:b w:val="1"/>
                <w:bCs w:val="1"/>
                <w:color w:val="auto"/>
              </w:rPr>
              <w:t>Notes to Financial Statements — (Continued)</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13"/>
        </w:trPr>
        <w:tc>
          <w:tcPr>
            <w:tcW w:w="68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rPr>
              <w:t>24.</w:t>
            </w:r>
          </w:p>
        </w:tc>
        <w:tc>
          <w:tcPr>
            <w:tcW w:w="7400" w:type="dxa"/>
            <w:vAlign w:val="bottom"/>
          </w:tcPr>
          <w:p>
            <w:pPr>
              <w:spacing w:after="0"/>
              <w:rPr>
                <w:sz w:val="20"/>
                <w:szCs w:val="20"/>
                <w:color w:val="auto"/>
              </w:rPr>
            </w:pPr>
            <w:r>
              <w:rPr>
                <w:rFonts w:ascii="Arial" w:cs="Arial" w:eastAsia="Arial" w:hAnsi="Arial"/>
                <w:sz w:val="14"/>
                <w:szCs w:val="14"/>
                <w:b w:val="1"/>
                <w:bCs w:val="1"/>
                <w:color w:val="auto"/>
              </w:rPr>
              <w:t>Parent company financial statements</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4"/>
        </w:trPr>
        <w:tc>
          <w:tcPr>
            <w:tcW w:w="680" w:type="dxa"/>
            <w:vAlign w:val="bottom"/>
          </w:tcPr>
          <w:p>
            <w:pPr>
              <w:spacing w:after="0"/>
              <w:rPr>
                <w:sz w:val="24"/>
                <w:szCs w:val="24"/>
                <w:color w:val="auto"/>
              </w:rPr>
            </w:pPr>
          </w:p>
        </w:tc>
        <w:tc>
          <w:tcPr>
            <w:tcW w:w="7900" w:type="dxa"/>
            <w:vAlign w:val="bottom"/>
            <w:gridSpan w:val="2"/>
          </w:tcPr>
          <w:p>
            <w:pPr>
              <w:spacing w:after="0"/>
              <w:rPr>
                <w:sz w:val="20"/>
                <w:szCs w:val="20"/>
                <w:color w:val="auto"/>
              </w:rPr>
            </w:pPr>
            <w:r>
              <w:rPr>
                <w:rFonts w:ascii="Arial" w:cs="Arial" w:eastAsia="Arial" w:hAnsi="Arial"/>
                <w:sz w:val="14"/>
                <w:szCs w:val="14"/>
                <w:b w:val="1"/>
                <w:bCs w:val="1"/>
                <w:color w:val="auto"/>
              </w:rPr>
              <w:t>Condensed Balance Sheet</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4"/>
        </w:trPr>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0"/>
                <w:szCs w:val="10"/>
                <w:b w:val="1"/>
                <w:bCs w:val="1"/>
                <w:color w:val="auto"/>
              </w:rPr>
              <w:t>December 31</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98"/>
        </w:trPr>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jc w:val="right"/>
              <w:ind w:right="230"/>
              <w:spacing w:after="0" w:line="98" w:lineRule="exact"/>
              <w:rPr>
                <w:sz w:val="20"/>
                <w:szCs w:val="20"/>
                <w:color w:val="auto"/>
              </w:rPr>
            </w:pPr>
            <w:r>
              <w:rPr>
                <w:rFonts w:ascii="Arial" w:cs="Arial" w:eastAsia="Arial" w:hAnsi="Arial"/>
                <w:sz w:val="10"/>
                <w:szCs w:val="10"/>
                <w:b w:val="1"/>
                <w:bCs w:val="1"/>
                <w:color w:val="auto"/>
              </w:rPr>
              <w:t>2006</w:t>
            </w: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09"/>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31"/>
        </w:trPr>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560" w:type="dxa"/>
            <w:vAlign w:val="bottom"/>
            <w:gridSpan w:val="2"/>
          </w:tcPr>
          <w:p>
            <w:pPr>
              <w:jc w:val="right"/>
              <w:spacing w:after="0"/>
              <w:rPr>
                <w:sz w:val="20"/>
                <w:szCs w:val="20"/>
                <w:color w:val="auto"/>
              </w:rPr>
            </w:pPr>
            <w:r>
              <w:rPr>
                <w:rFonts w:ascii="Arial" w:cs="Arial" w:eastAsia="Arial" w:hAnsi="Arial"/>
                <w:sz w:val="10"/>
                <w:szCs w:val="10"/>
                <w:b w:val="1"/>
                <w:bCs w:val="1"/>
                <w:color w:val="auto"/>
                <w:w w:val="92"/>
              </w:rPr>
              <w:t>thousands)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73"/>
        </w:trPr>
        <w:tc>
          <w:tcPr>
            <w:tcW w:w="680" w:type="dxa"/>
            <w:vAlign w:val="bottom"/>
          </w:tcPr>
          <w:p>
            <w:pPr>
              <w:spacing w:after="0"/>
              <w:rPr>
                <w:sz w:val="15"/>
                <w:szCs w:val="15"/>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7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Pr>
          <w:p>
            <w:pPr>
              <w:spacing w:after="0"/>
              <w:rPr>
                <w:sz w:val="15"/>
                <w:szCs w:val="15"/>
                <w:color w:val="auto"/>
              </w:rPr>
            </w:pPr>
          </w:p>
        </w:tc>
      </w:tr>
      <w:tr>
        <w:trPr>
          <w:trHeight w:val="167"/>
        </w:trPr>
        <w:tc>
          <w:tcPr>
            <w:tcW w:w="68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color w:val="auto"/>
              </w:rPr>
              <w:t>Cash</w:t>
            </w:r>
          </w:p>
        </w:tc>
        <w:tc>
          <w:tcPr>
            <w:tcW w:w="7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 subsidiary bank</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7,465</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5,045</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500" w:type="dxa"/>
            <w:vAlign w:val="bottom"/>
          </w:tcPr>
          <w:p>
            <w:pPr>
              <w:ind w:left="140"/>
              <w:spacing w:after="0"/>
              <w:rPr>
                <w:sz w:val="20"/>
                <w:szCs w:val="20"/>
                <w:color w:val="auto"/>
              </w:rPr>
            </w:pPr>
            <w:r>
              <w:rPr>
                <w:rFonts w:ascii="Arial" w:cs="Arial" w:eastAsia="Arial" w:hAnsi="Arial"/>
                <w:sz w:val="14"/>
                <w:szCs w:val="14"/>
                <w:color w:val="auto"/>
                <w:w w:val="96"/>
              </w:rPr>
              <w:t>Other</w:t>
            </w:r>
          </w:p>
        </w:tc>
        <w:tc>
          <w:tcPr>
            <w:tcW w:w="7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79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cash</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7,465</w:t>
            </w: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5,046</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900" w:type="dxa"/>
            <w:vAlign w:val="bottom"/>
            <w:gridSpan w:val="2"/>
          </w:tcPr>
          <w:p>
            <w:pPr>
              <w:spacing w:after="0"/>
              <w:rPr>
                <w:sz w:val="20"/>
                <w:szCs w:val="20"/>
                <w:color w:val="auto"/>
              </w:rPr>
            </w:pPr>
            <w:r>
              <w:rPr>
                <w:rFonts w:ascii="Arial" w:cs="Arial" w:eastAsia="Arial" w:hAnsi="Arial"/>
                <w:sz w:val="14"/>
                <w:szCs w:val="14"/>
                <w:color w:val="auto"/>
              </w:rPr>
              <w:t>Due from consolidated bank subsidiaries</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Money-market savings</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414,343</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214,572</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900" w:type="dxa"/>
            <w:vAlign w:val="bottom"/>
            <w:gridSpan w:val="2"/>
          </w:tcPr>
          <w:p>
            <w:pPr>
              <w:ind w:left="140"/>
              <w:spacing w:after="0"/>
              <w:rPr>
                <w:sz w:val="20"/>
                <w:szCs w:val="20"/>
                <w:color w:val="auto"/>
              </w:rPr>
            </w:pPr>
            <w:r>
              <w:rPr>
                <w:rFonts w:ascii="Arial" w:cs="Arial" w:eastAsia="Arial" w:hAnsi="Arial"/>
                <w:sz w:val="14"/>
                <w:szCs w:val="14"/>
                <w:color w:val="auto"/>
              </w:rPr>
              <w:t>Note receivable</w:t>
            </w:r>
          </w:p>
        </w:tc>
        <w:tc>
          <w:tcPr>
            <w:tcW w:w="140" w:type="dxa"/>
            <w:vAlign w:val="bottom"/>
          </w:tcPr>
          <w:p>
            <w:pPr>
              <w:spacing w:after="0"/>
              <w:rPr>
                <w:sz w:val="14"/>
                <w:szCs w:val="14"/>
                <w:color w:val="auto"/>
              </w:rPr>
            </w:pPr>
          </w:p>
        </w:tc>
        <w:tc>
          <w:tcPr>
            <w:tcW w:w="1040" w:type="dxa"/>
            <w:vAlign w:val="bottom"/>
            <w:gridSpan w:val="2"/>
          </w:tcPr>
          <w:p>
            <w:pPr>
              <w:jc w:val="right"/>
              <w:ind w:right="328"/>
              <w:spacing w:after="0"/>
              <w:rPr>
                <w:sz w:val="20"/>
                <w:szCs w:val="20"/>
                <w:color w:val="auto"/>
              </w:rPr>
            </w:pPr>
            <w:r>
              <w:rPr>
                <w:rFonts w:ascii="Arial" w:cs="Arial" w:eastAsia="Arial" w:hAnsi="Arial"/>
                <w:sz w:val="14"/>
                <w:szCs w:val="14"/>
                <w:color w:val="auto"/>
              </w:rPr>
              <w:t>200,000</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200,000</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Current income tax receivable</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2,433</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3,639</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500" w:type="dxa"/>
            <w:vAlign w:val="bottom"/>
          </w:tcPr>
          <w:p>
            <w:pPr>
              <w:ind w:left="140"/>
              <w:spacing w:after="0"/>
              <w:rPr>
                <w:sz w:val="20"/>
                <w:szCs w:val="20"/>
                <w:color w:val="auto"/>
              </w:rPr>
            </w:pPr>
            <w:r>
              <w:rPr>
                <w:rFonts w:ascii="Arial" w:cs="Arial" w:eastAsia="Arial" w:hAnsi="Arial"/>
                <w:sz w:val="14"/>
                <w:szCs w:val="14"/>
                <w:color w:val="auto"/>
                <w:w w:val="96"/>
              </w:rPr>
              <w:t>Other</w:t>
            </w:r>
          </w:p>
        </w:tc>
        <w:tc>
          <w:tcPr>
            <w:tcW w:w="7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1,604</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1,315</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79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due from consolidated bank subsidiaries</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618,380</w:t>
            </w: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419,526</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900" w:type="dxa"/>
            <w:vAlign w:val="bottom"/>
            <w:gridSpan w:val="2"/>
          </w:tcPr>
          <w:p>
            <w:pPr>
              <w:spacing w:after="0"/>
              <w:rPr>
                <w:sz w:val="20"/>
                <w:szCs w:val="20"/>
                <w:color w:val="auto"/>
              </w:rPr>
            </w:pPr>
            <w:r>
              <w:rPr>
                <w:rFonts w:ascii="Arial" w:cs="Arial" w:eastAsia="Arial" w:hAnsi="Arial"/>
                <w:sz w:val="14"/>
                <w:szCs w:val="14"/>
                <w:color w:val="auto"/>
              </w:rPr>
              <w:t>Investments in consolidated subsidiaries</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5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87"/>
              </w:rPr>
              <w:t>Banks</w:t>
            </w:r>
          </w:p>
        </w:tc>
        <w:tc>
          <w:tcPr>
            <w:tcW w:w="7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6,569,224</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6,358,416</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500" w:type="dxa"/>
            <w:vAlign w:val="bottom"/>
          </w:tcPr>
          <w:p>
            <w:pPr>
              <w:ind w:left="140"/>
              <w:spacing w:after="0"/>
              <w:rPr>
                <w:sz w:val="20"/>
                <w:szCs w:val="20"/>
                <w:color w:val="auto"/>
              </w:rPr>
            </w:pPr>
            <w:r>
              <w:rPr>
                <w:rFonts w:ascii="Arial" w:cs="Arial" w:eastAsia="Arial" w:hAnsi="Arial"/>
                <w:sz w:val="14"/>
                <w:szCs w:val="14"/>
                <w:color w:val="auto"/>
                <w:w w:val="96"/>
              </w:rPr>
              <w:t>Other</w:t>
            </w:r>
          </w:p>
        </w:tc>
        <w:tc>
          <w:tcPr>
            <w:tcW w:w="7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28"/>
              <w:spacing w:after="0"/>
              <w:rPr>
                <w:sz w:val="20"/>
                <w:szCs w:val="20"/>
                <w:color w:val="auto"/>
              </w:rPr>
            </w:pPr>
            <w:r>
              <w:rPr>
                <w:rFonts w:ascii="Arial" w:cs="Arial" w:eastAsia="Arial" w:hAnsi="Arial"/>
                <w:sz w:val="14"/>
                <w:szCs w:val="14"/>
                <w:color w:val="auto"/>
              </w:rPr>
              <w:t>20,166</w:t>
            </w: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32,358</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Investments in unconsolidated subsidiaries (note 18)</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29,718</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29,897</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900" w:type="dxa"/>
            <w:vAlign w:val="bottom"/>
            <w:gridSpan w:val="2"/>
          </w:tcPr>
          <w:p>
            <w:pPr>
              <w:spacing w:after="0"/>
              <w:rPr>
                <w:sz w:val="20"/>
                <w:szCs w:val="20"/>
                <w:color w:val="auto"/>
              </w:rPr>
            </w:pPr>
            <w:r>
              <w:rPr>
                <w:rFonts w:ascii="Arial" w:cs="Arial" w:eastAsia="Arial" w:hAnsi="Arial"/>
                <w:sz w:val="14"/>
                <w:szCs w:val="14"/>
                <w:color w:val="auto"/>
              </w:rPr>
              <w:t>Other assets</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140,189</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132,014</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680" w:type="dxa"/>
            <w:vAlign w:val="bottom"/>
          </w:tcPr>
          <w:p>
            <w:pPr>
              <w:spacing w:after="0"/>
              <w:rPr>
                <w:sz w:val="15"/>
                <w:szCs w:val="15"/>
                <w:color w:val="auto"/>
              </w:rPr>
            </w:pPr>
          </w:p>
        </w:tc>
        <w:tc>
          <w:tcPr>
            <w:tcW w:w="79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7,385,142</w:t>
            </w: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6,977,257</w:t>
            </w:r>
          </w:p>
        </w:tc>
        <w:tc>
          <w:tcPr>
            <w:tcW w:w="800" w:type="dxa"/>
            <w:vAlign w:val="bottom"/>
          </w:tcPr>
          <w:p>
            <w:pPr>
              <w:spacing w:after="0"/>
              <w:rPr>
                <w:sz w:val="15"/>
                <w:szCs w:val="15"/>
                <w:color w:val="auto"/>
              </w:rPr>
            </w:pPr>
          </w:p>
        </w:tc>
      </w:tr>
      <w:tr>
        <w:trPr>
          <w:trHeight w:val="295"/>
        </w:trPr>
        <w:tc>
          <w:tcPr>
            <w:tcW w:w="680" w:type="dxa"/>
            <w:vAlign w:val="bottom"/>
          </w:tcPr>
          <w:p>
            <w:pPr>
              <w:spacing w:after="0"/>
              <w:rPr>
                <w:sz w:val="24"/>
                <w:szCs w:val="24"/>
                <w:color w:val="auto"/>
              </w:rPr>
            </w:pPr>
          </w:p>
        </w:tc>
        <w:tc>
          <w:tcPr>
            <w:tcW w:w="7900" w:type="dxa"/>
            <w:vAlign w:val="bottom"/>
            <w:gridSpan w:val="2"/>
          </w:tcPr>
          <w:p>
            <w:pPr>
              <w:spacing w:after="0"/>
              <w:rPr>
                <w:sz w:val="20"/>
                <w:szCs w:val="20"/>
                <w:color w:val="auto"/>
              </w:rPr>
            </w:pPr>
            <w:r>
              <w:rPr>
                <w:rFonts w:ascii="Arial" w:cs="Arial" w:eastAsia="Arial" w:hAnsi="Arial"/>
                <w:sz w:val="14"/>
                <w:szCs w:val="14"/>
                <w:b w:val="1"/>
                <w:bCs w:val="1"/>
                <w:color w:val="auto"/>
              </w:rPr>
              <w:t>Liabilities</w:t>
            </w: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680" w:type="dxa"/>
            <w:vAlign w:val="bottom"/>
          </w:tcPr>
          <w:p>
            <w:pPr>
              <w:spacing w:after="0"/>
              <w:rPr>
                <w:sz w:val="14"/>
                <w:szCs w:val="14"/>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Due to consolidated subsidiaries</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500" w:type="dxa"/>
            <w:vAlign w:val="bottom"/>
          </w:tcPr>
          <w:p>
            <w:pPr>
              <w:ind w:left="140"/>
              <w:spacing w:after="0"/>
              <w:rPr>
                <w:sz w:val="20"/>
                <w:szCs w:val="20"/>
                <w:color w:val="auto"/>
              </w:rPr>
            </w:pPr>
            <w:r>
              <w:rPr>
                <w:rFonts w:ascii="Arial" w:cs="Arial" w:eastAsia="Arial" w:hAnsi="Arial"/>
                <w:sz w:val="14"/>
                <w:szCs w:val="14"/>
                <w:color w:val="auto"/>
                <w:w w:val="87"/>
              </w:rPr>
              <w:t>Banks</w:t>
            </w:r>
          </w:p>
        </w:tc>
        <w:tc>
          <w:tcPr>
            <w:tcW w:w="74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28"/>
              <w:spacing w:after="0"/>
              <w:rPr>
                <w:sz w:val="20"/>
                <w:szCs w:val="20"/>
                <w:color w:val="auto"/>
              </w:rPr>
            </w:pPr>
            <w:r>
              <w:rPr>
                <w:rFonts w:ascii="Arial" w:cs="Arial" w:eastAsia="Arial" w:hAnsi="Arial"/>
                <w:sz w:val="14"/>
                <w:szCs w:val="14"/>
                <w:color w:val="auto"/>
              </w:rPr>
              <w:t>1,914</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2</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50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6"/>
              </w:rPr>
              <w:t>Other</w:t>
            </w:r>
          </w:p>
        </w:tc>
        <w:tc>
          <w:tcPr>
            <w:tcW w:w="7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914</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2,377</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900" w:type="dxa"/>
            <w:vAlign w:val="bottom"/>
            <w:gridSpan w:val="2"/>
          </w:tcPr>
          <w:p>
            <w:pPr>
              <w:ind w:left="280"/>
              <w:spacing w:after="0"/>
              <w:rPr>
                <w:sz w:val="20"/>
                <w:szCs w:val="20"/>
                <w:color w:val="auto"/>
              </w:rPr>
            </w:pPr>
            <w:r>
              <w:rPr>
                <w:rFonts w:ascii="Arial" w:cs="Arial" w:eastAsia="Arial" w:hAnsi="Arial"/>
                <w:sz w:val="14"/>
                <w:szCs w:val="14"/>
                <w:color w:val="auto"/>
              </w:rPr>
              <w:t>Total due to consolidated subsidiaries</w:t>
            </w: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2,828</w:t>
            </w:r>
          </w:p>
        </w:tc>
        <w:tc>
          <w:tcPr>
            <w:tcW w:w="3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2,379</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Accrued expenses and other liabilities</w:t>
            </w:r>
          </w:p>
        </w:tc>
        <w:tc>
          <w:tcPr>
            <w:tcW w:w="1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60,562</w:t>
            </w: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50,815</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900" w:type="dxa"/>
            <w:vAlign w:val="bottom"/>
            <w:gridSpan w:val="2"/>
          </w:tcPr>
          <w:p>
            <w:pPr>
              <w:spacing w:after="0"/>
              <w:rPr>
                <w:sz w:val="20"/>
                <w:szCs w:val="20"/>
                <w:color w:val="auto"/>
              </w:rPr>
            </w:pPr>
            <w:r>
              <w:rPr>
                <w:rFonts w:ascii="Arial" w:cs="Arial" w:eastAsia="Arial" w:hAnsi="Arial"/>
                <w:sz w:val="14"/>
                <w:szCs w:val="14"/>
                <w:color w:val="auto"/>
              </w:rPr>
              <w:t>Long-term borrowings</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1,040,657</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1,047,677</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79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liabilities</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1,104,047</w:t>
            </w: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1,100,871</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900" w:type="dxa"/>
            <w:vAlign w:val="bottom"/>
            <w:gridSpan w:val="2"/>
          </w:tcPr>
          <w:p>
            <w:pPr>
              <w:spacing w:after="0"/>
              <w:rPr>
                <w:sz w:val="20"/>
                <w:szCs w:val="20"/>
                <w:color w:val="auto"/>
              </w:rPr>
            </w:pPr>
            <w:r>
              <w:rPr>
                <w:rFonts w:ascii="Arial" w:cs="Arial" w:eastAsia="Arial" w:hAnsi="Arial"/>
                <w:sz w:val="14"/>
                <w:szCs w:val="14"/>
                <w:b w:val="1"/>
                <w:bCs w:val="1"/>
                <w:color w:val="auto"/>
              </w:rPr>
              <w:t>Stockholders’ equity</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6,281,095</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5,876,386</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76"/>
        </w:trPr>
        <w:tc>
          <w:tcPr>
            <w:tcW w:w="680" w:type="dxa"/>
            <w:vAlign w:val="bottom"/>
          </w:tcPr>
          <w:p>
            <w:pPr>
              <w:spacing w:after="0"/>
              <w:rPr>
                <w:sz w:val="15"/>
                <w:szCs w:val="15"/>
                <w:color w:val="auto"/>
              </w:rPr>
            </w:pPr>
          </w:p>
        </w:tc>
        <w:tc>
          <w:tcPr>
            <w:tcW w:w="79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liabilities and stockholders’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7,385,142</w:t>
            </w:r>
          </w:p>
        </w:tc>
        <w:tc>
          <w:tcPr>
            <w:tcW w:w="3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6,977,257</w:t>
            </w:r>
          </w:p>
        </w:tc>
        <w:tc>
          <w:tcPr>
            <w:tcW w:w="800" w:type="dxa"/>
            <w:vAlign w:val="bottom"/>
          </w:tcPr>
          <w:p>
            <w:pPr>
              <w:spacing w:after="0"/>
              <w:rPr>
                <w:sz w:val="15"/>
                <w:szCs w:val="15"/>
                <w:color w:val="auto"/>
              </w:rPr>
            </w:pPr>
          </w:p>
        </w:tc>
      </w:tr>
      <w:tr>
        <w:trPr>
          <w:trHeight w:val="319"/>
        </w:trPr>
        <w:tc>
          <w:tcPr>
            <w:tcW w:w="68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2"/>
                <w:szCs w:val="12"/>
                <w:color w:val="auto"/>
              </w:rPr>
              <w:t>128</w:t>
            </w:r>
          </w:p>
        </w:tc>
        <w:tc>
          <w:tcPr>
            <w:tcW w:w="7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7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9" w:name="page130"/>
    <w:bookmarkEnd w:id="1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5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Condensed Statement of Income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0"/>
                <w:szCs w:val="10"/>
                <w:b w:val="1"/>
                <w:bCs w:val="1"/>
                <w:color w:val="auto"/>
                <w:w w:val="94"/>
              </w:rPr>
              <w:t>Year Ended December 31</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7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189"/>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center"/>
              <w:ind w:right="49"/>
              <w:spacing w:after="0" w:line="98" w:lineRule="exact"/>
              <w:rPr>
                <w:sz w:val="20"/>
                <w:szCs w:val="20"/>
                <w:color w:val="auto"/>
              </w:rPr>
            </w:pPr>
            <w:r>
              <w:rPr>
                <w:rFonts w:ascii="Arial" w:cs="Arial" w:eastAsia="Arial" w:hAnsi="Arial"/>
                <w:sz w:val="10"/>
                <w:szCs w:val="10"/>
                <w:b w:val="1"/>
                <w:bCs w:val="1"/>
                <w:color w:val="auto"/>
                <w:w w:val="89"/>
              </w:rPr>
              <w:t>2005</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70"/>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31"/>
        </w:trPr>
        <w:tc>
          <w:tcPr>
            <w:tcW w:w="68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80" w:type="dxa"/>
            <w:vAlign w:val="bottom"/>
            <w:gridSpan w:val="5"/>
          </w:tcPr>
          <w:p>
            <w:pPr>
              <w:jc w:val="center"/>
              <w:ind w:right="20"/>
              <w:spacing w:after="0"/>
              <w:rPr>
                <w:sz w:val="20"/>
                <w:szCs w:val="20"/>
                <w:color w:val="auto"/>
              </w:rPr>
            </w:pPr>
            <w:r>
              <w:rPr>
                <w:rFonts w:ascii="Arial" w:cs="Arial" w:eastAsia="Arial" w:hAnsi="Arial"/>
                <w:sz w:val="10"/>
                <w:szCs w:val="10"/>
                <w:b w:val="1"/>
                <w:bCs w:val="1"/>
                <w:color w:val="auto"/>
                <w:w w:val="92"/>
              </w:rPr>
              <w:t>(In thousands, except per share)</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73"/>
        </w:trPr>
        <w:tc>
          <w:tcPr>
            <w:tcW w:w="680" w:type="dxa"/>
            <w:vAlign w:val="bottom"/>
          </w:tcPr>
          <w:p>
            <w:pPr>
              <w:spacing w:after="0"/>
              <w:rPr>
                <w:sz w:val="15"/>
                <w:szCs w:val="15"/>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Income</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Pr>
          <w:p>
            <w:pPr>
              <w:spacing w:after="0"/>
              <w:rPr>
                <w:sz w:val="15"/>
                <w:szCs w:val="15"/>
                <w:color w:val="auto"/>
              </w:rPr>
            </w:pPr>
          </w:p>
        </w:tc>
      </w:tr>
      <w:tr>
        <w:trPr>
          <w:trHeight w:val="167"/>
        </w:trPr>
        <w:tc>
          <w:tcPr>
            <w:tcW w:w="68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Dividends from consolidated subsidiaries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Banks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755,000</w:t>
            </w:r>
          </w:p>
        </w:tc>
        <w:tc>
          <w:tcPr>
            <w:tcW w:w="42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700,000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864,000</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tcPr>
          <w:p>
            <w:pPr>
              <w:ind w:left="14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4"/>
                <w:szCs w:val="14"/>
                <w:color w:val="auto"/>
              </w:rPr>
            </w:pPr>
          </w:p>
        </w:tc>
        <w:tc>
          <w:tcPr>
            <w:tcW w:w="6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3,650</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Other income</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28,822</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22,291</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16,901</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tcPr>
          <w:p>
            <w:pPr>
              <w:ind w:left="140"/>
              <w:spacing w:after="0"/>
              <w:rPr>
                <w:sz w:val="20"/>
                <w:szCs w:val="20"/>
                <w:color w:val="auto"/>
              </w:rPr>
            </w:pPr>
            <w:r>
              <w:rPr>
                <w:rFonts w:ascii="Arial" w:cs="Arial" w:eastAsia="Arial" w:hAnsi="Arial"/>
                <w:sz w:val="14"/>
                <w:szCs w:val="14"/>
                <w:color w:val="auto"/>
              </w:rPr>
              <w:t>Total income</w:t>
            </w: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783,822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722,291</w:t>
            </w:r>
          </w:p>
        </w:tc>
        <w:tc>
          <w:tcPr>
            <w:tcW w:w="4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884,551</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Expense</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Interest on long-term borrowings</w:t>
            </w:r>
          </w:p>
        </w:tc>
        <w:tc>
          <w:tcPr>
            <w:tcW w:w="140" w:type="dxa"/>
            <w:vAlign w:val="bottom"/>
          </w:tcPr>
          <w:p>
            <w:pPr>
              <w:spacing w:after="0"/>
              <w:rPr>
                <w:sz w:val="14"/>
                <w:szCs w:val="14"/>
                <w:color w:val="auto"/>
              </w:rPr>
            </w:pPr>
          </w:p>
        </w:tc>
        <w:tc>
          <w:tcPr>
            <w:tcW w:w="680" w:type="dxa"/>
            <w:vAlign w:val="bottom"/>
            <w:gridSpan w:val="2"/>
          </w:tcPr>
          <w:p>
            <w:pPr>
              <w:jc w:val="right"/>
              <w:ind w:right="48"/>
              <w:spacing w:after="0"/>
              <w:rPr>
                <w:sz w:val="20"/>
                <w:szCs w:val="20"/>
                <w:color w:val="auto"/>
              </w:rPr>
            </w:pPr>
            <w:r>
              <w:rPr>
                <w:rFonts w:ascii="Arial" w:cs="Arial" w:eastAsia="Arial" w:hAnsi="Arial"/>
                <w:sz w:val="14"/>
                <w:szCs w:val="14"/>
                <w:color w:val="auto"/>
              </w:rPr>
              <w:t>69,651</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62,090</w:t>
            </w: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56,091</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Other expense</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7,339</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7,072</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6,215</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tcPr>
          <w:p>
            <w:pPr>
              <w:ind w:left="140"/>
              <w:spacing w:after="0"/>
              <w:rPr>
                <w:sz w:val="20"/>
                <w:szCs w:val="20"/>
                <w:color w:val="auto"/>
              </w:rPr>
            </w:pPr>
            <w:r>
              <w:rPr>
                <w:rFonts w:ascii="Arial" w:cs="Arial" w:eastAsia="Arial" w:hAnsi="Arial"/>
                <w:sz w:val="14"/>
                <w:szCs w:val="14"/>
                <w:color w:val="auto"/>
              </w:rPr>
              <w:t>Total expense</w:t>
            </w: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76,990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69,162</w:t>
            </w:r>
          </w:p>
        </w:tc>
        <w:tc>
          <w:tcPr>
            <w:tcW w:w="4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62,306</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Income before income taxes and equity in undistributed income of subsidiaries</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706,832</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653,129</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822,245</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Income tax credits</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16,937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18,334</w:t>
            </w: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17,777</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Income before equity in undistributed income of subsidiaries</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723,769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671,463</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840,022</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b w:val="1"/>
                <w:bCs w:val="1"/>
                <w:color w:val="auto"/>
              </w:rPr>
              <w:t>Equity in undistributed income of subsidiaries</w:t>
            </w: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Net income of subsidiaries</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870,420</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810,720</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750,149</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Less: dividends received</w:t>
            </w:r>
          </w:p>
        </w:tc>
        <w:tc>
          <w:tcPr>
            <w:tcW w:w="140" w:type="dxa"/>
            <w:vAlign w:val="bottom"/>
          </w:tcPr>
          <w:p>
            <w:pPr>
              <w:spacing w:after="0"/>
              <w:rPr>
                <w:sz w:val="14"/>
                <w:szCs w:val="14"/>
                <w:color w:val="auto"/>
              </w:rPr>
            </w:pPr>
          </w:p>
        </w:tc>
        <w:tc>
          <w:tcPr>
            <w:tcW w:w="680" w:type="dxa"/>
            <w:vAlign w:val="bottom"/>
            <w:gridSpan w:val="2"/>
          </w:tcPr>
          <w:p>
            <w:pPr>
              <w:jc w:val="right"/>
              <w:ind w:right="8"/>
              <w:spacing w:after="0"/>
              <w:rPr>
                <w:sz w:val="20"/>
                <w:szCs w:val="20"/>
                <w:color w:val="auto"/>
              </w:rPr>
            </w:pPr>
            <w:r>
              <w:rPr>
                <w:rFonts w:ascii="Arial" w:cs="Arial" w:eastAsia="Arial" w:hAnsi="Arial"/>
                <w:sz w:val="14"/>
                <w:szCs w:val="14"/>
                <w:color w:val="auto"/>
              </w:rPr>
              <w:t>(755,000)</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(700,000)</w:t>
            </w: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(867,650)</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Equity in undistributed income of subsidiaries</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115,420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110,720</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(117,501)</w:t>
            </w:r>
          </w:p>
        </w:tc>
        <w:tc>
          <w:tcPr>
            <w:tcW w:w="800" w:type="dxa"/>
            <w:vAlign w:val="bottom"/>
          </w:tcPr>
          <w:p>
            <w:pPr>
              <w:spacing w:after="0"/>
              <w:rPr>
                <w:sz w:val="14"/>
                <w:szCs w:val="14"/>
                <w:color w:val="auto"/>
              </w:rPr>
            </w:pPr>
          </w:p>
        </w:tc>
      </w:tr>
      <w:tr>
        <w:trPr>
          <w:trHeight w:val="181"/>
        </w:trPr>
        <w:tc>
          <w:tcPr>
            <w:tcW w:w="680" w:type="dxa"/>
            <w:vAlign w:val="bottom"/>
          </w:tcPr>
          <w:p>
            <w:pPr>
              <w:spacing w:after="0"/>
              <w:rPr>
                <w:sz w:val="15"/>
                <w:szCs w:val="15"/>
                <w:color w:val="auto"/>
              </w:rPr>
            </w:pPr>
          </w:p>
        </w:tc>
        <w:tc>
          <w:tcPr>
            <w:tcW w:w="7000" w:type="dxa"/>
            <w:vAlign w:val="bottom"/>
          </w:tcPr>
          <w:p>
            <w:pPr>
              <w:spacing w:after="0"/>
              <w:rPr>
                <w:sz w:val="20"/>
                <w:szCs w:val="20"/>
                <w:color w:val="auto"/>
              </w:rPr>
            </w:pPr>
            <w:r>
              <w:rPr>
                <w:rFonts w:ascii="Arial" w:cs="Arial" w:eastAsia="Arial" w:hAnsi="Arial"/>
                <w:sz w:val="14"/>
                <w:szCs w:val="14"/>
                <w:i w:val="1"/>
                <w:iCs w:val="1"/>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839,189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782,183</w:t>
            </w:r>
          </w:p>
        </w:tc>
        <w:tc>
          <w:tcPr>
            <w:tcW w:w="4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722,521</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2"/>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income per common share</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tcPr>
          <w:p>
            <w:pPr>
              <w:ind w:left="140"/>
              <w:spacing w:after="0"/>
              <w:rPr>
                <w:sz w:val="20"/>
                <w:szCs w:val="20"/>
                <w:color w:val="auto"/>
              </w:rPr>
            </w:pPr>
            <w:r>
              <w:rPr>
                <w:rFonts w:ascii="Arial" w:cs="Arial" w:eastAsia="Arial" w:hAnsi="Arial"/>
                <w:sz w:val="14"/>
                <w:szCs w:val="14"/>
                <w:color w:val="auto"/>
              </w:rPr>
              <w:t>Basic</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48"/>
              <w:spacing w:after="0"/>
              <w:rPr>
                <w:sz w:val="20"/>
                <w:szCs w:val="20"/>
                <w:color w:val="auto"/>
              </w:rPr>
            </w:pPr>
            <w:r>
              <w:rPr>
                <w:rFonts w:ascii="Arial" w:cs="Arial" w:eastAsia="Arial" w:hAnsi="Arial"/>
                <w:sz w:val="14"/>
                <w:szCs w:val="14"/>
                <w:color w:val="auto"/>
              </w:rPr>
              <w:t>7.55</w:t>
            </w:r>
          </w:p>
        </w:tc>
        <w:tc>
          <w:tcPr>
            <w:tcW w:w="420" w:type="dxa"/>
            <w:vAlign w:val="bottom"/>
            <w:gridSpan w:val="2"/>
          </w:tcPr>
          <w:p>
            <w:pPr>
              <w:jc w:val="right"/>
              <w:ind w:right="9"/>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6.88</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6.14</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Diluted</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7.37</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6.73</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6.00</w:t>
            </w:r>
          </w:p>
        </w:tc>
        <w:tc>
          <w:tcPr>
            <w:tcW w:w="800" w:type="dxa"/>
            <w:vAlign w:val="bottom"/>
          </w:tcPr>
          <w:p>
            <w:pPr>
              <w:spacing w:after="0"/>
              <w:rPr>
                <w:sz w:val="14"/>
                <w:szCs w:val="14"/>
                <w:color w:val="auto"/>
              </w:rPr>
            </w:pPr>
          </w:p>
        </w:tc>
      </w:tr>
      <w:tr>
        <w:trPr>
          <w:trHeight w:val="309"/>
        </w:trPr>
        <w:tc>
          <w:tcPr>
            <w:tcW w:w="68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3"/>
          </w:tcPr>
          <w:p>
            <w:pPr>
              <w:jc w:val="right"/>
              <w:ind w:right="800"/>
              <w:spacing w:after="0"/>
              <w:rPr>
                <w:sz w:val="20"/>
                <w:szCs w:val="20"/>
                <w:color w:val="auto"/>
              </w:rPr>
            </w:pPr>
            <w:r>
              <w:rPr>
                <w:rFonts w:ascii="Arial" w:cs="Arial" w:eastAsia="Arial" w:hAnsi="Arial"/>
                <w:sz w:val="12"/>
                <w:szCs w:val="12"/>
                <w:color w:val="auto"/>
              </w:rPr>
              <w:t>129</w:t>
            </w:r>
          </w:p>
        </w:tc>
      </w:tr>
      <w:tr>
        <w:trPr>
          <w:trHeight w:val="167"/>
        </w:trPr>
        <w:tc>
          <w:tcPr>
            <w:tcW w:w="680" w:type="dxa"/>
            <w:vAlign w:val="bottom"/>
            <w:tcBorders>
              <w:bottom w:val="single" w:sz="8" w:color="808080"/>
            </w:tcBorders>
          </w:tcPr>
          <w:p>
            <w:pPr>
              <w:spacing w:after="0"/>
              <w:rPr>
                <w:sz w:val="14"/>
                <w:szCs w:val="14"/>
                <w:color w:val="auto"/>
              </w:rPr>
            </w:pPr>
          </w:p>
        </w:tc>
        <w:tc>
          <w:tcPr>
            <w:tcW w:w="70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0" w:name="page131"/>
    <w:bookmarkEnd w:id="1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&amp;</w:t>
      </w:r>
      <w:r>
        <w:rPr>
          <w:rFonts w:ascii="Arial" w:cs="Arial" w:eastAsia="Arial" w:hAnsi="Arial"/>
          <w:sz w:val="14"/>
          <w:szCs w:val="14"/>
          <w:b w:val="1"/>
          <w:bCs w:val="1"/>
          <w:color w:val="auto"/>
        </w:rPr>
        <w:t>T BANK CORPORATION AND SUBSIDIARIES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Notes to Financial Statements — (Continued)</w:t>
      </w:r>
    </w:p>
    <w:p>
      <w:pPr>
        <w:spacing w:after="0" w:line="25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Condensed Statement of Cash Flows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0"/>
                <w:szCs w:val="10"/>
                <w:b w:val="1"/>
                <w:bCs w:val="1"/>
                <w:color w:val="auto"/>
                <w:w w:val="98"/>
              </w:rPr>
              <w:t>Year Ended December 31</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70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189"/>
              <w:spacing w:after="0" w:line="98" w:lineRule="exact"/>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69"/>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69"/>
              <w:spacing w:after="0" w:line="98" w:lineRule="exact"/>
              <w:rPr>
                <w:sz w:val="20"/>
                <w:szCs w:val="20"/>
                <w:color w:val="auto"/>
              </w:rPr>
            </w:pPr>
            <w:r>
              <w:rPr>
                <w:rFonts w:ascii="Arial" w:cs="Arial" w:eastAsia="Arial" w:hAnsi="Arial"/>
                <w:sz w:val="10"/>
                <w:szCs w:val="10"/>
                <w:b w:val="1"/>
                <w:bCs w:val="1"/>
                <w:color w:val="auto"/>
              </w:rPr>
              <w:t>2004</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131"/>
        </w:trPr>
        <w:tc>
          <w:tcPr>
            <w:tcW w:w="68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73"/>
        </w:trPr>
        <w:tc>
          <w:tcPr>
            <w:tcW w:w="680" w:type="dxa"/>
            <w:vAlign w:val="bottom"/>
          </w:tcPr>
          <w:p>
            <w:pPr>
              <w:spacing w:after="0"/>
              <w:rPr>
                <w:sz w:val="15"/>
                <w:szCs w:val="15"/>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tcPr>
          <w:p>
            <w:pPr>
              <w:spacing w:after="0"/>
              <w:rPr>
                <w:sz w:val="15"/>
                <w:szCs w:val="15"/>
                <w:color w:val="auto"/>
              </w:rPr>
            </w:pPr>
          </w:p>
        </w:tc>
      </w:tr>
      <w:tr>
        <w:trPr>
          <w:trHeight w:val="167"/>
        </w:trPr>
        <w:tc>
          <w:tcPr>
            <w:tcW w:w="68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Net income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839,189</w:t>
            </w:r>
          </w:p>
        </w:tc>
        <w:tc>
          <w:tcPr>
            <w:tcW w:w="4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782,183</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722,521</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tcPr>
          <w:p>
            <w:pPr>
              <w:ind w:left="140"/>
              <w:spacing w:after="0"/>
              <w:rPr>
                <w:sz w:val="20"/>
                <w:szCs w:val="20"/>
                <w:color w:val="auto"/>
              </w:rPr>
            </w:pPr>
            <w:r>
              <w:rPr>
                <w:rFonts w:ascii="Arial" w:cs="Arial" w:eastAsia="Arial" w:hAnsi="Arial"/>
                <w:sz w:val="14"/>
                <w:szCs w:val="14"/>
                <w:color w:val="auto"/>
              </w:rPr>
              <w:t>Equity in undistributed income of subsidiaries</w:t>
            </w:r>
          </w:p>
        </w:tc>
        <w:tc>
          <w:tcPr>
            <w:tcW w:w="1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(115,420)</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(110,720)</w:t>
            </w: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117,501</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Provision for deferred income taxes</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7,629</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1,726</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3,436</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tcPr>
          <w:p>
            <w:pPr>
              <w:ind w:left="140"/>
              <w:spacing w:after="0"/>
              <w:rPr>
                <w:sz w:val="20"/>
                <w:szCs w:val="20"/>
                <w:color w:val="auto"/>
              </w:rPr>
            </w:pPr>
            <w:r>
              <w:rPr>
                <w:rFonts w:ascii="Arial" w:cs="Arial" w:eastAsia="Arial" w:hAnsi="Arial"/>
                <w:sz w:val="14"/>
                <w:szCs w:val="14"/>
                <w:color w:val="auto"/>
              </w:rPr>
              <w:t>Net change in accrued income and expense</w:t>
            </w:r>
          </w:p>
        </w:tc>
        <w:tc>
          <w:tcPr>
            <w:tcW w:w="1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(9,787)</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(4,378)</w:t>
            </w: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(15,528)</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cash provided by operating activities</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721,611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668,811</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827,930</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Proceeds from sales of investment securities</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5,922</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12,848</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16,755</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Proceeds from maturities of investment securities</w:t>
            </w:r>
          </w:p>
        </w:tc>
        <w:tc>
          <w:tcPr>
            <w:tcW w:w="1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17,505</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15,975</w:t>
            </w: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27,418</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Purchases of investment securities</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(18,967)</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(19,893)</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(12,380)</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Other, net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5,949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(2,221)</w:t>
            </w: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2,450</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cash provided by investing activities</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6,709</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34,243</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Payments on long-term borrowings</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(63,435)</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Purchases of treasury stock</w:t>
            </w:r>
          </w:p>
        </w:tc>
        <w:tc>
          <w:tcPr>
            <w:tcW w:w="14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(373,860)</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color w:val="auto"/>
              </w:rPr>
              <w:t>(509,609)</w:t>
            </w:r>
          </w:p>
        </w:tc>
        <w:tc>
          <w:tcPr>
            <w:tcW w:w="12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(610,261)</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Dividends paid — common</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(249,817)</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(198,619)</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(187,669)</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Other, net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93,847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108,454</w:t>
            </w: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81,295</w:t>
            </w:r>
          </w:p>
        </w:tc>
        <w:tc>
          <w:tcPr>
            <w:tcW w:w="80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cash used by financing activities</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(529,830)</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(599,774)</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(780,070)</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Net increase in cash and cash equivalents</w:t>
            </w:r>
          </w:p>
        </w:tc>
        <w:tc>
          <w:tcPr>
            <w:tcW w:w="1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202,190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75,746</w:t>
            </w:r>
          </w:p>
        </w:tc>
        <w:tc>
          <w:tcPr>
            <w:tcW w:w="4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82,103</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at beginning of year</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219,618</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143,872</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61,769</w:t>
            </w:r>
          </w:p>
        </w:tc>
        <w:tc>
          <w:tcPr>
            <w:tcW w:w="800" w:type="dxa"/>
            <w:vAlign w:val="bottom"/>
          </w:tcPr>
          <w:p>
            <w:pPr>
              <w:spacing w:after="0"/>
              <w:rPr>
                <w:sz w:val="14"/>
                <w:szCs w:val="14"/>
                <w:color w:val="auto"/>
              </w:rPr>
            </w:pPr>
          </w:p>
        </w:tc>
      </w:tr>
      <w:tr>
        <w:trPr>
          <w:trHeight w:val="181"/>
        </w:trPr>
        <w:tc>
          <w:tcPr>
            <w:tcW w:w="680" w:type="dxa"/>
            <w:vAlign w:val="bottom"/>
          </w:tcPr>
          <w:p>
            <w:pPr>
              <w:spacing w:after="0"/>
              <w:rPr>
                <w:sz w:val="15"/>
                <w:szCs w:val="15"/>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Cash and cash equivalents at end of year</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421,808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219,618</w:t>
            </w:r>
          </w:p>
        </w:tc>
        <w:tc>
          <w:tcPr>
            <w:tcW w:w="4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143,872</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2"/>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Interest received during the year</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15,538</w:t>
            </w:r>
          </w:p>
        </w:tc>
        <w:tc>
          <w:tcPr>
            <w:tcW w:w="4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10,434</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6,805</w:t>
            </w:r>
          </w:p>
        </w:tc>
        <w:tc>
          <w:tcPr>
            <w:tcW w:w="800" w:type="dxa"/>
            <w:vAlign w:val="bottom"/>
          </w:tcPr>
          <w:p>
            <w:pPr>
              <w:spacing w:after="0"/>
              <w:rPr>
                <w:sz w:val="14"/>
                <w:szCs w:val="14"/>
                <w:color w:val="auto"/>
              </w:rPr>
            </w:pPr>
          </w:p>
        </w:tc>
      </w:tr>
      <w:tr>
        <w:trPr>
          <w:trHeight w:val="167"/>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4"/>
                <w:szCs w:val="14"/>
                <w:color w:val="auto"/>
              </w:rPr>
              <w:t>Interest paid during the year</w:t>
            </w: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75,932</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65,376</w:t>
            </w: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60,294</w:t>
            </w:r>
          </w:p>
        </w:tc>
        <w:tc>
          <w:tcPr>
            <w:tcW w:w="800" w:type="dxa"/>
            <w:vAlign w:val="bottom"/>
          </w:tcPr>
          <w:p>
            <w:pPr>
              <w:spacing w:after="0"/>
              <w:rPr>
                <w:sz w:val="14"/>
                <w:szCs w:val="14"/>
                <w:color w:val="auto"/>
              </w:rPr>
            </w:pPr>
          </w:p>
        </w:tc>
      </w:tr>
      <w:tr>
        <w:trPr>
          <w:trHeight w:val="182"/>
        </w:trPr>
        <w:tc>
          <w:tcPr>
            <w:tcW w:w="680" w:type="dxa"/>
            <w:vAlign w:val="bottom"/>
          </w:tcPr>
          <w:p>
            <w:pPr>
              <w:spacing w:after="0"/>
              <w:rPr>
                <w:sz w:val="15"/>
                <w:szCs w:val="15"/>
                <w:color w:val="auto"/>
              </w:rPr>
            </w:pPr>
          </w:p>
        </w:tc>
        <w:tc>
          <w:tcPr>
            <w:tcW w:w="7000" w:type="dxa"/>
            <w:vAlign w:val="bottom"/>
          </w:tcPr>
          <w:p>
            <w:pPr>
              <w:spacing w:after="0"/>
              <w:rPr>
                <w:sz w:val="20"/>
                <w:szCs w:val="20"/>
                <w:color w:val="auto"/>
              </w:rPr>
            </w:pPr>
            <w:r>
              <w:rPr>
                <w:rFonts w:ascii="Arial" w:cs="Arial" w:eastAsia="Arial" w:hAnsi="Arial"/>
                <w:sz w:val="14"/>
                <w:szCs w:val="14"/>
                <w:color w:val="auto"/>
              </w:rPr>
              <w:t>Income taxes received during the year</w:t>
            </w:r>
          </w:p>
        </w:tc>
        <w:tc>
          <w:tcPr>
            <w:tcW w:w="14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43,920</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color w:val="auto"/>
              </w:rPr>
              <w:t>40,691</w:t>
            </w:r>
          </w:p>
        </w:tc>
        <w:tc>
          <w:tcPr>
            <w:tcW w:w="12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color w:val="auto"/>
              </w:rPr>
              <w:t>42,946</w:t>
            </w:r>
          </w:p>
        </w:tc>
        <w:tc>
          <w:tcPr>
            <w:tcW w:w="800" w:type="dxa"/>
            <w:vAlign w:val="bottom"/>
          </w:tcPr>
          <w:p>
            <w:pPr>
              <w:spacing w:after="0"/>
              <w:rPr>
                <w:sz w:val="15"/>
                <w:szCs w:val="15"/>
                <w:color w:val="auto"/>
              </w:rPr>
            </w:pPr>
          </w:p>
        </w:tc>
      </w:tr>
      <w:tr>
        <w:trPr>
          <w:trHeight w:val="294"/>
        </w:trPr>
        <w:tc>
          <w:tcPr>
            <w:tcW w:w="680" w:type="dxa"/>
            <w:vAlign w:val="bottom"/>
          </w:tcPr>
          <w:p>
            <w:pPr>
              <w:spacing w:after="0"/>
              <w:rPr>
                <w:sz w:val="24"/>
                <w:szCs w:val="24"/>
                <w:color w:val="auto"/>
              </w:rPr>
            </w:pPr>
          </w:p>
        </w:tc>
        <w:tc>
          <w:tcPr>
            <w:tcW w:w="7000" w:type="dxa"/>
            <w:vAlign w:val="bottom"/>
          </w:tcPr>
          <w:p>
            <w:pPr>
              <w:spacing w:after="0"/>
              <w:rPr>
                <w:sz w:val="20"/>
                <w:szCs w:val="20"/>
                <w:color w:val="auto"/>
              </w:rPr>
            </w:pPr>
            <w:r>
              <w:rPr>
                <w:rFonts w:ascii="Arial" w:cs="Arial" w:eastAsia="Arial" w:hAnsi="Arial"/>
                <w:sz w:val="12"/>
                <w:szCs w:val="12"/>
                <w:color w:val="auto"/>
              </w:rPr>
              <w:t>130</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680" w:type="dxa"/>
            <w:vAlign w:val="bottom"/>
            <w:tcBorders>
              <w:bottom w:val="single" w:sz="8" w:color="808080"/>
            </w:tcBorders>
          </w:tcPr>
          <w:p>
            <w:pPr>
              <w:spacing w:after="0"/>
              <w:rPr>
                <w:sz w:val="14"/>
                <w:szCs w:val="14"/>
                <w:color w:val="auto"/>
              </w:rPr>
            </w:pPr>
          </w:p>
        </w:tc>
        <w:tc>
          <w:tcPr>
            <w:tcW w:w="70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31" w:name="page132"/>
    <w:bookmarkEnd w:id="1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0"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4"/>
          <w:szCs w:val="14"/>
          <w:b w:val="1"/>
          <w:bCs w:val="1"/>
          <w:color w:val="auto"/>
        </w:rPr>
        <w:t>Item 9.</w:t>
      </w:r>
      <w:r>
        <w:rPr>
          <w:sz w:val="20"/>
          <w:szCs w:val="20"/>
          <w:color w:val="auto"/>
        </w:rPr>
        <w:tab/>
      </w:r>
      <w:r>
        <w:rPr>
          <w:rFonts w:ascii="Arial" w:cs="Arial" w:eastAsia="Arial" w:hAnsi="Arial"/>
          <w:sz w:val="12"/>
          <w:szCs w:val="12"/>
          <w:b w:val="1"/>
          <w:bCs w:val="1"/>
          <w:i w:val="1"/>
          <w:iCs w:val="1"/>
          <w:color w:val="auto"/>
        </w:rPr>
        <w:t>Changes In and Disagreements With Accountants on Accounting and Financial Disclosure.</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None.</w:t>
      </w:r>
    </w:p>
    <w:p>
      <w:pPr>
        <w:spacing w:after="0" w:line="169"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4"/>
          <w:szCs w:val="14"/>
          <w:b w:val="1"/>
          <w:bCs w:val="1"/>
          <w:color w:val="auto"/>
        </w:rPr>
        <w:t>Item 9A.</w:t>
      </w:r>
      <w:r>
        <w:rPr>
          <w:sz w:val="20"/>
          <w:szCs w:val="20"/>
          <w:color w:val="auto"/>
        </w:rPr>
        <w:tab/>
      </w:r>
      <w:r>
        <w:rPr>
          <w:rFonts w:ascii="Arial" w:cs="Arial" w:eastAsia="Arial" w:hAnsi="Arial"/>
          <w:sz w:val="12"/>
          <w:szCs w:val="12"/>
          <w:b w:val="1"/>
          <w:bCs w:val="1"/>
          <w:i w:val="1"/>
          <w:iCs w:val="1"/>
          <w:color w:val="auto"/>
        </w:rPr>
        <w:t>Controls and Procedures.</w:t>
      </w:r>
    </w:p>
    <w:p>
      <w:pPr>
        <w:spacing w:after="0" w:line="99" w:lineRule="exact"/>
        <w:rPr>
          <w:sz w:val="20"/>
          <w:szCs w:val="20"/>
          <w:color w:val="auto"/>
        </w:rPr>
      </w:pPr>
    </w:p>
    <w:p>
      <w:pPr>
        <w:ind w:left="680" w:right="80" w:firstLine="605"/>
        <w:spacing w:after="0" w:line="255" w:lineRule="auto"/>
        <w:tabs>
          <w:tab w:leader="none" w:pos="1475" w:val="left"/>
        </w:tabs>
        <w:numPr>
          <w:ilvl w:val="0"/>
          <w:numId w:val="45"/>
        </w:numPr>
        <w:rPr>
          <w:rFonts w:ascii="Arial" w:cs="Arial" w:eastAsia="Arial" w:hAnsi="Arial"/>
          <w:sz w:val="14"/>
          <w:szCs w:val="14"/>
          <w:color w:val="auto"/>
        </w:rPr>
      </w:pPr>
      <w:r>
        <w:rPr>
          <w:rFonts w:ascii="Arial" w:cs="Arial" w:eastAsia="Arial" w:hAnsi="Arial"/>
          <w:sz w:val="14"/>
          <w:szCs w:val="14"/>
          <w:color w:val="auto"/>
        </w:rPr>
        <w:t>Evaluation of disclosure controls and procedures. Based upon their evaluation of the effectiveness of M</w:t>
      </w:r>
      <w:r>
        <w:rPr>
          <w:rFonts w:ascii="Arial" w:cs="Arial" w:eastAsia="Arial" w:hAnsi="Arial"/>
          <w:sz w:val="13"/>
          <w:szCs w:val="13"/>
          <w:color w:val="auto"/>
        </w:rPr>
        <w:t>&amp;</w:t>
      </w:r>
      <w:r>
        <w:rPr>
          <w:rFonts w:ascii="Arial" w:cs="Arial" w:eastAsia="Arial" w:hAnsi="Arial"/>
          <w:sz w:val="14"/>
          <w:szCs w:val="14"/>
          <w:color w:val="auto"/>
        </w:rPr>
        <w:t>T’s disclosure controls and procedures (as defined in Exchange Act rules 13a-15(e) and 15d-15(e)), Robert G. Wilmers, Chairman of the Board and Chief Executive Officer, and René F. Jones, Executive Vice President and Chief Financial Officer, believe that M</w:t>
      </w:r>
      <w:r>
        <w:rPr>
          <w:rFonts w:ascii="Arial" w:cs="Arial" w:eastAsia="Arial" w:hAnsi="Arial"/>
          <w:sz w:val="13"/>
          <w:szCs w:val="13"/>
          <w:color w:val="auto"/>
        </w:rPr>
        <w:t>&amp;</w:t>
      </w:r>
      <w:r>
        <w:rPr>
          <w:rFonts w:ascii="Arial" w:cs="Arial" w:eastAsia="Arial" w:hAnsi="Arial"/>
          <w:sz w:val="14"/>
          <w:szCs w:val="14"/>
          <w:color w:val="auto"/>
        </w:rPr>
        <w:t>T’s disclosure controls and procedures were effective as of December 31, 2006.</w:t>
      </w:r>
    </w:p>
    <w:p>
      <w:pPr>
        <w:ind w:left="680" w:right="40" w:firstLine="605"/>
        <w:spacing w:after="0" w:line="249" w:lineRule="auto"/>
        <w:tabs>
          <w:tab w:leader="none" w:pos="1483" w:val="left"/>
        </w:tabs>
        <w:numPr>
          <w:ilvl w:val="0"/>
          <w:numId w:val="45"/>
        </w:numPr>
        <w:rPr>
          <w:rFonts w:ascii="Arial" w:cs="Arial" w:eastAsia="Arial" w:hAnsi="Arial"/>
          <w:sz w:val="14"/>
          <w:szCs w:val="14"/>
          <w:color w:val="auto"/>
        </w:rPr>
      </w:pPr>
      <w:r>
        <w:rPr>
          <w:rFonts w:ascii="Arial" w:cs="Arial" w:eastAsia="Arial" w:hAnsi="Arial"/>
          <w:sz w:val="14"/>
          <w:szCs w:val="14"/>
          <w:color w:val="auto"/>
        </w:rPr>
        <w:t>Management’s annual report on internal control over financial reporting. Included under the heading “Report on Internal Control Over Financial Reporting” at Item 8 of this Annual Report on Form 10-K.</w:t>
      </w:r>
    </w:p>
    <w:p>
      <w:pPr>
        <w:ind w:left="680" w:right="120" w:firstLine="605"/>
        <w:spacing w:after="0" w:line="249" w:lineRule="auto"/>
        <w:tabs>
          <w:tab w:leader="none" w:pos="1467" w:val="left"/>
        </w:tabs>
        <w:numPr>
          <w:ilvl w:val="0"/>
          <w:numId w:val="45"/>
        </w:numPr>
        <w:rPr>
          <w:rFonts w:ascii="Arial" w:cs="Arial" w:eastAsia="Arial" w:hAnsi="Arial"/>
          <w:sz w:val="14"/>
          <w:szCs w:val="14"/>
          <w:color w:val="auto"/>
        </w:rPr>
      </w:pPr>
      <w:r>
        <w:rPr>
          <w:rFonts w:ascii="Arial" w:cs="Arial" w:eastAsia="Arial" w:hAnsi="Arial"/>
          <w:sz w:val="14"/>
          <w:szCs w:val="14"/>
          <w:color w:val="auto"/>
        </w:rPr>
        <w:t>Attestation report of the registered public accounting firm. Included under the heading “Report of Independent Registered Public Accounting Firm” at Item 8 of this Annual Report on Form 10-K.</w:t>
      </w:r>
    </w:p>
    <w:p>
      <w:pPr>
        <w:ind w:left="680" w:right="80" w:firstLine="605"/>
        <w:spacing w:after="0" w:line="253" w:lineRule="auto"/>
        <w:tabs>
          <w:tab w:leader="none" w:pos="1483" w:val="left"/>
        </w:tabs>
        <w:numPr>
          <w:ilvl w:val="0"/>
          <w:numId w:val="45"/>
        </w:numPr>
        <w:rPr>
          <w:rFonts w:ascii="Arial" w:cs="Arial" w:eastAsia="Arial" w:hAnsi="Arial"/>
          <w:sz w:val="14"/>
          <w:szCs w:val="14"/>
          <w:color w:val="auto"/>
        </w:rPr>
      </w:pPr>
      <w:r>
        <w:rPr>
          <w:rFonts w:ascii="Arial" w:cs="Arial" w:eastAsia="Arial" w:hAnsi="Arial"/>
          <w:sz w:val="14"/>
          <w:szCs w:val="14"/>
          <w:color w:val="auto"/>
        </w:rPr>
        <w:t>Changes in internal control over financial reporting. M</w:t>
      </w:r>
      <w:r>
        <w:rPr>
          <w:rFonts w:ascii="Arial" w:cs="Arial" w:eastAsia="Arial" w:hAnsi="Arial"/>
          <w:sz w:val="13"/>
          <w:szCs w:val="13"/>
          <w:color w:val="auto"/>
        </w:rPr>
        <w:t>&amp;</w:t>
      </w:r>
      <w:r>
        <w:rPr>
          <w:rFonts w:ascii="Arial" w:cs="Arial" w:eastAsia="Arial" w:hAnsi="Arial"/>
          <w:sz w:val="14"/>
          <w:szCs w:val="14"/>
          <w:color w:val="auto"/>
        </w:rPr>
        <w:t>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December 31, 2006 that have materially affected, or are reasonably likely to materially affect, M</w:t>
      </w:r>
      <w:r>
        <w:rPr>
          <w:rFonts w:ascii="Arial" w:cs="Arial" w:eastAsia="Arial" w:hAnsi="Arial"/>
          <w:sz w:val="13"/>
          <w:szCs w:val="13"/>
          <w:color w:val="auto"/>
        </w:rPr>
        <w:t>&amp;</w:t>
      </w:r>
      <w:r>
        <w:rPr>
          <w:rFonts w:ascii="Arial" w:cs="Arial" w:eastAsia="Arial" w:hAnsi="Arial"/>
          <w:sz w:val="14"/>
          <w:szCs w:val="14"/>
          <w:color w:val="auto"/>
        </w:rPr>
        <w:t>T’s internal control over financial reporting.</w:t>
      </w:r>
    </w:p>
    <w:p>
      <w:pPr>
        <w:spacing w:after="0" w:line="14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4"/>
          <w:szCs w:val="14"/>
          <w:b w:val="1"/>
          <w:bCs w:val="1"/>
          <w:color w:val="auto"/>
        </w:rPr>
        <w:t>Item 9B.</w:t>
      </w:r>
      <w:r>
        <w:rPr>
          <w:sz w:val="20"/>
          <w:szCs w:val="20"/>
          <w:color w:val="auto"/>
        </w:rPr>
        <w:tab/>
      </w:r>
      <w:r>
        <w:rPr>
          <w:rFonts w:ascii="Arial" w:cs="Arial" w:eastAsia="Arial" w:hAnsi="Arial"/>
          <w:sz w:val="13"/>
          <w:szCs w:val="13"/>
          <w:b w:val="1"/>
          <w:bCs w:val="1"/>
          <w:i w:val="1"/>
          <w:iCs w:val="1"/>
          <w:color w:val="auto"/>
        </w:rPr>
        <w:t>Other Information.</w:t>
      </w:r>
    </w:p>
    <w:p>
      <w:pPr>
        <w:spacing w:after="0" w:line="9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None.</w:t>
      </w:r>
    </w:p>
    <w:p>
      <w:pPr>
        <w:spacing w:after="0" w:line="248"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PART III</w:t>
      </w:r>
    </w:p>
    <w:p>
      <w:pPr>
        <w:spacing w:after="0" w:line="17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4"/>
          <w:szCs w:val="14"/>
          <w:b w:val="1"/>
          <w:bCs w:val="1"/>
          <w:color w:val="auto"/>
        </w:rPr>
        <w:t>Item 10.</w:t>
      </w:r>
      <w:r>
        <w:rPr>
          <w:sz w:val="20"/>
          <w:szCs w:val="20"/>
          <w:color w:val="auto"/>
        </w:rPr>
        <w:tab/>
      </w:r>
      <w:r>
        <w:rPr>
          <w:rFonts w:ascii="Arial" w:cs="Arial" w:eastAsia="Arial" w:hAnsi="Arial"/>
          <w:sz w:val="12"/>
          <w:szCs w:val="12"/>
          <w:b w:val="1"/>
          <w:bCs w:val="1"/>
          <w:i w:val="1"/>
          <w:iCs w:val="1"/>
          <w:color w:val="auto"/>
        </w:rPr>
        <w:t>Directors, Executive Officers and Corporate Governance.</w:t>
      </w:r>
    </w:p>
    <w:p>
      <w:pPr>
        <w:spacing w:after="0" w:line="99" w:lineRule="exact"/>
        <w:rPr>
          <w:sz w:val="20"/>
          <w:szCs w:val="20"/>
          <w:color w:val="auto"/>
        </w:rPr>
      </w:pPr>
    </w:p>
    <w:p>
      <w:pPr>
        <w:ind w:left="680" w:right="220"/>
        <w:spacing w:after="0" w:line="277" w:lineRule="auto"/>
        <w:rPr>
          <w:sz w:val="20"/>
          <w:szCs w:val="20"/>
          <w:color w:val="auto"/>
        </w:rPr>
      </w:pPr>
      <w:r>
        <w:rPr>
          <w:rFonts w:ascii="Arial" w:cs="Arial" w:eastAsia="Arial" w:hAnsi="Arial"/>
          <w:sz w:val="13"/>
          <w:szCs w:val="13"/>
          <w:color w:val="auto"/>
        </w:rPr>
        <w:t>The identification of the Registrant’s directors is incorporated by reference to the caption “NOMINEES FOR DIRECTOR” contained in the Registrant’s definitive Proxy Statement for its 2007 Annual Meeting of Stockholders, which will be filed with the Securities and Exchange Commission on or about March 5, 2007.</w:t>
      </w:r>
    </w:p>
    <w:p>
      <w:pPr>
        <w:spacing w:after="0" w:line="1" w:lineRule="exact"/>
        <w:rPr>
          <w:sz w:val="20"/>
          <w:szCs w:val="20"/>
          <w:color w:val="auto"/>
        </w:rPr>
      </w:pPr>
    </w:p>
    <w:p>
      <w:pPr>
        <w:ind w:left="680" w:right="240" w:firstLine="599"/>
        <w:spacing w:after="0" w:line="249" w:lineRule="auto"/>
        <w:rPr>
          <w:sz w:val="20"/>
          <w:szCs w:val="20"/>
          <w:color w:val="auto"/>
        </w:rPr>
      </w:pPr>
      <w:r>
        <w:rPr>
          <w:rFonts w:ascii="Arial" w:cs="Arial" w:eastAsia="Arial" w:hAnsi="Arial"/>
          <w:sz w:val="14"/>
          <w:szCs w:val="14"/>
          <w:color w:val="auto"/>
        </w:rPr>
        <w:t>The identification of the Registrant’s executive officers is presented under the caption “Executive Officers of the Registrant” contained in Part I of this Annual Report on Form 10-K.</w:t>
      </w:r>
    </w:p>
    <w:p>
      <w:pPr>
        <w:ind w:left="680" w:firstLine="599"/>
        <w:spacing w:after="0" w:line="249" w:lineRule="auto"/>
        <w:rPr>
          <w:sz w:val="20"/>
          <w:szCs w:val="20"/>
          <w:color w:val="auto"/>
        </w:rPr>
      </w:pPr>
      <w:r>
        <w:rPr>
          <w:rFonts w:ascii="Arial" w:cs="Arial" w:eastAsia="Arial" w:hAnsi="Arial"/>
          <w:sz w:val="14"/>
          <w:szCs w:val="14"/>
          <w:color w:val="auto"/>
        </w:rPr>
        <w:t>Disclosure of compliance with Section 16(a) of the Securities Exchange Act of 1934, as amended, by the Registrant’s directors and executive officers, and persons who are the beneficial owners of more than 10% of the Registrant’s common stock, is incorporated by reference to the caption “Section 16(a) Beneficial Ownership Reporting Compliance” contained in the Registrant’s definitive Proxy Statement for its 2007 Annual Meeting of Stockholders which will be filed with the Securities and Exchange Commission on or about March 5, 2007.</w:t>
      </w:r>
    </w:p>
    <w:p>
      <w:pPr>
        <w:ind w:left="680" w:right="280" w:firstLine="599"/>
        <w:spacing w:after="0" w:line="253" w:lineRule="auto"/>
        <w:rPr>
          <w:sz w:val="20"/>
          <w:szCs w:val="20"/>
          <w:color w:val="auto"/>
        </w:rPr>
      </w:pPr>
      <w:r>
        <w:rPr>
          <w:rFonts w:ascii="Arial" w:cs="Arial" w:eastAsia="Arial" w:hAnsi="Arial"/>
          <w:sz w:val="14"/>
          <w:szCs w:val="14"/>
          <w:color w:val="auto"/>
        </w:rPr>
        <w:t>The other information required by Item 10 is incorporated by reference to the captions “CORPORATE GOVERNANCE OF M</w:t>
      </w:r>
      <w:r>
        <w:rPr>
          <w:rFonts w:ascii="Arial" w:cs="Arial" w:eastAsia="Arial" w:hAnsi="Arial"/>
          <w:sz w:val="13"/>
          <w:szCs w:val="13"/>
          <w:color w:val="auto"/>
        </w:rPr>
        <w:t>&amp;</w:t>
      </w:r>
      <w:r>
        <w:rPr>
          <w:rFonts w:ascii="Arial" w:cs="Arial" w:eastAsia="Arial" w:hAnsi="Arial"/>
          <w:sz w:val="14"/>
          <w:szCs w:val="14"/>
          <w:color w:val="auto"/>
        </w:rPr>
        <w:t>T BANK CORPORATION,” “BOARD OF DIRECTORS, COMMITTEES OF THE BOARD AND ATTENDANCE” and “CODES OF BUSINESS CONDUCT AND ETHICS” contained in the Registrant’s definitive Proxy Statement for its 2007 Annual Meeting of Stockholders, which will be filed with the Securities and Exchange Commission on or about March 5, 2007.</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2" w:name="page133"/>
    <w:bookmarkEnd w:id="1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4"/>
          <w:szCs w:val="14"/>
          <w:b w:val="1"/>
          <w:bCs w:val="1"/>
          <w:color w:val="auto"/>
        </w:rPr>
        <w:t>Item 11.</w:t>
      </w:r>
      <w:r>
        <w:rPr>
          <w:sz w:val="20"/>
          <w:szCs w:val="20"/>
          <w:color w:val="auto"/>
        </w:rPr>
        <w:tab/>
      </w:r>
      <w:r>
        <w:rPr>
          <w:rFonts w:ascii="Arial" w:cs="Arial" w:eastAsia="Arial" w:hAnsi="Arial"/>
          <w:sz w:val="12"/>
          <w:szCs w:val="12"/>
          <w:b w:val="1"/>
          <w:bCs w:val="1"/>
          <w:i w:val="1"/>
          <w:iCs w:val="1"/>
          <w:color w:val="auto"/>
        </w:rPr>
        <w:t>Executive Compensation.</w:t>
      </w:r>
    </w:p>
    <w:p>
      <w:pPr>
        <w:spacing w:after="0" w:line="99" w:lineRule="exact"/>
        <w:rPr>
          <w:sz w:val="20"/>
          <w:szCs w:val="20"/>
          <w:color w:val="auto"/>
        </w:rPr>
      </w:pPr>
    </w:p>
    <w:p>
      <w:pPr>
        <w:ind w:left="680" w:right="160"/>
        <w:spacing w:after="0" w:line="280" w:lineRule="auto"/>
        <w:rPr>
          <w:sz w:val="20"/>
          <w:szCs w:val="20"/>
          <w:color w:val="auto"/>
        </w:rPr>
      </w:pPr>
      <w:r>
        <w:rPr>
          <w:rFonts w:ascii="Arial" w:cs="Arial" w:eastAsia="Arial" w:hAnsi="Arial"/>
          <w:sz w:val="14"/>
          <w:szCs w:val="14"/>
          <w:color w:val="auto"/>
        </w:rPr>
        <w:t>Incorporated by reference to the caption “COMPENSATION OF EXECUTIVE OFFICERS AND DIRECTORS” contained in the Registrant’s definitive Proxy Statement for its 2007 Annual Meeting of Stockholders, which will be filed with the Securities and Exchange Commission on or about March 5, 2007.</w:t>
      </w:r>
    </w:p>
    <w:p>
      <w:pPr>
        <w:spacing w:after="0" w:line="12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4"/>
          <w:szCs w:val="14"/>
          <w:b w:val="1"/>
          <w:bCs w:val="1"/>
          <w:color w:val="auto"/>
        </w:rPr>
        <w:t>Item 12.</w:t>
      </w:r>
      <w:r>
        <w:rPr>
          <w:sz w:val="20"/>
          <w:szCs w:val="20"/>
          <w:color w:val="auto"/>
        </w:rPr>
        <w:tab/>
      </w:r>
      <w:r>
        <w:rPr>
          <w:rFonts w:ascii="Arial" w:cs="Arial" w:eastAsia="Arial" w:hAnsi="Arial"/>
          <w:sz w:val="12"/>
          <w:szCs w:val="12"/>
          <w:b w:val="1"/>
          <w:bCs w:val="1"/>
          <w:i w:val="1"/>
          <w:iCs w:val="1"/>
          <w:color w:val="auto"/>
        </w:rPr>
        <w:t>Security Ownership of Certain Beneficial Owners and Management and Related Stockholder Matters.</w:t>
      </w:r>
    </w:p>
    <w:p>
      <w:pPr>
        <w:spacing w:after="0" w:line="99" w:lineRule="exact"/>
        <w:rPr>
          <w:sz w:val="20"/>
          <w:szCs w:val="20"/>
          <w:color w:val="auto"/>
        </w:rPr>
      </w:pPr>
    </w:p>
    <w:p>
      <w:pPr>
        <w:ind w:left="680" w:right="220"/>
        <w:spacing w:after="0" w:line="255" w:lineRule="auto"/>
        <w:rPr>
          <w:sz w:val="20"/>
          <w:szCs w:val="20"/>
          <w:color w:val="auto"/>
        </w:rPr>
      </w:pPr>
      <w:r>
        <w:rPr>
          <w:rFonts w:ascii="Arial" w:cs="Arial" w:eastAsia="Arial" w:hAnsi="Arial"/>
          <w:sz w:val="14"/>
          <w:szCs w:val="14"/>
          <w:color w:val="auto"/>
        </w:rPr>
        <w:t>Incorporated by reference to the captions “PRINCIPAL BENEFICIAL OWNERS OF SHARES” and “STOCK OWNERSHIP BY DIRECTORS AND EXECUTIVE OFFICERS” contained in the Registrant’s definitive Proxy Statement for its 2007 Annual Meeting of Stockholders, which will be filed with the Securities and Exchange Commission on or about March 5, 2007.</w:t>
      </w:r>
    </w:p>
    <w:p>
      <w:pPr>
        <w:ind w:left="680" w:right="260" w:firstLine="599"/>
        <w:spacing w:after="0" w:line="301" w:lineRule="auto"/>
        <w:rPr>
          <w:sz w:val="20"/>
          <w:szCs w:val="20"/>
          <w:color w:val="auto"/>
        </w:rPr>
      </w:pPr>
      <w:r>
        <w:rPr>
          <w:rFonts w:ascii="Arial" w:cs="Arial" w:eastAsia="Arial" w:hAnsi="Arial"/>
          <w:sz w:val="13"/>
          <w:szCs w:val="13"/>
          <w:color w:val="auto"/>
        </w:rPr>
        <w:t>The information required by this item concerning Equity Compensation Plan information is presented under the caption “EQUITY COMPENSATION PLAN INFORMATION” contained in Part II, Item 5. “Market for Registrant’s Common Equity, Related Stockholder Matters and Issuer Purchases of Equity Securities.”</w:t>
      </w:r>
    </w:p>
    <w:p>
      <w:pPr>
        <w:spacing w:after="0" w:line="110"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4"/>
          <w:szCs w:val="14"/>
          <w:b w:val="1"/>
          <w:bCs w:val="1"/>
          <w:color w:val="auto"/>
        </w:rPr>
        <w:t>Item 13.</w:t>
      </w:r>
      <w:r>
        <w:rPr>
          <w:sz w:val="20"/>
          <w:szCs w:val="20"/>
          <w:color w:val="auto"/>
        </w:rPr>
        <w:tab/>
      </w:r>
      <w:r>
        <w:rPr>
          <w:rFonts w:ascii="Arial" w:cs="Arial" w:eastAsia="Arial" w:hAnsi="Arial"/>
          <w:sz w:val="12"/>
          <w:szCs w:val="12"/>
          <w:b w:val="1"/>
          <w:bCs w:val="1"/>
          <w:i w:val="1"/>
          <w:iCs w:val="1"/>
          <w:color w:val="auto"/>
        </w:rPr>
        <w:t>Certain Relationships and Related Transactions, and Director Independence.</w:t>
      </w:r>
    </w:p>
    <w:p>
      <w:pPr>
        <w:spacing w:after="0" w:line="99" w:lineRule="exact"/>
        <w:rPr>
          <w:sz w:val="20"/>
          <w:szCs w:val="20"/>
          <w:color w:val="auto"/>
        </w:rPr>
      </w:pPr>
    </w:p>
    <w:p>
      <w:pPr>
        <w:ind w:left="680" w:right="60"/>
        <w:spacing w:after="0" w:line="265" w:lineRule="auto"/>
        <w:rPr>
          <w:sz w:val="20"/>
          <w:szCs w:val="20"/>
          <w:color w:val="auto"/>
        </w:rPr>
      </w:pPr>
      <w:r>
        <w:rPr>
          <w:rFonts w:ascii="Arial" w:cs="Arial" w:eastAsia="Arial" w:hAnsi="Arial"/>
          <w:sz w:val="14"/>
          <w:szCs w:val="14"/>
          <w:color w:val="auto"/>
        </w:rPr>
        <w:t>Incorporated by reference to the captions “TRANSACTIONS WITH DIRECTORS AND EXECUTIVE OFFICERS” and “BOARD OF DIRECTORS, COMMITTEES OF THE BOARD AND ATTENDANCE” contained in the Registrant’s definitive Proxy Statement for its 2007 Annual Meeting of Stockholders, which will be filed with the Securities and Exchange Commission on or about March 5, 2007.</w:t>
      </w:r>
    </w:p>
    <w:p>
      <w:pPr>
        <w:spacing w:after="0" w:line="13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4"/>
          <w:szCs w:val="14"/>
          <w:b w:val="1"/>
          <w:bCs w:val="1"/>
          <w:color w:val="auto"/>
        </w:rPr>
        <w:t>Item 14.</w:t>
      </w:r>
      <w:r>
        <w:rPr>
          <w:sz w:val="20"/>
          <w:szCs w:val="20"/>
          <w:color w:val="auto"/>
        </w:rPr>
        <w:tab/>
      </w:r>
      <w:r>
        <w:rPr>
          <w:rFonts w:ascii="Arial" w:cs="Arial" w:eastAsia="Arial" w:hAnsi="Arial"/>
          <w:sz w:val="12"/>
          <w:szCs w:val="12"/>
          <w:b w:val="1"/>
          <w:bCs w:val="1"/>
          <w:i w:val="1"/>
          <w:iCs w:val="1"/>
          <w:color w:val="auto"/>
        </w:rPr>
        <w:t>Principal Accountant Fees and Services.</w:t>
      </w:r>
    </w:p>
    <w:p>
      <w:pPr>
        <w:spacing w:after="0" w:line="99" w:lineRule="exact"/>
        <w:rPr>
          <w:sz w:val="20"/>
          <w:szCs w:val="20"/>
          <w:color w:val="auto"/>
        </w:rPr>
      </w:pPr>
    </w:p>
    <w:p>
      <w:pPr>
        <w:ind w:left="680"/>
        <w:spacing w:after="0" w:line="265" w:lineRule="auto"/>
        <w:rPr>
          <w:sz w:val="20"/>
          <w:szCs w:val="20"/>
          <w:color w:val="auto"/>
        </w:rPr>
      </w:pPr>
      <w:r>
        <w:rPr>
          <w:rFonts w:ascii="Arial" w:cs="Arial" w:eastAsia="Arial" w:hAnsi="Arial"/>
          <w:sz w:val="14"/>
          <w:szCs w:val="14"/>
          <w:color w:val="auto"/>
        </w:rPr>
        <w:t>Incorporated by reference to the caption “PROPOSAL TO RATIFY THE APPOINTMENT OF PRICEWATERHOUSECOOPERS LLP AS THE INDEPENDENT PUBLIC ACCOUNTANT OF M</w:t>
      </w:r>
      <w:r>
        <w:rPr>
          <w:rFonts w:ascii="Arial" w:cs="Arial" w:eastAsia="Arial" w:hAnsi="Arial"/>
          <w:sz w:val="13"/>
          <w:szCs w:val="13"/>
          <w:color w:val="auto"/>
        </w:rPr>
        <w:t>&amp;</w:t>
      </w:r>
      <w:r>
        <w:rPr>
          <w:rFonts w:ascii="Arial" w:cs="Arial" w:eastAsia="Arial" w:hAnsi="Arial"/>
          <w:sz w:val="14"/>
          <w:szCs w:val="14"/>
          <w:color w:val="auto"/>
        </w:rPr>
        <w:t>T BANK CORPORATION” contained in the Registrant’s definitive Proxy Statement for its 2007 Annual Meeting of Stockholders, which will be filed with the Securities and Exchange Commission on or about March 5, 2007.</w:t>
      </w:r>
    </w:p>
    <w:p>
      <w:pPr>
        <w:spacing w:after="0" w:line="210" w:lineRule="exact"/>
        <w:rPr>
          <w:sz w:val="20"/>
          <w:szCs w:val="20"/>
          <w:color w:val="auto"/>
        </w:rPr>
      </w:pPr>
    </w:p>
    <w:p>
      <w:pPr>
        <w:ind w:left="5400"/>
        <w:spacing w:after="0"/>
        <w:rPr>
          <w:sz w:val="20"/>
          <w:szCs w:val="20"/>
          <w:color w:val="auto"/>
        </w:rPr>
      </w:pPr>
      <w:r>
        <w:rPr>
          <w:rFonts w:ascii="Arial" w:cs="Arial" w:eastAsia="Arial" w:hAnsi="Arial"/>
          <w:sz w:val="14"/>
          <w:szCs w:val="14"/>
          <w:b w:val="1"/>
          <w:bCs w:val="1"/>
          <w:color w:val="auto"/>
        </w:rPr>
        <w:t>PART IV</w:t>
      </w:r>
    </w:p>
    <w:p>
      <w:pPr>
        <w:spacing w:after="0" w:line="17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4"/>
          <w:szCs w:val="14"/>
          <w:b w:val="1"/>
          <w:bCs w:val="1"/>
          <w:color w:val="auto"/>
        </w:rPr>
        <w:t>Item 15.</w:t>
      </w:r>
      <w:r>
        <w:rPr>
          <w:sz w:val="20"/>
          <w:szCs w:val="20"/>
          <w:color w:val="auto"/>
        </w:rPr>
        <w:tab/>
      </w:r>
      <w:r>
        <w:rPr>
          <w:rFonts w:ascii="Arial" w:cs="Arial" w:eastAsia="Arial" w:hAnsi="Arial"/>
          <w:sz w:val="12"/>
          <w:szCs w:val="12"/>
          <w:b w:val="1"/>
          <w:bCs w:val="1"/>
          <w:i w:val="1"/>
          <w:iCs w:val="1"/>
          <w:color w:val="auto"/>
        </w:rPr>
        <w:t>Exhibits and Financial Statement Schedules.</w:t>
      </w:r>
    </w:p>
    <w:p>
      <w:pPr>
        <w:spacing w:after="0" w:line="22" w:lineRule="exact"/>
        <w:rPr>
          <w:sz w:val="20"/>
          <w:szCs w:val="20"/>
          <w:color w:val="auto"/>
        </w:rPr>
      </w:pPr>
    </w:p>
    <w:p>
      <w:pPr>
        <w:ind w:left="680" w:right="440" w:firstLine="605"/>
        <w:spacing w:after="0" w:line="249" w:lineRule="auto"/>
        <w:tabs>
          <w:tab w:leader="none" w:pos="1475" w:val="left"/>
        </w:tabs>
        <w:numPr>
          <w:ilvl w:val="0"/>
          <w:numId w:val="46"/>
        </w:numPr>
        <w:rPr>
          <w:rFonts w:ascii="Arial" w:cs="Arial" w:eastAsia="Arial" w:hAnsi="Arial"/>
          <w:sz w:val="14"/>
          <w:szCs w:val="14"/>
          <w:color w:val="auto"/>
        </w:rPr>
      </w:pPr>
      <w:r>
        <w:rPr>
          <w:rFonts w:ascii="Arial" w:cs="Arial" w:eastAsia="Arial" w:hAnsi="Arial"/>
          <w:sz w:val="14"/>
          <w:szCs w:val="14"/>
          <w:color w:val="auto"/>
        </w:rPr>
        <w:t>Financial statements and financial statement schedules filed as part of this Annual Report on Form 10-K. See Part II, Item 8. “Financial Statements and Supplementary Data.” Financial statement schedules are not required or are inapplicable, and therefore have been omitted.</w:t>
      </w:r>
    </w:p>
    <w:p>
      <w:pPr>
        <w:ind w:left="680" w:right="20" w:firstLine="605"/>
        <w:spacing w:after="0" w:line="249" w:lineRule="auto"/>
        <w:tabs>
          <w:tab w:leader="none" w:pos="1483" w:val="left"/>
        </w:tabs>
        <w:numPr>
          <w:ilvl w:val="0"/>
          <w:numId w:val="46"/>
        </w:numPr>
        <w:rPr>
          <w:rFonts w:ascii="Arial" w:cs="Arial" w:eastAsia="Arial" w:hAnsi="Arial"/>
          <w:sz w:val="14"/>
          <w:szCs w:val="14"/>
          <w:color w:val="auto"/>
        </w:rPr>
      </w:pPr>
      <w:r>
        <w:rPr>
          <w:rFonts w:ascii="Arial" w:cs="Arial" w:eastAsia="Arial" w:hAnsi="Arial"/>
          <w:sz w:val="14"/>
          <w:szCs w:val="14"/>
          <w:color w:val="auto"/>
        </w:rPr>
        <w:t>Exhibits required by Item 601 of Regulation S-K. The exhibits listed on the Exhibit Index of this Annual Report on Form 10-K have been previously filed, are filed herewith or are incorporated herein by reference to other filings.</w:t>
      </w:r>
    </w:p>
    <w:p>
      <w:pPr>
        <w:ind w:left="1480" w:hanging="195"/>
        <w:spacing w:after="0"/>
        <w:tabs>
          <w:tab w:leader="none" w:pos="14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Additional financial statement schedules. None.</w:t>
      </w:r>
    </w:p>
    <w:p>
      <w:pPr>
        <w:spacing w:after="0" w:line="16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33" w:name="page134"/>
    <w:bookmarkEnd w:id="1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Signatures</w:t>
      </w:r>
    </w:p>
    <w:p>
      <w:pPr>
        <w:spacing w:after="0" w:line="99" w:lineRule="exact"/>
        <w:rPr>
          <w:sz w:val="20"/>
          <w:szCs w:val="20"/>
          <w:color w:val="auto"/>
        </w:rPr>
      </w:pPr>
    </w:p>
    <w:p>
      <w:pPr>
        <w:ind w:left="680" w:right="1280"/>
        <w:spacing w:after="0" w:line="280"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 on the 23rd day of February, 2007.</w:t>
      </w:r>
    </w:p>
    <w:p>
      <w:pPr>
        <w:spacing w:after="0" w:line="283"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M</w:t>
      </w:r>
      <w:r>
        <w:rPr>
          <w:rFonts w:ascii="Arial" w:cs="Arial" w:eastAsia="Arial" w:hAnsi="Arial"/>
          <w:sz w:val="13"/>
          <w:szCs w:val="13"/>
          <w:color w:val="auto"/>
        </w:rPr>
        <w:t>&amp;</w:t>
      </w:r>
      <w:r>
        <w:rPr>
          <w:rFonts w:ascii="Arial" w:cs="Arial" w:eastAsia="Arial" w:hAnsi="Arial"/>
          <w:sz w:val="14"/>
          <w:szCs w:val="14"/>
          <w:color w:val="auto"/>
        </w:rPr>
        <w:t>T BANK CORPORATION</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5580" w:type="dxa"/>
        <w:tblCellMar>
          <w:top w:w="0" w:type="dxa"/>
          <w:left w:w="0" w:type="dxa"/>
          <w:bottom w:w="0" w:type="dxa"/>
          <w:right w:w="0" w:type="dxa"/>
        </w:tblCellMar>
      </w:tblPr>
      <w:tr>
        <w:trPr>
          <w:trHeight w:val="186"/>
        </w:trPr>
        <w:tc>
          <w:tcPr>
            <w:tcW w:w="400" w:type="dxa"/>
            <w:vAlign w:val="bottom"/>
          </w:tcPr>
          <w:p>
            <w:pPr>
              <w:spacing w:after="0"/>
              <w:rPr>
                <w:sz w:val="20"/>
                <w:szCs w:val="20"/>
                <w:color w:val="auto"/>
              </w:rPr>
            </w:pPr>
            <w:r>
              <w:rPr>
                <w:rFonts w:ascii="Arial" w:cs="Arial" w:eastAsia="Arial" w:hAnsi="Arial"/>
                <w:sz w:val="14"/>
                <w:szCs w:val="14"/>
                <w:color w:val="auto"/>
              </w:rPr>
              <w:t>By:</w:t>
            </w:r>
          </w:p>
        </w:tc>
        <w:tc>
          <w:tcPr>
            <w:tcW w:w="5560" w:type="dxa"/>
            <w:vAlign w:val="bottom"/>
            <w:tcBorders>
              <w:bottom w:val="single" w:sz="8" w:color="auto"/>
            </w:tcBorders>
          </w:tcPr>
          <w:p>
            <w:pPr>
              <w:jc w:val="center"/>
              <w:ind w:right="808"/>
              <w:spacing w:after="0"/>
              <w:rPr>
                <w:sz w:val="20"/>
                <w:szCs w:val="20"/>
                <w:color w:val="auto"/>
              </w:rPr>
            </w:pPr>
            <w:r>
              <w:rPr>
                <w:rFonts w:ascii="Arial" w:cs="Arial" w:eastAsia="Arial" w:hAnsi="Arial"/>
                <w:sz w:val="14"/>
                <w:szCs w:val="14"/>
                <w:color w:val="auto"/>
              </w:rPr>
              <w:t>/s/ R</w:t>
            </w:r>
            <w:r>
              <w:rPr>
                <w:rFonts w:ascii="Arial" w:cs="Arial" w:eastAsia="Arial" w:hAnsi="Arial"/>
                <w:sz w:val="9"/>
                <w:szCs w:val="9"/>
                <w:color w:val="auto"/>
              </w:rPr>
              <w:t>OBERT</w:t>
            </w:r>
            <w:r>
              <w:rPr>
                <w:rFonts w:ascii="Arial" w:cs="Arial" w:eastAsia="Arial" w:hAnsi="Arial"/>
                <w:sz w:val="14"/>
                <w:szCs w:val="14"/>
                <w:color w:val="auto"/>
              </w:rPr>
              <w:t xml:space="preserve"> G. W</w:t>
            </w:r>
            <w:r>
              <w:rPr>
                <w:rFonts w:ascii="Arial" w:cs="Arial" w:eastAsia="Arial" w:hAnsi="Arial"/>
                <w:sz w:val="9"/>
                <w:szCs w:val="9"/>
                <w:color w:val="auto"/>
              </w:rPr>
              <w:t>ILMERS</w:t>
            </w:r>
          </w:p>
        </w:tc>
      </w:tr>
      <w:tr>
        <w:trPr>
          <w:trHeight w:val="148"/>
        </w:trPr>
        <w:tc>
          <w:tcPr>
            <w:tcW w:w="400" w:type="dxa"/>
            <w:vAlign w:val="bottom"/>
          </w:tcPr>
          <w:p>
            <w:pPr>
              <w:spacing w:after="0"/>
              <w:rPr>
                <w:sz w:val="12"/>
                <w:szCs w:val="12"/>
                <w:color w:val="auto"/>
              </w:rPr>
            </w:pPr>
          </w:p>
        </w:tc>
        <w:tc>
          <w:tcPr>
            <w:tcW w:w="5560" w:type="dxa"/>
            <w:vAlign w:val="bottom"/>
          </w:tcPr>
          <w:p>
            <w:pPr>
              <w:jc w:val="center"/>
              <w:ind w:right="808"/>
              <w:spacing w:after="0" w:line="148" w:lineRule="exact"/>
              <w:rPr>
                <w:sz w:val="20"/>
                <w:szCs w:val="20"/>
                <w:color w:val="auto"/>
              </w:rPr>
            </w:pPr>
            <w:r>
              <w:rPr>
                <w:rFonts w:ascii="Arial" w:cs="Arial" w:eastAsia="Arial" w:hAnsi="Arial"/>
                <w:sz w:val="14"/>
                <w:szCs w:val="14"/>
                <w:color w:val="auto"/>
                <w:w w:val="93"/>
              </w:rPr>
              <w:t>Robert G. Wilmers</w:t>
            </w:r>
          </w:p>
        </w:tc>
      </w:tr>
      <w:tr>
        <w:trPr>
          <w:trHeight w:val="167"/>
        </w:trPr>
        <w:tc>
          <w:tcPr>
            <w:tcW w:w="400" w:type="dxa"/>
            <w:vAlign w:val="bottom"/>
          </w:tcPr>
          <w:p>
            <w:pPr>
              <w:spacing w:after="0"/>
              <w:rPr>
                <w:sz w:val="14"/>
                <w:szCs w:val="14"/>
                <w:color w:val="auto"/>
              </w:rPr>
            </w:pPr>
          </w:p>
        </w:tc>
        <w:tc>
          <w:tcPr>
            <w:tcW w:w="5560" w:type="dxa"/>
            <w:vAlign w:val="bottom"/>
          </w:tcPr>
          <w:p>
            <w:pPr>
              <w:jc w:val="center"/>
              <w:ind w:right="808"/>
              <w:spacing w:after="0"/>
              <w:rPr>
                <w:sz w:val="20"/>
                <w:szCs w:val="20"/>
                <w:color w:val="auto"/>
              </w:rPr>
            </w:pPr>
            <w:r>
              <w:rPr>
                <w:rFonts w:ascii="Arial" w:cs="Arial" w:eastAsia="Arial" w:hAnsi="Arial"/>
                <w:sz w:val="14"/>
                <w:szCs w:val="14"/>
                <w:i w:val="1"/>
                <w:iCs w:val="1"/>
                <w:color w:val="auto"/>
                <w:w w:val="95"/>
              </w:rPr>
              <w:t>Chairman of the Board and</w:t>
            </w:r>
          </w:p>
        </w:tc>
      </w:tr>
      <w:tr>
        <w:trPr>
          <w:trHeight w:val="182"/>
        </w:trPr>
        <w:tc>
          <w:tcPr>
            <w:tcW w:w="400" w:type="dxa"/>
            <w:vAlign w:val="bottom"/>
          </w:tcPr>
          <w:p>
            <w:pPr>
              <w:spacing w:after="0"/>
              <w:rPr>
                <w:sz w:val="15"/>
                <w:szCs w:val="15"/>
                <w:color w:val="auto"/>
              </w:rPr>
            </w:pPr>
          </w:p>
        </w:tc>
        <w:tc>
          <w:tcPr>
            <w:tcW w:w="5560" w:type="dxa"/>
            <w:vAlign w:val="bottom"/>
          </w:tcPr>
          <w:p>
            <w:pPr>
              <w:jc w:val="center"/>
              <w:ind w:right="808"/>
              <w:spacing w:after="0"/>
              <w:rPr>
                <w:sz w:val="20"/>
                <w:szCs w:val="20"/>
                <w:color w:val="auto"/>
              </w:rPr>
            </w:pPr>
            <w:r>
              <w:rPr>
                <w:rFonts w:ascii="Arial" w:cs="Arial" w:eastAsia="Arial" w:hAnsi="Arial"/>
                <w:sz w:val="14"/>
                <w:szCs w:val="14"/>
                <w:i w:val="1"/>
                <w:iCs w:val="1"/>
                <w:color w:val="auto"/>
                <w:w w:val="95"/>
              </w:rPr>
              <w:t>Chief Executive Officer</w:t>
            </w:r>
          </w:p>
        </w:tc>
      </w:tr>
    </w:tbl>
    <w:p>
      <w:pPr>
        <w:spacing w:after="0" w:line="309" w:lineRule="exact"/>
        <w:rPr>
          <w:sz w:val="20"/>
          <w:szCs w:val="20"/>
          <w:color w:val="auto"/>
        </w:rPr>
      </w:pPr>
    </w:p>
    <w:p>
      <w:pPr>
        <w:ind w:left="680" w:right="880" w:firstLine="599"/>
        <w:spacing w:after="0" w:line="280"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53" w:lineRule="exact"/>
        <w:rPr>
          <w:sz w:val="20"/>
          <w:szCs w:val="20"/>
          <w:color w:val="auto"/>
        </w:rPr>
      </w:pPr>
    </w:p>
    <w:p>
      <w:pPr>
        <w:ind w:left="2780"/>
        <w:spacing w:after="0"/>
        <w:tabs>
          <w:tab w:leader="none" w:pos="7000" w:val="left"/>
          <w:tab w:leader="none" w:pos="990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6290945</wp:posOffset>
            </wp:positionH>
            <wp:positionV relativeFrom="paragraph">
              <wp:posOffset>12700</wp:posOffset>
            </wp:positionV>
            <wp:extent cx="1270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154" w:lineRule="exact"/>
        <w:rPr>
          <w:sz w:val="20"/>
          <w:szCs w:val="20"/>
          <w:color w:val="auto"/>
        </w:rPr>
      </w:pPr>
    </w:p>
    <w:tbl>
      <w:tblPr>
        <w:tblLayout w:type="fixed"/>
        <w:tblInd w:w="680" w:type="dxa"/>
        <w:tblCellMar>
          <w:top w:w="0" w:type="dxa"/>
          <w:left w:w="0" w:type="dxa"/>
          <w:bottom w:w="0" w:type="dxa"/>
          <w:right w:w="0" w:type="dxa"/>
        </w:tblCellMar>
      </w:tblPr>
      <w:tr>
        <w:trPr>
          <w:trHeight w:val="182"/>
        </w:trPr>
        <w:tc>
          <w:tcPr>
            <w:tcW w:w="4220" w:type="dxa"/>
            <w:vAlign w:val="bottom"/>
          </w:tcPr>
          <w:p>
            <w:pPr>
              <w:spacing w:after="0"/>
              <w:rPr>
                <w:sz w:val="20"/>
                <w:szCs w:val="20"/>
                <w:color w:val="auto"/>
              </w:rPr>
            </w:pPr>
            <w:r>
              <w:rPr>
                <w:rFonts w:ascii="Arial" w:cs="Arial" w:eastAsia="Arial" w:hAnsi="Arial"/>
                <w:sz w:val="14"/>
                <w:szCs w:val="14"/>
                <w:color w:val="auto"/>
              </w:rPr>
              <w:t>Principal Executive Officer:</w:t>
            </w:r>
          </w:p>
        </w:tc>
        <w:tc>
          <w:tcPr>
            <w:tcW w:w="372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312"/>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R</w:t>
            </w:r>
            <w:r>
              <w:rPr>
                <w:rFonts w:ascii="Arial" w:cs="Arial" w:eastAsia="Arial" w:hAnsi="Arial"/>
                <w:sz w:val="9"/>
                <w:szCs w:val="9"/>
                <w:color w:val="auto"/>
              </w:rPr>
              <w:t>OBERT</w:t>
            </w:r>
            <w:r>
              <w:rPr>
                <w:rFonts w:ascii="Arial" w:cs="Arial" w:eastAsia="Arial" w:hAnsi="Arial"/>
                <w:sz w:val="14"/>
                <w:szCs w:val="14"/>
                <w:color w:val="auto"/>
              </w:rPr>
              <w:t xml:space="preserve"> G. W</w:t>
            </w:r>
            <w:r>
              <w:rPr>
                <w:rFonts w:ascii="Arial" w:cs="Arial" w:eastAsia="Arial" w:hAnsi="Arial"/>
                <w:sz w:val="9"/>
                <w:szCs w:val="9"/>
                <w:color w:val="auto"/>
              </w:rPr>
              <w:t>ILMERS</w:t>
            </w:r>
          </w:p>
        </w:tc>
        <w:tc>
          <w:tcPr>
            <w:tcW w:w="3720" w:type="dxa"/>
            <w:vAlign w:val="bottom"/>
          </w:tcPr>
          <w:p>
            <w:pPr>
              <w:jc w:val="center"/>
              <w:ind w:left="448"/>
              <w:spacing w:after="0"/>
              <w:rPr>
                <w:sz w:val="20"/>
                <w:szCs w:val="20"/>
                <w:color w:val="auto"/>
              </w:rPr>
            </w:pPr>
            <w:r>
              <w:rPr>
                <w:rFonts w:ascii="Arial" w:cs="Arial" w:eastAsia="Arial" w:hAnsi="Arial"/>
                <w:sz w:val="14"/>
                <w:szCs w:val="14"/>
                <w:color w:val="auto"/>
                <w:w w:val="92"/>
              </w:rPr>
              <w:t>Chairman of the Board and</w:t>
            </w:r>
          </w:p>
        </w:tc>
        <w:tc>
          <w:tcPr>
            <w:tcW w:w="1820" w:type="dxa"/>
            <w:vAlign w:val="bottom"/>
          </w:tcPr>
          <w:p>
            <w:pPr>
              <w:ind w:left="760"/>
              <w:spacing w:after="0"/>
              <w:rPr>
                <w:sz w:val="20"/>
                <w:szCs w:val="20"/>
                <w:color w:val="auto"/>
              </w:rPr>
            </w:pPr>
            <w:r>
              <w:rPr>
                <w:rFonts w:ascii="Arial" w:cs="Arial" w:eastAsia="Arial" w:hAnsi="Arial"/>
                <w:sz w:val="14"/>
                <w:szCs w:val="14"/>
                <w:color w:val="auto"/>
                <w:w w:val="90"/>
              </w:rPr>
              <w:t>February 23, 2007</w:t>
            </w:r>
          </w:p>
        </w:tc>
      </w:tr>
      <w:tr>
        <w:trPr>
          <w:trHeight w:val="182"/>
        </w:trPr>
        <w:tc>
          <w:tcPr>
            <w:tcW w:w="4220" w:type="dxa"/>
            <w:vAlign w:val="bottom"/>
          </w:tcPr>
          <w:p>
            <w:pPr>
              <w:jc w:val="center"/>
              <w:spacing w:after="0"/>
              <w:rPr>
                <w:sz w:val="20"/>
                <w:szCs w:val="20"/>
                <w:color w:val="auto"/>
              </w:rPr>
            </w:pPr>
            <w:r>
              <w:rPr>
                <w:rFonts w:ascii="Arial" w:cs="Arial" w:eastAsia="Arial" w:hAnsi="Arial"/>
                <w:sz w:val="14"/>
                <w:szCs w:val="14"/>
                <w:color w:val="auto"/>
                <w:w w:val="95"/>
              </w:rPr>
              <w:t>Robert G. Wilmers</w:t>
            </w:r>
          </w:p>
        </w:tc>
        <w:tc>
          <w:tcPr>
            <w:tcW w:w="3720" w:type="dxa"/>
            <w:vAlign w:val="bottom"/>
          </w:tcPr>
          <w:p>
            <w:pPr>
              <w:jc w:val="center"/>
              <w:ind w:left="468"/>
              <w:spacing w:after="0" w:line="160" w:lineRule="exact"/>
              <w:rPr>
                <w:sz w:val="20"/>
                <w:szCs w:val="20"/>
                <w:color w:val="auto"/>
              </w:rPr>
            </w:pPr>
            <w:r>
              <w:rPr>
                <w:rFonts w:ascii="Arial" w:cs="Arial" w:eastAsia="Arial" w:hAnsi="Arial"/>
                <w:sz w:val="14"/>
                <w:szCs w:val="14"/>
                <w:color w:val="auto"/>
                <w:w w:val="96"/>
              </w:rPr>
              <w:t>Chief Executive Officer</w:t>
            </w:r>
          </w:p>
        </w:tc>
        <w:tc>
          <w:tcPr>
            <w:tcW w:w="1820" w:type="dxa"/>
            <w:vAlign w:val="bottom"/>
          </w:tcPr>
          <w:p>
            <w:pPr>
              <w:spacing w:after="0"/>
              <w:rPr>
                <w:sz w:val="15"/>
                <w:szCs w:val="15"/>
                <w:color w:val="auto"/>
              </w:rPr>
            </w:pPr>
          </w:p>
        </w:tc>
      </w:tr>
      <w:tr>
        <w:trPr>
          <w:trHeight w:val="312"/>
        </w:trPr>
        <w:tc>
          <w:tcPr>
            <w:tcW w:w="4220" w:type="dxa"/>
            <w:vAlign w:val="bottom"/>
          </w:tcPr>
          <w:p>
            <w:pPr>
              <w:spacing w:after="0"/>
              <w:rPr>
                <w:sz w:val="20"/>
                <w:szCs w:val="20"/>
                <w:color w:val="auto"/>
              </w:rPr>
            </w:pPr>
            <w:r>
              <w:rPr>
                <w:rFonts w:ascii="Arial" w:cs="Arial" w:eastAsia="Arial" w:hAnsi="Arial"/>
                <w:sz w:val="14"/>
                <w:szCs w:val="14"/>
                <w:color w:val="auto"/>
              </w:rPr>
              <w:t>Principal Financial Officer:</w:t>
            </w:r>
          </w:p>
        </w:tc>
        <w:tc>
          <w:tcPr>
            <w:tcW w:w="37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12"/>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/s/ R</w:t>
            </w:r>
            <w:r>
              <w:rPr>
                <w:rFonts w:ascii="Arial" w:cs="Arial" w:eastAsia="Arial" w:hAnsi="Arial"/>
                <w:sz w:val="9"/>
                <w:szCs w:val="9"/>
                <w:color w:val="auto"/>
                <w:w w:val="97"/>
              </w:rPr>
              <w:t>ENÉ</w:t>
            </w:r>
            <w:r>
              <w:rPr>
                <w:rFonts w:ascii="Arial" w:cs="Arial" w:eastAsia="Arial" w:hAnsi="Arial"/>
                <w:sz w:val="14"/>
                <w:szCs w:val="14"/>
                <w:color w:val="auto"/>
                <w:w w:val="97"/>
              </w:rPr>
              <w:t xml:space="preserve"> F. J</w:t>
            </w:r>
            <w:r>
              <w:rPr>
                <w:rFonts w:ascii="Arial" w:cs="Arial" w:eastAsia="Arial" w:hAnsi="Arial"/>
                <w:sz w:val="9"/>
                <w:szCs w:val="9"/>
                <w:color w:val="auto"/>
                <w:w w:val="97"/>
              </w:rPr>
              <w:t>ONES</w:t>
            </w:r>
          </w:p>
        </w:tc>
        <w:tc>
          <w:tcPr>
            <w:tcW w:w="3720" w:type="dxa"/>
            <w:vAlign w:val="bottom"/>
          </w:tcPr>
          <w:p>
            <w:pPr>
              <w:jc w:val="center"/>
              <w:ind w:left="428"/>
              <w:spacing w:after="0"/>
              <w:rPr>
                <w:sz w:val="20"/>
                <w:szCs w:val="20"/>
                <w:color w:val="auto"/>
              </w:rPr>
            </w:pPr>
            <w:r>
              <w:rPr>
                <w:rFonts w:ascii="Arial" w:cs="Arial" w:eastAsia="Arial" w:hAnsi="Arial"/>
                <w:sz w:val="14"/>
                <w:szCs w:val="14"/>
                <w:color w:val="auto"/>
                <w:w w:val="93"/>
              </w:rPr>
              <w:t>Executive Vice President and</w:t>
            </w:r>
          </w:p>
        </w:tc>
        <w:tc>
          <w:tcPr>
            <w:tcW w:w="1820" w:type="dxa"/>
            <w:vAlign w:val="bottom"/>
          </w:tcPr>
          <w:p>
            <w:pPr>
              <w:ind w:left="760"/>
              <w:spacing w:after="0"/>
              <w:rPr>
                <w:sz w:val="20"/>
                <w:szCs w:val="20"/>
                <w:color w:val="auto"/>
              </w:rPr>
            </w:pPr>
            <w:r>
              <w:rPr>
                <w:rFonts w:ascii="Arial" w:cs="Arial" w:eastAsia="Arial" w:hAnsi="Arial"/>
                <w:sz w:val="14"/>
                <w:szCs w:val="14"/>
                <w:color w:val="auto"/>
                <w:w w:val="90"/>
              </w:rPr>
              <w:t>February 23, 2007</w:t>
            </w:r>
          </w:p>
        </w:tc>
      </w:tr>
      <w:tr>
        <w:trPr>
          <w:trHeight w:val="182"/>
        </w:trPr>
        <w:tc>
          <w:tcPr>
            <w:tcW w:w="4220" w:type="dxa"/>
            <w:vAlign w:val="bottom"/>
          </w:tcPr>
          <w:p>
            <w:pPr>
              <w:jc w:val="center"/>
              <w:spacing w:after="0"/>
              <w:rPr>
                <w:sz w:val="20"/>
                <w:szCs w:val="20"/>
                <w:color w:val="auto"/>
              </w:rPr>
            </w:pPr>
            <w:r>
              <w:rPr>
                <w:rFonts w:ascii="Arial" w:cs="Arial" w:eastAsia="Arial" w:hAnsi="Arial"/>
                <w:sz w:val="14"/>
                <w:szCs w:val="14"/>
                <w:color w:val="auto"/>
                <w:w w:val="85"/>
              </w:rPr>
              <w:t>René F. Jones</w:t>
            </w:r>
          </w:p>
        </w:tc>
        <w:tc>
          <w:tcPr>
            <w:tcW w:w="3720" w:type="dxa"/>
            <w:vAlign w:val="bottom"/>
          </w:tcPr>
          <w:p>
            <w:pPr>
              <w:jc w:val="center"/>
              <w:ind w:left="468"/>
              <w:spacing w:after="0" w:line="160" w:lineRule="exact"/>
              <w:rPr>
                <w:sz w:val="20"/>
                <w:szCs w:val="20"/>
                <w:color w:val="auto"/>
              </w:rPr>
            </w:pPr>
            <w:r>
              <w:rPr>
                <w:rFonts w:ascii="Arial" w:cs="Arial" w:eastAsia="Arial" w:hAnsi="Arial"/>
                <w:sz w:val="14"/>
                <w:szCs w:val="14"/>
                <w:color w:val="auto"/>
                <w:w w:val="97"/>
              </w:rPr>
              <w:t>Chief Financial Officer</w:t>
            </w:r>
          </w:p>
        </w:tc>
        <w:tc>
          <w:tcPr>
            <w:tcW w:w="1820" w:type="dxa"/>
            <w:vAlign w:val="bottom"/>
          </w:tcPr>
          <w:p>
            <w:pPr>
              <w:spacing w:after="0"/>
              <w:rPr>
                <w:sz w:val="15"/>
                <w:szCs w:val="15"/>
                <w:color w:val="auto"/>
              </w:rPr>
            </w:pPr>
          </w:p>
        </w:tc>
      </w:tr>
      <w:tr>
        <w:trPr>
          <w:trHeight w:val="312"/>
        </w:trPr>
        <w:tc>
          <w:tcPr>
            <w:tcW w:w="4220" w:type="dxa"/>
            <w:vAlign w:val="bottom"/>
          </w:tcPr>
          <w:p>
            <w:pPr>
              <w:spacing w:after="0"/>
              <w:rPr>
                <w:sz w:val="20"/>
                <w:szCs w:val="20"/>
                <w:color w:val="auto"/>
              </w:rPr>
            </w:pPr>
            <w:r>
              <w:rPr>
                <w:rFonts w:ascii="Arial" w:cs="Arial" w:eastAsia="Arial" w:hAnsi="Arial"/>
                <w:sz w:val="14"/>
                <w:szCs w:val="14"/>
                <w:color w:val="auto"/>
              </w:rPr>
              <w:t>Principal Accounting Officer:</w:t>
            </w:r>
          </w:p>
        </w:tc>
        <w:tc>
          <w:tcPr>
            <w:tcW w:w="37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12"/>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M</w:t>
            </w:r>
            <w:r>
              <w:rPr>
                <w:rFonts w:ascii="Arial" w:cs="Arial" w:eastAsia="Arial" w:hAnsi="Arial"/>
                <w:sz w:val="9"/>
                <w:szCs w:val="9"/>
                <w:color w:val="auto"/>
              </w:rPr>
              <w:t>ICHAEL</w:t>
            </w:r>
            <w:r>
              <w:rPr>
                <w:rFonts w:ascii="Arial" w:cs="Arial" w:eastAsia="Arial" w:hAnsi="Arial"/>
                <w:sz w:val="14"/>
                <w:szCs w:val="14"/>
                <w:color w:val="auto"/>
              </w:rPr>
              <w:t xml:space="preserve"> R. S</w:t>
            </w:r>
            <w:r>
              <w:rPr>
                <w:rFonts w:ascii="Arial" w:cs="Arial" w:eastAsia="Arial" w:hAnsi="Arial"/>
                <w:sz w:val="9"/>
                <w:szCs w:val="9"/>
                <w:color w:val="auto"/>
              </w:rPr>
              <w:t>PYCHALA</w:t>
            </w:r>
          </w:p>
        </w:tc>
        <w:tc>
          <w:tcPr>
            <w:tcW w:w="3720" w:type="dxa"/>
            <w:vAlign w:val="bottom"/>
          </w:tcPr>
          <w:p>
            <w:pPr>
              <w:jc w:val="center"/>
              <w:ind w:left="428"/>
              <w:spacing w:after="0"/>
              <w:rPr>
                <w:sz w:val="20"/>
                <w:szCs w:val="20"/>
                <w:color w:val="auto"/>
              </w:rPr>
            </w:pPr>
            <w:r>
              <w:rPr>
                <w:rFonts w:ascii="Arial" w:cs="Arial" w:eastAsia="Arial" w:hAnsi="Arial"/>
                <w:sz w:val="14"/>
                <w:szCs w:val="14"/>
                <w:color w:val="auto"/>
                <w:w w:val="92"/>
              </w:rPr>
              <w:t>Senior Vice President and</w:t>
            </w:r>
          </w:p>
        </w:tc>
        <w:tc>
          <w:tcPr>
            <w:tcW w:w="1820" w:type="dxa"/>
            <w:vAlign w:val="bottom"/>
          </w:tcPr>
          <w:p>
            <w:pPr>
              <w:ind w:left="760"/>
              <w:spacing w:after="0"/>
              <w:rPr>
                <w:sz w:val="20"/>
                <w:szCs w:val="20"/>
                <w:color w:val="auto"/>
              </w:rPr>
            </w:pPr>
            <w:r>
              <w:rPr>
                <w:rFonts w:ascii="Arial" w:cs="Arial" w:eastAsia="Arial" w:hAnsi="Arial"/>
                <w:sz w:val="14"/>
                <w:szCs w:val="14"/>
                <w:color w:val="auto"/>
                <w:w w:val="90"/>
              </w:rPr>
              <w:t>February 23, 2007</w:t>
            </w:r>
          </w:p>
        </w:tc>
      </w:tr>
      <w:tr>
        <w:trPr>
          <w:trHeight w:val="182"/>
        </w:trPr>
        <w:tc>
          <w:tcPr>
            <w:tcW w:w="4220" w:type="dxa"/>
            <w:vAlign w:val="bottom"/>
          </w:tcPr>
          <w:p>
            <w:pPr>
              <w:jc w:val="center"/>
              <w:spacing w:after="0"/>
              <w:rPr>
                <w:sz w:val="20"/>
                <w:szCs w:val="20"/>
                <w:color w:val="auto"/>
              </w:rPr>
            </w:pPr>
            <w:r>
              <w:rPr>
                <w:rFonts w:ascii="Arial" w:cs="Arial" w:eastAsia="Arial" w:hAnsi="Arial"/>
                <w:sz w:val="14"/>
                <w:szCs w:val="14"/>
                <w:color w:val="auto"/>
                <w:w w:val="95"/>
              </w:rPr>
              <w:t>Michael R. Spychala</w:t>
            </w:r>
          </w:p>
        </w:tc>
        <w:tc>
          <w:tcPr>
            <w:tcW w:w="3720" w:type="dxa"/>
            <w:vAlign w:val="bottom"/>
          </w:tcPr>
          <w:p>
            <w:pPr>
              <w:jc w:val="center"/>
              <w:ind w:left="468"/>
              <w:spacing w:after="0" w:line="160" w:lineRule="exact"/>
              <w:rPr>
                <w:sz w:val="20"/>
                <w:szCs w:val="20"/>
                <w:color w:val="auto"/>
              </w:rPr>
            </w:pPr>
            <w:r>
              <w:rPr>
                <w:rFonts w:ascii="Arial" w:cs="Arial" w:eastAsia="Arial" w:hAnsi="Arial"/>
                <w:sz w:val="14"/>
                <w:szCs w:val="14"/>
                <w:color w:val="auto"/>
                <w:w w:val="95"/>
              </w:rPr>
              <w:t>Controller</w:t>
            </w:r>
          </w:p>
        </w:tc>
        <w:tc>
          <w:tcPr>
            <w:tcW w:w="1820" w:type="dxa"/>
            <w:vAlign w:val="bottom"/>
          </w:tcPr>
          <w:p>
            <w:pPr>
              <w:spacing w:after="0"/>
              <w:rPr>
                <w:sz w:val="15"/>
                <w:szCs w:val="15"/>
                <w:color w:val="auto"/>
              </w:rPr>
            </w:pPr>
          </w:p>
        </w:tc>
      </w:tr>
      <w:tr>
        <w:trPr>
          <w:trHeight w:val="331"/>
        </w:trPr>
        <w:tc>
          <w:tcPr>
            <w:tcW w:w="4220" w:type="dxa"/>
            <w:vAlign w:val="bottom"/>
          </w:tcPr>
          <w:p>
            <w:pPr>
              <w:spacing w:after="0"/>
              <w:rPr>
                <w:sz w:val="20"/>
                <w:szCs w:val="20"/>
                <w:color w:val="auto"/>
              </w:rPr>
            </w:pPr>
            <w:r>
              <w:rPr>
                <w:rFonts w:ascii="Arial" w:cs="Arial" w:eastAsia="Arial" w:hAnsi="Arial"/>
                <w:sz w:val="14"/>
                <w:szCs w:val="14"/>
                <w:color w:val="auto"/>
              </w:rPr>
              <w:t>A majority of the board of directors:</w:t>
            </w:r>
          </w:p>
        </w:tc>
        <w:tc>
          <w:tcPr>
            <w:tcW w:w="37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322"/>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B</w:t>
            </w:r>
            <w:r>
              <w:rPr>
                <w:rFonts w:ascii="Arial" w:cs="Arial" w:eastAsia="Arial" w:hAnsi="Arial"/>
                <w:sz w:val="9"/>
                <w:szCs w:val="9"/>
                <w:color w:val="auto"/>
              </w:rPr>
              <w:t>RENT</w:t>
            </w:r>
            <w:r>
              <w:rPr>
                <w:rFonts w:ascii="Arial" w:cs="Arial" w:eastAsia="Arial" w:hAnsi="Arial"/>
                <w:sz w:val="14"/>
                <w:szCs w:val="14"/>
                <w:color w:val="auto"/>
              </w:rPr>
              <w:t xml:space="preserve"> D. B</w:t>
            </w:r>
            <w:r>
              <w:rPr>
                <w:rFonts w:ascii="Arial" w:cs="Arial" w:eastAsia="Arial" w:hAnsi="Arial"/>
                <w:sz w:val="9"/>
                <w:szCs w:val="9"/>
                <w:color w:val="auto"/>
              </w:rPr>
              <w:t>AIRD</w:t>
            </w:r>
          </w:p>
        </w:tc>
        <w:tc>
          <w:tcPr>
            <w:tcW w:w="3720" w:type="dxa"/>
            <w:vAlign w:val="bottom"/>
          </w:tcPr>
          <w:p>
            <w:pPr>
              <w:spacing w:after="0"/>
              <w:rPr>
                <w:sz w:val="24"/>
                <w:szCs w:val="24"/>
                <w:color w:val="auto"/>
              </w:rPr>
            </w:pPr>
          </w:p>
        </w:tc>
        <w:tc>
          <w:tcPr>
            <w:tcW w:w="1820" w:type="dxa"/>
            <w:vAlign w:val="bottom"/>
          </w:tcPr>
          <w:p>
            <w:pPr>
              <w:ind w:left="760"/>
              <w:spacing w:after="0"/>
              <w:rPr>
                <w:sz w:val="20"/>
                <w:szCs w:val="20"/>
                <w:color w:val="auto"/>
              </w:rPr>
            </w:pPr>
            <w:r>
              <w:rPr>
                <w:rFonts w:ascii="Arial" w:cs="Arial" w:eastAsia="Arial" w:hAnsi="Arial"/>
                <w:sz w:val="14"/>
                <w:szCs w:val="14"/>
                <w:color w:val="auto"/>
                <w:w w:val="90"/>
              </w:rPr>
              <w:t>February 23, 2007</w:t>
            </w:r>
          </w:p>
        </w:tc>
      </w:tr>
      <w:tr>
        <w:trPr>
          <w:trHeight w:val="172"/>
        </w:trPr>
        <w:tc>
          <w:tcPr>
            <w:tcW w:w="4220" w:type="dxa"/>
            <w:vAlign w:val="bottom"/>
          </w:tcPr>
          <w:p>
            <w:pPr>
              <w:jc w:val="center"/>
              <w:spacing w:after="0"/>
              <w:rPr>
                <w:sz w:val="20"/>
                <w:szCs w:val="20"/>
                <w:color w:val="auto"/>
              </w:rPr>
            </w:pPr>
            <w:r>
              <w:rPr>
                <w:rFonts w:ascii="Arial" w:cs="Arial" w:eastAsia="Arial" w:hAnsi="Arial"/>
                <w:sz w:val="14"/>
                <w:szCs w:val="14"/>
                <w:color w:val="auto"/>
                <w:w w:val="97"/>
              </w:rPr>
              <w:t>Brent D. Baird</w:t>
            </w:r>
          </w:p>
        </w:tc>
        <w:tc>
          <w:tcPr>
            <w:tcW w:w="37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09"/>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R</w:t>
            </w:r>
            <w:r>
              <w:rPr>
                <w:rFonts w:ascii="Arial" w:cs="Arial" w:eastAsia="Arial" w:hAnsi="Arial"/>
                <w:sz w:val="9"/>
                <w:szCs w:val="9"/>
                <w:color w:val="auto"/>
              </w:rPr>
              <w:t>OBERT</w:t>
            </w:r>
            <w:r>
              <w:rPr>
                <w:rFonts w:ascii="Arial" w:cs="Arial" w:eastAsia="Arial" w:hAnsi="Arial"/>
                <w:sz w:val="14"/>
                <w:szCs w:val="14"/>
                <w:color w:val="auto"/>
              </w:rPr>
              <w:t xml:space="preserve"> J. B</w:t>
            </w:r>
            <w:r>
              <w:rPr>
                <w:rFonts w:ascii="Arial" w:cs="Arial" w:eastAsia="Arial" w:hAnsi="Arial"/>
                <w:sz w:val="9"/>
                <w:szCs w:val="9"/>
                <w:color w:val="auto"/>
              </w:rPr>
              <w:t>ENNETT</w:t>
            </w:r>
          </w:p>
        </w:tc>
        <w:tc>
          <w:tcPr>
            <w:tcW w:w="3720" w:type="dxa"/>
            <w:vAlign w:val="bottom"/>
          </w:tcPr>
          <w:p>
            <w:pPr>
              <w:spacing w:after="0"/>
              <w:rPr>
                <w:sz w:val="24"/>
                <w:szCs w:val="24"/>
                <w:color w:val="auto"/>
              </w:rPr>
            </w:pPr>
          </w:p>
        </w:tc>
        <w:tc>
          <w:tcPr>
            <w:tcW w:w="1820" w:type="dxa"/>
            <w:vAlign w:val="bottom"/>
          </w:tcPr>
          <w:p>
            <w:pPr>
              <w:ind w:left="760"/>
              <w:spacing w:after="0"/>
              <w:rPr>
                <w:sz w:val="20"/>
                <w:szCs w:val="20"/>
                <w:color w:val="auto"/>
              </w:rPr>
            </w:pPr>
            <w:r>
              <w:rPr>
                <w:rFonts w:ascii="Arial" w:cs="Arial" w:eastAsia="Arial" w:hAnsi="Arial"/>
                <w:sz w:val="14"/>
                <w:szCs w:val="14"/>
                <w:color w:val="auto"/>
                <w:w w:val="90"/>
              </w:rPr>
              <w:t>February 23, 2007</w:t>
            </w:r>
          </w:p>
        </w:tc>
      </w:tr>
      <w:tr>
        <w:trPr>
          <w:trHeight w:val="172"/>
        </w:trPr>
        <w:tc>
          <w:tcPr>
            <w:tcW w:w="4220" w:type="dxa"/>
            <w:vAlign w:val="bottom"/>
          </w:tcPr>
          <w:p>
            <w:pPr>
              <w:jc w:val="center"/>
              <w:spacing w:after="0"/>
              <w:rPr>
                <w:sz w:val="20"/>
                <w:szCs w:val="20"/>
                <w:color w:val="auto"/>
              </w:rPr>
            </w:pPr>
            <w:r>
              <w:rPr>
                <w:rFonts w:ascii="Arial" w:cs="Arial" w:eastAsia="Arial" w:hAnsi="Arial"/>
                <w:sz w:val="14"/>
                <w:szCs w:val="14"/>
                <w:color w:val="auto"/>
                <w:w w:val="93"/>
              </w:rPr>
              <w:t>Robert J. Bennett</w:t>
            </w:r>
          </w:p>
        </w:tc>
        <w:tc>
          <w:tcPr>
            <w:tcW w:w="37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09"/>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C. A</w:t>
            </w:r>
            <w:r>
              <w:rPr>
                <w:rFonts w:ascii="Arial" w:cs="Arial" w:eastAsia="Arial" w:hAnsi="Arial"/>
                <w:sz w:val="9"/>
                <w:szCs w:val="9"/>
                <w:color w:val="auto"/>
              </w:rPr>
              <w:t>NGELA</w:t>
            </w:r>
            <w:r>
              <w:rPr>
                <w:rFonts w:ascii="Arial" w:cs="Arial" w:eastAsia="Arial" w:hAnsi="Arial"/>
                <w:sz w:val="14"/>
                <w:szCs w:val="14"/>
                <w:color w:val="auto"/>
              </w:rPr>
              <w:t xml:space="preserve"> B</w:t>
            </w:r>
            <w:r>
              <w:rPr>
                <w:rFonts w:ascii="Arial" w:cs="Arial" w:eastAsia="Arial" w:hAnsi="Arial"/>
                <w:sz w:val="9"/>
                <w:szCs w:val="9"/>
                <w:color w:val="auto"/>
              </w:rPr>
              <w:t>ONTEMPO</w:t>
            </w:r>
          </w:p>
        </w:tc>
        <w:tc>
          <w:tcPr>
            <w:tcW w:w="3720" w:type="dxa"/>
            <w:vAlign w:val="bottom"/>
          </w:tcPr>
          <w:p>
            <w:pPr>
              <w:spacing w:after="0"/>
              <w:rPr>
                <w:sz w:val="24"/>
                <w:szCs w:val="24"/>
                <w:color w:val="auto"/>
              </w:rPr>
            </w:pPr>
          </w:p>
        </w:tc>
        <w:tc>
          <w:tcPr>
            <w:tcW w:w="1820" w:type="dxa"/>
            <w:vAlign w:val="bottom"/>
          </w:tcPr>
          <w:p>
            <w:pPr>
              <w:ind w:left="760"/>
              <w:spacing w:after="0"/>
              <w:rPr>
                <w:sz w:val="20"/>
                <w:szCs w:val="20"/>
                <w:color w:val="auto"/>
              </w:rPr>
            </w:pPr>
            <w:r>
              <w:rPr>
                <w:rFonts w:ascii="Arial" w:cs="Arial" w:eastAsia="Arial" w:hAnsi="Arial"/>
                <w:sz w:val="14"/>
                <w:szCs w:val="14"/>
                <w:color w:val="auto"/>
                <w:w w:val="90"/>
              </w:rPr>
              <w:t>February 23, 2007</w:t>
            </w:r>
          </w:p>
        </w:tc>
      </w:tr>
      <w:tr>
        <w:trPr>
          <w:trHeight w:val="172"/>
        </w:trPr>
        <w:tc>
          <w:tcPr>
            <w:tcW w:w="4220" w:type="dxa"/>
            <w:vAlign w:val="bottom"/>
          </w:tcPr>
          <w:p>
            <w:pPr>
              <w:jc w:val="center"/>
              <w:spacing w:after="0"/>
              <w:rPr>
                <w:sz w:val="20"/>
                <w:szCs w:val="20"/>
                <w:color w:val="auto"/>
              </w:rPr>
            </w:pPr>
            <w:r>
              <w:rPr>
                <w:rFonts w:ascii="Arial" w:cs="Arial" w:eastAsia="Arial" w:hAnsi="Arial"/>
                <w:sz w:val="14"/>
                <w:szCs w:val="14"/>
                <w:color w:val="auto"/>
                <w:w w:val="94"/>
              </w:rPr>
              <w:t>C. Angela Bontempo</w:t>
            </w:r>
          </w:p>
        </w:tc>
        <w:tc>
          <w:tcPr>
            <w:tcW w:w="37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309"/>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R</w:t>
            </w:r>
            <w:r>
              <w:rPr>
                <w:rFonts w:ascii="Arial" w:cs="Arial" w:eastAsia="Arial" w:hAnsi="Arial"/>
                <w:sz w:val="9"/>
                <w:szCs w:val="9"/>
                <w:color w:val="auto"/>
              </w:rPr>
              <w:t>OBERT</w:t>
            </w:r>
            <w:r>
              <w:rPr>
                <w:rFonts w:ascii="Arial" w:cs="Arial" w:eastAsia="Arial" w:hAnsi="Arial"/>
                <w:sz w:val="14"/>
                <w:szCs w:val="14"/>
                <w:color w:val="auto"/>
              </w:rPr>
              <w:t xml:space="preserve"> T. B</w:t>
            </w:r>
            <w:r>
              <w:rPr>
                <w:rFonts w:ascii="Arial" w:cs="Arial" w:eastAsia="Arial" w:hAnsi="Arial"/>
                <w:sz w:val="9"/>
                <w:szCs w:val="9"/>
                <w:color w:val="auto"/>
              </w:rPr>
              <w:t>RADY</w:t>
            </w:r>
          </w:p>
        </w:tc>
        <w:tc>
          <w:tcPr>
            <w:tcW w:w="3720" w:type="dxa"/>
            <w:vAlign w:val="bottom"/>
          </w:tcPr>
          <w:p>
            <w:pPr>
              <w:spacing w:after="0"/>
              <w:rPr>
                <w:sz w:val="24"/>
                <w:szCs w:val="24"/>
                <w:color w:val="auto"/>
              </w:rPr>
            </w:pPr>
          </w:p>
        </w:tc>
        <w:tc>
          <w:tcPr>
            <w:tcW w:w="1820" w:type="dxa"/>
            <w:vAlign w:val="bottom"/>
          </w:tcPr>
          <w:p>
            <w:pPr>
              <w:ind w:left="760"/>
              <w:spacing w:after="0"/>
              <w:rPr>
                <w:sz w:val="20"/>
                <w:szCs w:val="20"/>
                <w:color w:val="auto"/>
              </w:rPr>
            </w:pPr>
            <w:r>
              <w:rPr>
                <w:rFonts w:ascii="Arial" w:cs="Arial" w:eastAsia="Arial" w:hAnsi="Arial"/>
                <w:sz w:val="14"/>
                <w:szCs w:val="14"/>
                <w:color w:val="auto"/>
                <w:w w:val="90"/>
              </w:rPr>
              <w:t>February 23, 2007</w:t>
            </w:r>
          </w:p>
        </w:tc>
      </w:tr>
      <w:tr>
        <w:trPr>
          <w:trHeight w:val="172"/>
        </w:trPr>
        <w:tc>
          <w:tcPr>
            <w:tcW w:w="4220" w:type="dxa"/>
            <w:vAlign w:val="bottom"/>
          </w:tcPr>
          <w:p>
            <w:pPr>
              <w:jc w:val="center"/>
              <w:spacing w:after="0"/>
              <w:rPr>
                <w:sz w:val="20"/>
                <w:szCs w:val="20"/>
                <w:color w:val="auto"/>
              </w:rPr>
            </w:pPr>
            <w:r>
              <w:rPr>
                <w:rFonts w:ascii="Arial" w:cs="Arial" w:eastAsia="Arial" w:hAnsi="Arial"/>
                <w:sz w:val="14"/>
                <w:szCs w:val="14"/>
                <w:color w:val="auto"/>
                <w:w w:val="95"/>
              </w:rPr>
              <w:t>Robert T. Brady</w:t>
            </w:r>
          </w:p>
        </w:tc>
        <w:tc>
          <w:tcPr>
            <w:tcW w:w="3720" w:type="dxa"/>
            <w:vAlign w:val="bottom"/>
          </w:tcPr>
          <w:p>
            <w:pPr>
              <w:spacing w:after="0"/>
              <w:rPr>
                <w:sz w:val="14"/>
                <w:szCs w:val="14"/>
                <w:color w:val="auto"/>
              </w:rPr>
            </w:pPr>
          </w:p>
        </w:tc>
        <w:tc>
          <w:tcPr>
            <w:tcW w:w="1820" w:type="dxa"/>
            <w:vAlign w:val="bottom"/>
          </w:tcPr>
          <w:p>
            <w:pPr>
              <w:spacing w:after="0"/>
              <w:rPr>
                <w:sz w:val="14"/>
                <w:szCs w:val="14"/>
                <w:color w:val="auto"/>
              </w:rPr>
            </w:pPr>
          </w:p>
        </w:tc>
      </w:tr>
    </w:tbl>
    <w:p>
      <w:pPr>
        <w:spacing w:after="0" w:line="145" w:lineRule="exact"/>
        <w:rPr>
          <w:sz w:val="20"/>
          <w:szCs w:val="20"/>
          <w:color w:val="auto"/>
        </w:rPr>
      </w:pPr>
    </w:p>
    <w:p>
      <w:pPr>
        <w:jc w:val="right"/>
        <w:ind w:right="880"/>
        <w:spacing w:after="0"/>
        <w:rPr>
          <w:sz w:val="20"/>
          <w:szCs w:val="20"/>
          <w:color w:val="auto"/>
        </w:rPr>
      </w:pPr>
      <w:r>
        <w:rPr>
          <w:rFonts w:ascii="Arial" w:cs="Arial" w:eastAsia="Arial" w:hAnsi="Arial"/>
          <w:sz w:val="12"/>
          <w:szCs w:val="1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134" w:name="page135"/>
    <w:bookmarkEnd w:id="1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391" w:lineRule="exact"/>
        <w:rPr>
          <w:sz w:val="20"/>
          <w:szCs w:val="20"/>
          <w:color w:val="auto"/>
        </w:rPr>
      </w:pPr>
    </w:p>
    <w:tbl>
      <w:tblPr>
        <w:tblLayout w:type="fixed"/>
        <w:tblInd w:w="680" w:type="dxa"/>
        <w:tblCellMar>
          <w:top w:w="0" w:type="dxa"/>
          <w:left w:w="0" w:type="dxa"/>
          <w:bottom w:w="0" w:type="dxa"/>
          <w:right w:w="0" w:type="dxa"/>
        </w:tblCellMar>
      </w:tblPr>
      <w:tr>
        <w:trPr>
          <w:trHeight w:val="186"/>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M</w:t>
            </w:r>
            <w:r>
              <w:rPr>
                <w:rFonts w:ascii="Arial" w:cs="Arial" w:eastAsia="Arial" w:hAnsi="Arial"/>
                <w:sz w:val="9"/>
                <w:szCs w:val="9"/>
                <w:color w:val="auto"/>
              </w:rPr>
              <w:t>ICHAEL</w:t>
            </w:r>
            <w:r>
              <w:rPr>
                <w:rFonts w:ascii="Arial" w:cs="Arial" w:eastAsia="Arial" w:hAnsi="Arial"/>
                <w:sz w:val="14"/>
                <w:szCs w:val="14"/>
                <w:color w:val="auto"/>
              </w:rPr>
              <w:t xml:space="preserve"> D. B</w:t>
            </w:r>
            <w:r>
              <w:rPr>
                <w:rFonts w:ascii="Arial" w:cs="Arial" w:eastAsia="Arial" w:hAnsi="Arial"/>
                <w:sz w:val="9"/>
                <w:szCs w:val="9"/>
                <w:color w:val="auto"/>
              </w:rPr>
              <w:t>UCKLEY</w:t>
            </w:r>
          </w:p>
        </w:tc>
        <w:tc>
          <w:tcPr>
            <w:tcW w:w="5540" w:type="dxa"/>
            <w:vAlign w:val="bottom"/>
          </w:tcPr>
          <w:p>
            <w:pPr>
              <w:ind w:left="4480"/>
              <w:spacing w:after="0"/>
              <w:rPr>
                <w:sz w:val="20"/>
                <w:szCs w:val="20"/>
                <w:color w:val="auto"/>
              </w:rPr>
            </w:pPr>
            <w:r>
              <w:rPr>
                <w:rFonts w:ascii="Arial" w:cs="Arial" w:eastAsia="Arial" w:hAnsi="Arial"/>
                <w:sz w:val="14"/>
                <w:szCs w:val="14"/>
                <w:color w:val="auto"/>
                <w:w w:val="90"/>
              </w:rPr>
              <w:t>February 23, 2007</w:t>
            </w:r>
          </w:p>
        </w:tc>
      </w:tr>
      <w:tr>
        <w:trPr>
          <w:trHeight w:val="176"/>
        </w:trPr>
        <w:tc>
          <w:tcPr>
            <w:tcW w:w="4220" w:type="dxa"/>
            <w:vAlign w:val="bottom"/>
          </w:tcPr>
          <w:p>
            <w:pPr>
              <w:jc w:val="center"/>
              <w:spacing w:after="0"/>
              <w:rPr>
                <w:sz w:val="20"/>
                <w:szCs w:val="20"/>
                <w:color w:val="auto"/>
              </w:rPr>
            </w:pPr>
            <w:r>
              <w:rPr>
                <w:rFonts w:ascii="Arial" w:cs="Arial" w:eastAsia="Arial" w:hAnsi="Arial"/>
                <w:sz w:val="14"/>
                <w:szCs w:val="14"/>
                <w:color w:val="auto"/>
                <w:w w:val="99"/>
              </w:rPr>
              <w:t>Michael D. Buckley</w:t>
            </w:r>
          </w:p>
        </w:tc>
        <w:tc>
          <w:tcPr>
            <w:tcW w:w="5540" w:type="dxa"/>
            <w:vAlign w:val="bottom"/>
          </w:tcPr>
          <w:p>
            <w:pPr>
              <w:spacing w:after="0"/>
              <w:rPr>
                <w:sz w:val="15"/>
                <w:szCs w:val="15"/>
                <w:color w:val="auto"/>
              </w:rPr>
            </w:pPr>
          </w:p>
        </w:tc>
      </w:tr>
      <w:tr>
        <w:trPr>
          <w:trHeight w:val="306"/>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T. J</w:t>
            </w:r>
            <w:r>
              <w:rPr>
                <w:rFonts w:ascii="Arial" w:cs="Arial" w:eastAsia="Arial" w:hAnsi="Arial"/>
                <w:sz w:val="9"/>
                <w:szCs w:val="9"/>
                <w:color w:val="auto"/>
              </w:rPr>
              <w:t>EFFERSON</w:t>
            </w:r>
            <w:r>
              <w:rPr>
                <w:rFonts w:ascii="Arial" w:cs="Arial" w:eastAsia="Arial" w:hAnsi="Arial"/>
                <w:sz w:val="14"/>
                <w:szCs w:val="14"/>
                <w:color w:val="auto"/>
              </w:rPr>
              <w:t xml:space="preserve"> C</w:t>
            </w:r>
            <w:r>
              <w:rPr>
                <w:rFonts w:ascii="Arial" w:cs="Arial" w:eastAsia="Arial" w:hAnsi="Arial"/>
                <w:sz w:val="9"/>
                <w:szCs w:val="9"/>
                <w:color w:val="auto"/>
              </w:rPr>
              <w:t>UNNINGHAM</w:t>
            </w:r>
            <w:r>
              <w:rPr>
                <w:rFonts w:ascii="Arial" w:cs="Arial" w:eastAsia="Arial" w:hAnsi="Arial"/>
                <w:sz w:val="14"/>
                <w:szCs w:val="14"/>
                <w:color w:val="auto"/>
              </w:rPr>
              <w:t xml:space="preserve"> III</w:t>
            </w:r>
          </w:p>
        </w:tc>
        <w:tc>
          <w:tcPr>
            <w:tcW w:w="5540" w:type="dxa"/>
            <w:vAlign w:val="bottom"/>
          </w:tcPr>
          <w:p>
            <w:pPr>
              <w:ind w:left="4480"/>
              <w:spacing w:after="0"/>
              <w:rPr>
                <w:sz w:val="20"/>
                <w:szCs w:val="20"/>
                <w:color w:val="auto"/>
              </w:rPr>
            </w:pPr>
            <w:r>
              <w:rPr>
                <w:rFonts w:ascii="Arial" w:cs="Arial" w:eastAsia="Arial" w:hAnsi="Arial"/>
                <w:sz w:val="14"/>
                <w:szCs w:val="14"/>
                <w:color w:val="auto"/>
                <w:w w:val="90"/>
              </w:rPr>
              <w:t>February 23, 2007</w:t>
            </w:r>
          </w:p>
        </w:tc>
      </w:tr>
      <w:tr>
        <w:trPr>
          <w:trHeight w:val="176"/>
        </w:trPr>
        <w:tc>
          <w:tcPr>
            <w:tcW w:w="4220" w:type="dxa"/>
            <w:vAlign w:val="bottom"/>
          </w:tcPr>
          <w:p>
            <w:pPr>
              <w:jc w:val="center"/>
              <w:spacing w:after="0"/>
              <w:rPr>
                <w:sz w:val="20"/>
                <w:szCs w:val="20"/>
                <w:color w:val="auto"/>
              </w:rPr>
            </w:pPr>
            <w:r>
              <w:rPr>
                <w:rFonts w:ascii="Arial" w:cs="Arial" w:eastAsia="Arial" w:hAnsi="Arial"/>
                <w:sz w:val="14"/>
                <w:szCs w:val="14"/>
                <w:color w:val="auto"/>
                <w:w w:val="93"/>
              </w:rPr>
              <w:t>T. Jefferson Cunningham III</w:t>
            </w:r>
          </w:p>
        </w:tc>
        <w:tc>
          <w:tcPr>
            <w:tcW w:w="5540" w:type="dxa"/>
            <w:vAlign w:val="bottom"/>
          </w:tcPr>
          <w:p>
            <w:pPr>
              <w:spacing w:after="0"/>
              <w:rPr>
                <w:sz w:val="15"/>
                <w:szCs w:val="15"/>
                <w:color w:val="auto"/>
              </w:rPr>
            </w:pPr>
          </w:p>
        </w:tc>
      </w:tr>
      <w:tr>
        <w:trPr>
          <w:trHeight w:val="309"/>
        </w:trPr>
        <w:tc>
          <w:tcPr>
            <w:tcW w:w="4220" w:type="dxa"/>
            <w:vAlign w:val="bottom"/>
            <w:tcBorders>
              <w:bottom w:val="single" w:sz="8" w:color="auto"/>
            </w:tcBorders>
          </w:tcPr>
          <w:p>
            <w:pPr>
              <w:spacing w:after="0"/>
              <w:rPr>
                <w:sz w:val="24"/>
                <w:szCs w:val="24"/>
                <w:color w:val="auto"/>
              </w:rPr>
            </w:pPr>
          </w:p>
        </w:tc>
        <w:tc>
          <w:tcPr>
            <w:tcW w:w="5540" w:type="dxa"/>
            <w:vAlign w:val="bottom"/>
          </w:tcPr>
          <w:p>
            <w:pPr>
              <w:spacing w:after="0"/>
              <w:rPr>
                <w:sz w:val="24"/>
                <w:szCs w:val="24"/>
                <w:color w:val="auto"/>
              </w:rPr>
            </w:pPr>
          </w:p>
        </w:tc>
      </w:tr>
      <w:tr>
        <w:trPr>
          <w:trHeight w:val="172"/>
        </w:trPr>
        <w:tc>
          <w:tcPr>
            <w:tcW w:w="4220" w:type="dxa"/>
            <w:vAlign w:val="bottom"/>
          </w:tcPr>
          <w:p>
            <w:pPr>
              <w:jc w:val="center"/>
              <w:spacing w:after="0"/>
              <w:rPr>
                <w:sz w:val="20"/>
                <w:szCs w:val="20"/>
                <w:color w:val="auto"/>
              </w:rPr>
            </w:pPr>
            <w:r>
              <w:rPr>
                <w:rFonts w:ascii="Arial" w:cs="Arial" w:eastAsia="Arial" w:hAnsi="Arial"/>
                <w:sz w:val="14"/>
                <w:szCs w:val="14"/>
                <w:color w:val="auto"/>
                <w:w w:val="94"/>
              </w:rPr>
              <w:t>Mark J. Czarnecki</w:t>
            </w:r>
          </w:p>
        </w:tc>
        <w:tc>
          <w:tcPr>
            <w:tcW w:w="5540" w:type="dxa"/>
            <w:vAlign w:val="bottom"/>
          </w:tcPr>
          <w:p>
            <w:pPr>
              <w:spacing w:after="0"/>
              <w:rPr>
                <w:sz w:val="14"/>
                <w:szCs w:val="14"/>
                <w:color w:val="auto"/>
              </w:rPr>
            </w:pPr>
          </w:p>
        </w:tc>
      </w:tr>
      <w:tr>
        <w:trPr>
          <w:trHeight w:val="305"/>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C</w:t>
            </w:r>
            <w:r>
              <w:rPr>
                <w:rFonts w:ascii="Arial" w:cs="Arial" w:eastAsia="Arial" w:hAnsi="Arial"/>
                <w:sz w:val="9"/>
                <w:szCs w:val="9"/>
                <w:color w:val="auto"/>
              </w:rPr>
              <w:t>OLM</w:t>
            </w:r>
            <w:r>
              <w:rPr>
                <w:rFonts w:ascii="Arial" w:cs="Arial" w:eastAsia="Arial" w:hAnsi="Arial"/>
                <w:sz w:val="14"/>
                <w:szCs w:val="14"/>
                <w:color w:val="auto"/>
              </w:rPr>
              <w:t xml:space="preserve"> E. D</w:t>
            </w:r>
            <w:r>
              <w:rPr>
                <w:rFonts w:ascii="Arial" w:cs="Arial" w:eastAsia="Arial" w:hAnsi="Arial"/>
                <w:sz w:val="9"/>
                <w:szCs w:val="9"/>
                <w:color w:val="auto"/>
              </w:rPr>
              <w:t>OHERTY</w:t>
            </w:r>
          </w:p>
        </w:tc>
        <w:tc>
          <w:tcPr>
            <w:tcW w:w="5540" w:type="dxa"/>
            <w:vAlign w:val="bottom"/>
          </w:tcPr>
          <w:p>
            <w:pPr>
              <w:ind w:left="4480"/>
              <w:spacing w:after="0"/>
              <w:rPr>
                <w:sz w:val="20"/>
                <w:szCs w:val="20"/>
                <w:color w:val="auto"/>
              </w:rPr>
            </w:pPr>
            <w:r>
              <w:rPr>
                <w:rFonts w:ascii="Arial" w:cs="Arial" w:eastAsia="Arial" w:hAnsi="Arial"/>
                <w:sz w:val="14"/>
                <w:szCs w:val="14"/>
                <w:color w:val="auto"/>
                <w:w w:val="90"/>
              </w:rPr>
              <w:t>February 23, 2007</w:t>
            </w:r>
          </w:p>
        </w:tc>
      </w:tr>
      <w:tr>
        <w:trPr>
          <w:trHeight w:val="176"/>
        </w:trPr>
        <w:tc>
          <w:tcPr>
            <w:tcW w:w="4220" w:type="dxa"/>
            <w:vAlign w:val="bottom"/>
          </w:tcPr>
          <w:p>
            <w:pPr>
              <w:jc w:val="center"/>
              <w:spacing w:after="0"/>
              <w:rPr>
                <w:sz w:val="20"/>
                <w:szCs w:val="20"/>
                <w:color w:val="auto"/>
              </w:rPr>
            </w:pPr>
            <w:r>
              <w:rPr>
                <w:rFonts w:ascii="Arial" w:cs="Arial" w:eastAsia="Arial" w:hAnsi="Arial"/>
                <w:sz w:val="14"/>
                <w:szCs w:val="14"/>
                <w:color w:val="auto"/>
                <w:w w:val="95"/>
              </w:rPr>
              <w:t>Colm E. Doherty</w:t>
            </w:r>
          </w:p>
        </w:tc>
        <w:tc>
          <w:tcPr>
            <w:tcW w:w="5540" w:type="dxa"/>
            <w:vAlign w:val="bottom"/>
          </w:tcPr>
          <w:p>
            <w:pPr>
              <w:spacing w:after="0"/>
              <w:rPr>
                <w:sz w:val="15"/>
                <w:szCs w:val="15"/>
                <w:color w:val="auto"/>
              </w:rPr>
            </w:pPr>
          </w:p>
        </w:tc>
      </w:tr>
      <w:tr>
        <w:trPr>
          <w:trHeight w:val="305"/>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R</w:t>
            </w:r>
            <w:r>
              <w:rPr>
                <w:rFonts w:ascii="Arial" w:cs="Arial" w:eastAsia="Arial" w:hAnsi="Arial"/>
                <w:sz w:val="9"/>
                <w:szCs w:val="9"/>
                <w:color w:val="auto"/>
              </w:rPr>
              <w:t>ICHARD</w:t>
            </w:r>
            <w:r>
              <w:rPr>
                <w:rFonts w:ascii="Arial" w:cs="Arial" w:eastAsia="Arial" w:hAnsi="Arial"/>
                <w:sz w:val="14"/>
                <w:szCs w:val="14"/>
                <w:color w:val="auto"/>
              </w:rPr>
              <w:t xml:space="preserve"> E. G</w:t>
            </w:r>
            <w:r>
              <w:rPr>
                <w:rFonts w:ascii="Arial" w:cs="Arial" w:eastAsia="Arial" w:hAnsi="Arial"/>
                <w:sz w:val="9"/>
                <w:szCs w:val="9"/>
                <w:color w:val="auto"/>
              </w:rPr>
              <w:t>ARMAN</w:t>
            </w:r>
          </w:p>
        </w:tc>
        <w:tc>
          <w:tcPr>
            <w:tcW w:w="5540" w:type="dxa"/>
            <w:vAlign w:val="bottom"/>
          </w:tcPr>
          <w:p>
            <w:pPr>
              <w:ind w:left="4480"/>
              <w:spacing w:after="0"/>
              <w:rPr>
                <w:sz w:val="20"/>
                <w:szCs w:val="20"/>
                <w:color w:val="auto"/>
              </w:rPr>
            </w:pPr>
            <w:r>
              <w:rPr>
                <w:rFonts w:ascii="Arial" w:cs="Arial" w:eastAsia="Arial" w:hAnsi="Arial"/>
                <w:sz w:val="14"/>
                <w:szCs w:val="14"/>
                <w:color w:val="auto"/>
                <w:w w:val="90"/>
              </w:rPr>
              <w:t>February 23, 2007</w:t>
            </w:r>
          </w:p>
        </w:tc>
      </w:tr>
      <w:tr>
        <w:trPr>
          <w:trHeight w:val="176"/>
        </w:trPr>
        <w:tc>
          <w:tcPr>
            <w:tcW w:w="4220" w:type="dxa"/>
            <w:vAlign w:val="bottom"/>
          </w:tcPr>
          <w:p>
            <w:pPr>
              <w:jc w:val="center"/>
              <w:spacing w:after="0"/>
              <w:rPr>
                <w:sz w:val="20"/>
                <w:szCs w:val="20"/>
                <w:color w:val="auto"/>
              </w:rPr>
            </w:pPr>
            <w:r>
              <w:rPr>
                <w:rFonts w:ascii="Arial" w:cs="Arial" w:eastAsia="Arial" w:hAnsi="Arial"/>
                <w:sz w:val="14"/>
                <w:szCs w:val="14"/>
                <w:color w:val="auto"/>
                <w:w w:val="91"/>
              </w:rPr>
              <w:t>Richard E. Garman</w:t>
            </w:r>
          </w:p>
        </w:tc>
        <w:tc>
          <w:tcPr>
            <w:tcW w:w="5540" w:type="dxa"/>
            <w:vAlign w:val="bottom"/>
          </w:tcPr>
          <w:p>
            <w:pPr>
              <w:spacing w:after="0"/>
              <w:rPr>
                <w:sz w:val="15"/>
                <w:szCs w:val="15"/>
                <w:color w:val="auto"/>
              </w:rPr>
            </w:pPr>
          </w:p>
        </w:tc>
      </w:tr>
      <w:tr>
        <w:trPr>
          <w:trHeight w:val="305"/>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D</w:t>
            </w:r>
            <w:r>
              <w:rPr>
                <w:rFonts w:ascii="Arial" w:cs="Arial" w:eastAsia="Arial" w:hAnsi="Arial"/>
                <w:sz w:val="9"/>
                <w:szCs w:val="9"/>
                <w:color w:val="auto"/>
              </w:rPr>
              <w:t>ANIEL</w:t>
            </w:r>
            <w:r>
              <w:rPr>
                <w:rFonts w:ascii="Arial" w:cs="Arial" w:eastAsia="Arial" w:hAnsi="Arial"/>
                <w:sz w:val="14"/>
                <w:szCs w:val="14"/>
                <w:color w:val="auto"/>
              </w:rPr>
              <w:t xml:space="preserve"> R. H</w:t>
            </w:r>
            <w:r>
              <w:rPr>
                <w:rFonts w:ascii="Arial" w:cs="Arial" w:eastAsia="Arial" w:hAnsi="Arial"/>
                <w:sz w:val="9"/>
                <w:szCs w:val="9"/>
                <w:color w:val="auto"/>
              </w:rPr>
              <w:t>AWBAKER</w:t>
            </w:r>
          </w:p>
        </w:tc>
        <w:tc>
          <w:tcPr>
            <w:tcW w:w="5540" w:type="dxa"/>
            <w:vAlign w:val="bottom"/>
          </w:tcPr>
          <w:p>
            <w:pPr>
              <w:ind w:left="4480"/>
              <w:spacing w:after="0"/>
              <w:rPr>
                <w:sz w:val="20"/>
                <w:szCs w:val="20"/>
                <w:color w:val="auto"/>
              </w:rPr>
            </w:pPr>
            <w:r>
              <w:rPr>
                <w:rFonts w:ascii="Arial" w:cs="Arial" w:eastAsia="Arial" w:hAnsi="Arial"/>
                <w:sz w:val="14"/>
                <w:szCs w:val="14"/>
                <w:color w:val="auto"/>
                <w:w w:val="90"/>
              </w:rPr>
              <w:t>February 23, 2007</w:t>
            </w:r>
          </w:p>
        </w:tc>
      </w:tr>
      <w:tr>
        <w:trPr>
          <w:trHeight w:val="176"/>
        </w:trPr>
        <w:tc>
          <w:tcPr>
            <w:tcW w:w="4220" w:type="dxa"/>
            <w:vAlign w:val="bottom"/>
          </w:tcPr>
          <w:p>
            <w:pPr>
              <w:jc w:val="center"/>
              <w:spacing w:after="0"/>
              <w:rPr>
                <w:sz w:val="20"/>
                <w:szCs w:val="20"/>
                <w:color w:val="auto"/>
              </w:rPr>
            </w:pPr>
            <w:r>
              <w:rPr>
                <w:rFonts w:ascii="Arial" w:cs="Arial" w:eastAsia="Arial" w:hAnsi="Arial"/>
                <w:sz w:val="14"/>
                <w:szCs w:val="14"/>
                <w:color w:val="auto"/>
                <w:w w:val="94"/>
              </w:rPr>
              <w:t>Daniel R. Hawbaker</w:t>
            </w:r>
          </w:p>
        </w:tc>
        <w:tc>
          <w:tcPr>
            <w:tcW w:w="5540" w:type="dxa"/>
            <w:vAlign w:val="bottom"/>
          </w:tcPr>
          <w:p>
            <w:pPr>
              <w:spacing w:after="0"/>
              <w:rPr>
                <w:sz w:val="15"/>
                <w:szCs w:val="15"/>
                <w:color w:val="auto"/>
              </w:rPr>
            </w:pPr>
          </w:p>
        </w:tc>
      </w:tr>
      <w:tr>
        <w:trPr>
          <w:trHeight w:val="305"/>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P</w:t>
            </w:r>
            <w:r>
              <w:rPr>
                <w:rFonts w:ascii="Arial" w:cs="Arial" w:eastAsia="Arial" w:hAnsi="Arial"/>
                <w:sz w:val="9"/>
                <w:szCs w:val="9"/>
                <w:color w:val="auto"/>
              </w:rPr>
              <w:t>ATRICK</w:t>
            </w:r>
            <w:r>
              <w:rPr>
                <w:rFonts w:ascii="Arial" w:cs="Arial" w:eastAsia="Arial" w:hAnsi="Arial"/>
                <w:sz w:val="14"/>
                <w:szCs w:val="14"/>
                <w:color w:val="auto"/>
              </w:rPr>
              <w:t xml:space="preserve"> W.E. H</w:t>
            </w:r>
            <w:r>
              <w:rPr>
                <w:rFonts w:ascii="Arial" w:cs="Arial" w:eastAsia="Arial" w:hAnsi="Arial"/>
                <w:sz w:val="9"/>
                <w:szCs w:val="9"/>
                <w:color w:val="auto"/>
              </w:rPr>
              <w:t>ODGSON</w:t>
            </w:r>
          </w:p>
        </w:tc>
        <w:tc>
          <w:tcPr>
            <w:tcW w:w="5540" w:type="dxa"/>
            <w:vAlign w:val="bottom"/>
          </w:tcPr>
          <w:p>
            <w:pPr>
              <w:ind w:left="4480"/>
              <w:spacing w:after="0"/>
              <w:rPr>
                <w:sz w:val="20"/>
                <w:szCs w:val="20"/>
                <w:color w:val="auto"/>
              </w:rPr>
            </w:pPr>
            <w:r>
              <w:rPr>
                <w:rFonts w:ascii="Arial" w:cs="Arial" w:eastAsia="Arial" w:hAnsi="Arial"/>
                <w:sz w:val="14"/>
                <w:szCs w:val="14"/>
                <w:color w:val="auto"/>
                <w:w w:val="90"/>
              </w:rPr>
              <w:t>February 23, 2007</w:t>
            </w:r>
          </w:p>
        </w:tc>
      </w:tr>
      <w:tr>
        <w:trPr>
          <w:trHeight w:val="176"/>
        </w:trPr>
        <w:tc>
          <w:tcPr>
            <w:tcW w:w="4220" w:type="dxa"/>
            <w:vAlign w:val="bottom"/>
          </w:tcPr>
          <w:p>
            <w:pPr>
              <w:jc w:val="center"/>
              <w:spacing w:after="0"/>
              <w:rPr>
                <w:sz w:val="20"/>
                <w:szCs w:val="20"/>
                <w:color w:val="auto"/>
              </w:rPr>
            </w:pPr>
            <w:r>
              <w:rPr>
                <w:rFonts w:ascii="Arial" w:cs="Arial" w:eastAsia="Arial" w:hAnsi="Arial"/>
                <w:sz w:val="14"/>
                <w:szCs w:val="14"/>
                <w:color w:val="auto"/>
                <w:w w:val="93"/>
              </w:rPr>
              <w:t>Patrick W.E. Hodgson</w:t>
            </w:r>
          </w:p>
        </w:tc>
        <w:tc>
          <w:tcPr>
            <w:tcW w:w="5540" w:type="dxa"/>
            <w:vAlign w:val="bottom"/>
          </w:tcPr>
          <w:p>
            <w:pPr>
              <w:spacing w:after="0"/>
              <w:rPr>
                <w:sz w:val="15"/>
                <w:szCs w:val="15"/>
                <w:color w:val="auto"/>
              </w:rPr>
            </w:pPr>
          </w:p>
        </w:tc>
      </w:tr>
      <w:tr>
        <w:trPr>
          <w:trHeight w:val="305"/>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R</w:t>
            </w:r>
            <w:r>
              <w:rPr>
                <w:rFonts w:ascii="Arial" w:cs="Arial" w:eastAsia="Arial" w:hAnsi="Arial"/>
                <w:sz w:val="9"/>
                <w:szCs w:val="9"/>
                <w:color w:val="auto"/>
              </w:rPr>
              <w:t>ICHARD</w:t>
            </w:r>
            <w:r>
              <w:rPr>
                <w:rFonts w:ascii="Arial" w:cs="Arial" w:eastAsia="Arial" w:hAnsi="Arial"/>
                <w:sz w:val="14"/>
                <w:szCs w:val="14"/>
                <w:color w:val="auto"/>
              </w:rPr>
              <w:t xml:space="preserve"> G. K</w:t>
            </w:r>
            <w:r>
              <w:rPr>
                <w:rFonts w:ascii="Arial" w:cs="Arial" w:eastAsia="Arial" w:hAnsi="Arial"/>
                <w:sz w:val="9"/>
                <w:szCs w:val="9"/>
                <w:color w:val="auto"/>
              </w:rPr>
              <w:t>ING</w:t>
            </w:r>
          </w:p>
        </w:tc>
        <w:tc>
          <w:tcPr>
            <w:tcW w:w="5540" w:type="dxa"/>
            <w:vAlign w:val="bottom"/>
          </w:tcPr>
          <w:p>
            <w:pPr>
              <w:ind w:left="4480"/>
              <w:spacing w:after="0"/>
              <w:rPr>
                <w:sz w:val="20"/>
                <w:szCs w:val="20"/>
                <w:color w:val="auto"/>
              </w:rPr>
            </w:pPr>
            <w:r>
              <w:rPr>
                <w:rFonts w:ascii="Arial" w:cs="Arial" w:eastAsia="Arial" w:hAnsi="Arial"/>
                <w:sz w:val="14"/>
                <w:szCs w:val="14"/>
                <w:color w:val="auto"/>
                <w:w w:val="90"/>
              </w:rPr>
              <w:t>February 23, 2007</w:t>
            </w:r>
          </w:p>
        </w:tc>
      </w:tr>
      <w:tr>
        <w:trPr>
          <w:trHeight w:val="176"/>
        </w:trPr>
        <w:tc>
          <w:tcPr>
            <w:tcW w:w="4220" w:type="dxa"/>
            <w:vAlign w:val="bottom"/>
          </w:tcPr>
          <w:p>
            <w:pPr>
              <w:jc w:val="center"/>
              <w:spacing w:after="0"/>
              <w:rPr>
                <w:sz w:val="20"/>
                <w:szCs w:val="20"/>
                <w:color w:val="auto"/>
              </w:rPr>
            </w:pPr>
            <w:r>
              <w:rPr>
                <w:rFonts w:ascii="Arial" w:cs="Arial" w:eastAsia="Arial" w:hAnsi="Arial"/>
                <w:sz w:val="14"/>
                <w:szCs w:val="14"/>
                <w:color w:val="auto"/>
                <w:w w:val="95"/>
              </w:rPr>
              <w:t>Richard G. King</w:t>
            </w:r>
          </w:p>
        </w:tc>
        <w:tc>
          <w:tcPr>
            <w:tcW w:w="5540" w:type="dxa"/>
            <w:vAlign w:val="bottom"/>
          </w:tcPr>
          <w:p>
            <w:pPr>
              <w:spacing w:after="0"/>
              <w:rPr>
                <w:sz w:val="15"/>
                <w:szCs w:val="15"/>
                <w:color w:val="auto"/>
              </w:rPr>
            </w:pPr>
          </w:p>
        </w:tc>
      </w:tr>
      <w:tr>
        <w:trPr>
          <w:trHeight w:val="305"/>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R</w:t>
            </w:r>
            <w:r>
              <w:rPr>
                <w:rFonts w:ascii="Arial" w:cs="Arial" w:eastAsia="Arial" w:hAnsi="Arial"/>
                <w:sz w:val="9"/>
                <w:szCs w:val="9"/>
                <w:color w:val="auto"/>
              </w:rPr>
              <w:t>EGINALD</w:t>
            </w:r>
            <w:r>
              <w:rPr>
                <w:rFonts w:ascii="Arial" w:cs="Arial" w:eastAsia="Arial" w:hAnsi="Arial"/>
                <w:sz w:val="14"/>
                <w:szCs w:val="14"/>
                <w:color w:val="auto"/>
              </w:rPr>
              <w:t xml:space="preserve"> B. N</w:t>
            </w:r>
            <w:r>
              <w:rPr>
                <w:rFonts w:ascii="Arial" w:cs="Arial" w:eastAsia="Arial" w:hAnsi="Arial"/>
                <w:sz w:val="9"/>
                <w:szCs w:val="9"/>
                <w:color w:val="auto"/>
              </w:rPr>
              <w:t>EWMAN</w:t>
            </w:r>
            <w:r>
              <w:rPr>
                <w:rFonts w:ascii="Arial" w:cs="Arial" w:eastAsia="Arial" w:hAnsi="Arial"/>
                <w:sz w:val="14"/>
                <w:szCs w:val="14"/>
                <w:color w:val="auto"/>
              </w:rPr>
              <w:t>, II</w:t>
            </w:r>
          </w:p>
        </w:tc>
        <w:tc>
          <w:tcPr>
            <w:tcW w:w="5540" w:type="dxa"/>
            <w:vAlign w:val="bottom"/>
          </w:tcPr>
          <w:p>
            <w:pPr>
              <w:ind w:left="4480"/>
              <w:spacing w:after="0"/>
              <w:rPr>
                <w:sz w:val="20"/>
                <w:szCs w:val="20"/>
                <w:color w:val="auto"/>
              </w:rPr>
            </w:pPr>
            <w:r>
              <w:rPr>
                <w:rFonts w:ascii="Arial" w:cs="Arial" w:eastAsia="Arial" w:hAnsi="Arial"/>
                <w:sz w:val="14"/>
                <w:szCs w:val="14"/>
                <w:color w:val="auto"/>
                <w:w w:val="90"/>
              </w:rPr>
              <w:t>February 23, 2007</w:t>
            </w:r>
          </w:p>
        </w:tc>
      </w:tr>
      <w:tr>
        <w:trPr>
          <w:trHeight w:val="176"/>
        </w:trPr>
        <w:tc>
          <w:tcPr>
            <w:tcW w:w="4220" w:type="dxa"/>
            <w:vAlign w:val="bottom"/>
          </w:tcPr>
          <w:p>
            <w:pPr>
              <w:jc w:val="center"/>
              <w:spacing w:after="0"/>
              <w:rPr>
                <w:sz w:val="20"/>
                <w:szCs w:val="20"/>
                <w:color w:val="auto"/>
              </w:rPr>
            </w:pPr>
            <w:r>
              <w:rPr>
                <w:rFonts w:ascii="Arial" w:cs="Arial" w:eastAsia="Arial" w:hAnsi="Arial"/>
                <w:sz w:val="14"/>
                <w:szCs w:val="14"/>
                <w:color w:val="auto"/>
                <w:w w:val="96"/>
              </w:rPr>
              <w:t>Reginald B. Newman, II</w:t>
            </w:r>
          </w:p>
        </w:tc>
        <w:tc>
          <w:tcPr>
            <w:tcW w:w="5540" w:type="dxa"/>
            <w:vAlign w:val="bottom"/>
          </w:tcPr>
          <w:p>
            <w:pPr>
              <w:spacing w:after="0"/>
              <w:rPr>
                <w:sz w:val="15"/>
                <w:szCs w:val="15"/>
                <w:color w:val="auto"/>
              </w:rPr>
            </w:pPr>
          </w:p>
        </w:tc>
      </w:tr>
      <w:tr>
        <w:trPr>
          <w:trHeight w:val="305"/>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J</w:t>
            </w:r>
            <w:r>
              <w:rPr>
                <w:rFonts w:ascii="Arial" w:cs="Arial" w:eastAsia="Arial" w:hAnsi="Arial"/>
                <w:sz w:val="9"/>
                <w:szCs w:val="9"/>
                <w:color w:val="auto"/>
              </w:rPr>
              <w:t>ORGE</w:t>
            </w:r>
            <w:r>
              <w:rPr>
                <w:rFonts w:ascii="Arial" w:cs="Arial" w:eastAsia="Arial" w:hAnsi="Arial"/>
                <w:sz w:val="14"/>
                <w:szCs w:val="14"/>
                <w:color w:val="auto"/>
              </w:rPr>
              <w:t xml:space="preserve"> G. P</w:t>
            </w:r>
            <w:r>
              <w:rPr>
                <w:rFonts w:ascii="Arial" w:cs="Arial" w:eastAsia="Arial" w:hAnsi="Arial"/>
                <w:sz w:val="9"/>
                <w:szCs w:val="9"/>
                <w:color w:val="auto"/>
              </w:rPr>
              <w:t>EREIRA</w:t>
            </w:r>
          </w:p>
        </w:tc>
        <w:tc>
          <w:tcPr>
            <w:tcW w:w="5540" w:type="dxa"/>
            <w:vAlign w:val="bottom"/>
          </w:tcPr>
          <w:p>
            <w:pPr>
              <w:ind w:left="4480"/>
              <w:spacing w:after="0"/>
              <w:rPr>
                <w:sz w:val="20"/>
                <w:szCs w:val="20"/>
                <w:color w:val="auto"/>
              </w:rPr>
            </w:pPr>
            <w:r>
              <w:rPr>
                <w:rFonts w:ascii="Arial" w:cs="Arial" w:eastAsia="Arial" w:hAnsi="Arial"/>
                <w:sz w:val="14"/>
                <w:szCs w:val="14"/>
                <w:color w:val="auto"/>
                <w:w w:val="90"/>
              </w:rPr>
              <w:t>February 23, 2007</w:t>
            </w:r>
          </w:p>
        </w:tc>
      </w:tr>
      <w:tr>
        <w:trPr>
          <w:trHeight w:val="176"/>
        </w:trPr>
        <w:tc>
          <w:tcPr>
            <w:tcW w:w="4220" w:type="dxa"/>
            <w:vAlign w:val="bottom"/>
          </w:tcPr>
          <w:p>
            <w:pPr>
              <w:jc w:val="center"/>
              <w:spacing w:after="0"/>
              <w:rPr>
                <w:sz w:val="20"/>
                <w:szCs w:val="20"/>
                <w:color w:val="auto"/>
              </w:rPr>
            </w:pPr>
            <w:r>
              <w:rPr>
                <w:rFonts w:ascii="Arial" w:cs="Arial" w:eastAsia="Arial" w:hAnsi="Arial"/>
                <w:sz w:val="14"/>
                <w:szCs w:val="14"/>
                <w:color w:val="auto"/>
                <w:w w:val="91"/>
              </w:rPr>
              <w:t>Jorge G. Pereira</w:t>
            </w:r>
          </w:p>
        </w:tc>
        <w:tc>
          <w:tcPr>
            <w:tcW w:w="5540" w:type="dxa"/>
            <w:vAlign w:val="bottom"/>
          </w:tcPr>
          <w:p>
            <w:pPr>
              <w:spacing w:after="0"/>
              <w:rPr>
                <w:sz w:val="15"/>
                <w:szCs w:val="15"/>
                <w:color w:val="auto"/>
              </w:rPr>
            </w:pPr>
          </w:p>
        </w:tc>
      </w:tr>
      <w:tr>
        <w:trPr>
          <w:trHeight w:val="305"/>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M</w:t>
            </w:r>
            <w:r>
              <w:rPr>
                <w:rFonts w:ascii="Arial" w:cs="Arial" w:eastAsia="Arial" w:hAnsi="Arial"/>
                <w:sz w:val="9"/>
                <w:szCs w:val="9"/>
                <w:color w:val="auto"/>
              </w:rPr>
              <w:t>ICHAEL</w:t>
            </w:r>
            <w:r>
              <w:rPr>
                <w:rFonts w:ascii="Arial" w:cs="Arial" w:eastAsia="Arial" w:hAnsi="Arial"/>
                <w:sz w:val="14"/>
                <w:szCs w:val="14"/>
                <w:color w:val="auto"/>
              </w:rPr>
              <w:t xml:space="preserve"> P. P</w:t>
            </w:r>
            <w:r>
              <w:rPr>
                <w:rFonts w:ascii="Arial" w:cs="Arial" w:eastAsia="Arial" w:hAnsi="Arial"/>
                <w:sz w:val="9"/>
                <w:szCs w:val="9"/>
                <w:color w:val="auto"/>
              </w:rPr>
              <w:t>INTO</w:t>
            </w:r>
          </w:p>
        </w:tc>
        <w:tc>
          <w:tcPr>
            <w:tcW w:w="5540" w:type="dxa"/>
            <w:vAlign w:val="bottom"/>
          </w:tcPr>
          <w:p>
            <w:pPr>
              <w:ind w:left="4480"/>
              <w:spacing w:after="0"/>
              <w:rPr>
                <w:sz w:val="20"/>
                <w:szCs w:val="20"/>
                <w:color w:val="auto"/>
              </w:rPr>
            </w:pPr>
            <w:r>
              <w:rPr>
                <w:rFonts w:ascii="Arial" w:cs="Arial" w:eastAsia="Arial" w:hAnsi="Arial"/>
                <w:sz w:val="14"/>
                <w:szCs w:val="14"/>
                <w:color w:val="auto"/>
                <w:w w:val="90"/>
              </w:rPr>
              <w:t>February 23, 2007</w:t>
            </w:r>
          </w:p>
        </w:tc>
      </w:tr>
      <w:tr>
        <w:trPr>
          <w:trHeight w:val="176"/>
        </w:trPr>
        <w:tc>
          <w:tcPr>
            <w:tcW w:w="4220" w:type="dxa"/>
            <w:vAlign w:val="bottom"/>
          </w:tcPr>
          <w:p>
            <w:pPr>
              <w:jc w:val="center"/>
              <w:spacing w:after="0"/>
              <w:rPr>
                <w:sz w:val="20"/>
                <w:szCs w:val="20"/>
                <w:color w:val="auto"/>
              </w:rPr>
            </w:pPr>
            <w:r>
              <w:rPr>
                <w:rFonts w:ascii="Arial" w:cs="Arial" w:eastAsia="Arial" w:hAnsi="Arial"/>
                <w:sz w:val="14"/>
                <w:szCs w:val="14"/>
                <w:color w:val="auto"/>
                <w:w w:val="92"/>
              </w:rPr>
              <w:t>Michael P. Pinto</w:t>
            </w:r>
          </w:p>
        </w:tc>
        <w:tc>
          <w:tcPr>
            <w:tcW w:w="5540" w:type="dxa"/>
            <w:vAlign w:val="bottom"/>
          </w:tcPr>
          <w:p>
            <w:pPr>
              <w:spacing w:after="0"/>
              <w:rPr>
                <w:sz w:val="15"/>
                <w:szCs w:val="15"/>
                <w:color w:val="auto"/>
              </w:rPr>
            </w:pPr>
          </w:p>
        </w:tc>
      </w:tr>
      <w:tr>
        <w:trPr>
          <w:trHeight w:val="305"/>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R</w:t>
            </w:r>
            <w:r>
              <w:rPr>
                <w:rFonts w:ascii="Arial" w:cs="Arial" w:eastAsia="Arial" w:hAnsi="Arial"/>
                <w:sz w:val="9"/>
                <w:szCs w:val="9"/>
                <w:color w:val="auto"/>
              </w:rPr>
              <w:t>OBERT</w:t>
            </w:r>
            <w:r>
              <w:rPr>
                <w:rFonts w:ascii="Arial" w:cs="Arial" w:eastAsia="Arial" w:hAnsi="Arial"/>
                <w:sz w:val="14"/>
                <w:szCs w:val="14"/>
                <w:color w:val="auto"/>
              </w:rPr>
              <w:t xml:space="preserve"> E. S</w:t>
            </w:r>
            <w:r>
              <w:rPr>
                <w:rFonts w:ascii="Arial" w:cs="Arial" w:eastAsia="Arial" w:hAnsi="Arial"/>
                <w:sz w:val="9"/>
                <w:szCs w:val="9"/>
                <w:color w:val="auto"/>
              </w:rPr>
              <w:t>ADLER</w:t>
            </w:r>
            <w:r>
              <w:rPr>
                <w:rFonts w:ascii="Arial" w:cs="Arial" w:eastAsia="Arial" w:hAnsi="Arial"/>
                <w:sz w:val="14"/>
                <w:szCs w:val="14"/>
                <w:color w:val="auto"/>
              </w:rPr>
              <w:t>, J</w:t>
            </w:r>
            <w:r>
              <w:rPr>
                <w:rFonts w:ascii="Arial" w:cs="Arial" w:eastAsia="Arial" w:hAnsi="Arial"/>
                <w:sz w:val="9"/>
                <w:szCs w:val="9"/>
                <w:color w:val="auto"/>
              </w:rPr>
              <w:t>R</w:t>
            </w:r>
            <w:r>
              <w:rPr>
                <w:rFonts w:ascii="Arial" w:cs="Arial" w:eastAsia="Arial" w:hAnsi="Arial"/>
                <w:sz w:val="14"/>
                <w:szCs w:val="14"/>
                <w:color w:val="auto"/>
              </w:rPr>
              <w:t>.</w:t>
            </w:r>
          </w:p>
        </w:tc>
        <w:tc>
          <w:tcPr>
            <w:tcW w:w="5540" w:type="dxa"/>
            <w:vAlign w:val="bottom"/>
          </w:tcPr>
          <w:p>
            <w:pPr>
              <w:ind w:left="4480"/>
              <w:spacing w:after="0"/>
              <w:rPr>
                <w:sz w:val="20"/>
                <w:szCs w:val="20"/>
                <w:color w:val="auto"/>
              </w:rPr>
            </w:pPr>
            <w:r>
              <w:rPr>
                <w:rFonts w:ascii="Arial" w:cs="Arial" w:eastAsia="Arial" w:hAnsi="Arial"/>
                <w:sz w:val="14"/>
                <w:szCs w:val="14"/>
                <w:color w:val="auto"/>
                <w:w w:val="90"/>
              </w:rPr>
              <w:t>February 23, 2007</w:t>
            </w:r>
          </w:p>
        </w:tc>
      </w:tr>
      <w:tr>
        <w:trPr>
          <w:trHeight w:val="176"/>
        </w:trPr>
        <w:tc>
          <w:tcPr>
            <w:tcW w:w="4220" w:type="dxa"/>
            <w:vAlign w:val="bottom"/>
          </w:tcPr>
          <w:p>
            <w:pPr>
              <w:jc w:val="center"/>
              <w:spacing w:after="0"/>
              <w:rPr>
                <w:sz w:val="20"/>
                <w:szCs w:val="20"/>
                <w:color w:val="auto"/>
              </w:rPr>
            </w:pPr>
            <w:r>
              <w:rPr>
                <w:rFonts w:ascii="Arial" w:cs="Arial" w:eastAsia="Arial" w:hAnsi="Arial"/>
                <w:sz w:val="14"/>
                <w:szCs w:val="14"/>
                <w:color w:val="auto"/>
                <w:w w:val="89"/>
              </w:rPr>
              <w:t>Robert E. Sadler, Jr.</w:t>
            </w:r>
          </w:p>
        </w:tc>
        <w:tc>
          <w:tcPr>
            <w:tcW w:w="5540" w:type="dxa"/>
            <w:vAlign w:val="bottom"/>
          </w:tcPr>
          <w:p>
            <w:pPr>
              <w:spacing w:after="0"/>
              <w:rPr>
                <w:sz w:val="15"/>
                <w:szCs w:val="15"/>
                <w:color w:val="auto"/>
              </w:rPr>
            </w:pPr>
          </w:p>
        </w:tc>
      </w:tr>
      <w:tr>
        <w:trPr>
          <w:trHeight w:val="305"/>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E</w:t>
            </w:r>
            <w:r>
              <w:rPr>
                <w:rFonts w:ascii="Arial" w:cs="Arial" w:eastAsia="Arial" w:hAnsi="Arial"/>
                <w:sz w:val="9"/>
                <w:szCs w:val="9"/>
                <w:color w:val="auto"/>
              </w:rPr>
              <w:t>UGENE</w:t>
            </w:r>
            <w:r>
              <w:rPr>
                <w:rFonts w:ascii="Arial" w:cs="Arial" w:eastAsia="Arial" w:hAnsi="Arial"/>
                <w:sz w:val="14"/>
                <w:szCs w:val="14"/>
                <w:color w:val="auto"/>
              </w:rPr>
              <w:t xml:space="preserve"> J. S</w:t>
            </w:r>
            <w:r>
              <w:rPr>
                <w:rFonts w:ascii="Arial" w:cs="Arial" w:eastAsia="Arial" w:hAnsi="Arial"/>
                <w:sz w:val="9"/>
                <w:szCs w:val="9"/>
                <w:color w:val="auto"/>
              </w:rPr>
              <w:t>HEEHY</w:t>
            </w:r>
          </w:p>
        </w:tc>
        <w:tc>
          <w:tcPr>
            <w:tcW w:w="5540" w:type="dxa"/>
            <w:vAlign w:val="bottom"/>
          </w:tcPr>
          <w:p>
            <w:pPr>
              <w:ind w:left="4480"/>
              <w:spacing w:after="0"/>
              <w:rPr>
                <w:sz w:val="20"/>
                <w:szCs w:val="20"/>
                <w:color w:val="auto"/>
              </w:rPr>
            </w:pPr>
            <w:r>
              <w:rPr>
                <w:rFonts w:ascii="Arial" w:cs="Arial" w:eastAsia="Arial" w:hAnsi="Arial"/>
                <w:sz w:val="14"/>
                <w:szCs w:val="14"/>
                <w:color w:val="auto"/>
                <w:w w:val="90"/>
              </w:rPr>
              <w:t>February 23, 2007</w:t>
            </w:r>
          </w:p>
        </w:tc>
      </w:tr>
      <w:tr>
        <w:trPr>
          <w:trHeight w:val="176"/>
        </w:trPr>
        <w:tc>
          <w:tcPr>
            <w:tcW w:w="4220" w:type="dxa"/>
            <w:vAlign w:val="bottom"/>
          </w:tcPr>
          <w:p>
            <w:pPr>
              <w:jc w:val="center"/>
              <w:spacing w:after="0"/>
              <w:rPr>
                <w:sz w:val="20"/>
                <w:szCs w:val="20"/>
                <w:color w:val="auto"/>
              </w:rPr>
            </w:pPr>
            <w:r>
              <w:rPr>
                <w:rFonts w:ascii="Arial" w:cs="Arial" w:eastAsia="Arial" w:hAnsi="Arial"/>
                <w:sz w:val="14"/>
                <w:szCs w:val="14"/>
                <w:color w:val="auto"/>
                <w:w w:val="89"/>
              </w:rPr>
              <w:t>Eugene J. Sheehy</w:t>
            </w:r>
          </w:p>
        </w:tc>
        <w:tc>
          <w:tcPr>
            <w:tcW w:w="5540" w:type="dxa"/>
            <w:vAlign w:val="bottom"/>
          </w:tcPr>
          <w:p>
            <w:pPr>
              <w:spacing w:after="0"/>
              <w:rPr>
                <w:sz w:val="15"/>
                <w:szCs w:val="15"/>
                <w:color w:val="auto"/>
              </w:rPr>
            </w:pPr>
          </w:p>
        </w:tc>
      </w:tr>
      <w:tr>
        <w:trPr>
          <w:trHeight w:val="305"/>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S</w:t>
            </w:r>
            <w:r>
              <w:rPr>
                <w:rFonts w:ascii="Arial" w:cs="Arial" w:eastAsia="Arial" w:hAnsi="Arial"/>
                <w:sz w:val="9"/>
                <w:szCs w:val="9"/>
                <w:color w:val="auto"/>
              </w:rPr>
              <w:t>TEPHEN</w:t>
            </w:r>
            <w:r>
              <w:rPr>
                <w:rFonts w:ascii="Arial" w:cs="Arial" w:eastAsia="Arial" w:hAnsi="Arial"/>
                <w:sz w:val="14"/>
                <w:szCs w:val="14"/>
                <w:color w:val="auto"/>
              </w:rPr>
              <w:t xml:space="preserve"> G. S</w:t>
            </w:r>
            <w:r>
              <w:rPr>
                <w:rFonts w:ascii="Arial" w:cs="Arial" w:eastAsia="Arial" w:hAnsi="Arial"/>
                <w:sz w:val="9"/>
                <w:szCs w:val="9"/>
                <w:color w:val="auto"/>
              </w:rPr>
              <w:t>HEETZ</w:t>
            </w:r>
          </w:p>
        </w:tc>
        <w:tc>
          <w:tcPr>
            <w:tcW w:w="5540" w:type="dxa"/>
            <w:vAlign w:val="bottom"/>
          </w:tcPr>
          <w:p>
            <w:pPr>
              <w:ind w:left="4480"/>
              <w:spacing w:after="0"/>
              <w:rPr>
                <w:sz w:val="20"/>
                <w:szCs w:val="20"/>
                <w:color w:val="auto"/>
              </w:rPr>
            </w:pPr>
            <w:r>
              <w:rPr>
                <w:rFonts w:ascii="Arial" w:cs="Arial" w:eastAsia="Arial" w:hAnsi="Arial"/>
                <w:sz w:val="14"/>
                <w:szCs w:val="14"/>
                <w:color w:val="auto"/>
                <w:w w:val="90"/>
              </w:rPr>
              <w:t>February 23, 2007</w:t>
            </w:r>
          </w:p>
        </w:tc>
      </w:tr>
      <w:tr>
        <w:trPr>
          <w:trHeight w:val="176"/>
        </w:trPr>
        <w:tc>
          <w:tcPr>
            <w:tcW w:w="4220" w:type="dxa"/>
            <w:vAlign w:val="bottom"/>
          </w:tcPr>
          <w:p>
            <w:pPr>
              <w:jc w:val="center"/>
              <w:spacing w:after="0"/>
              <w:rPr>
                <w:sz w:val="20"/>
                <w:szCs w:val="20"/>
                <w:color w:val="auto"/>
              </w:rPr>
            </w:pPr>
            <w:r>
              <w:rPr>
                <w:rFonts w:ascii="Arial" w:cs="Arial" w:eastAsia="Arial" w:hAnsi="Arial"/>
                <w:sz w:val="14"/>
                <w:szCs w:val="14"/>
                <w:color w:val="auto"/>
                <w:w w:val="89"/>
              </w:rPr>
              <w:t>Stephen G. Sheetz</w:t>
            </w:r>
          </w:p>
        </w:tc>
        <w:tc>
          <w:tcPr>
            <w:tcW w:w="5540" w:type="dxa"/>
            <w:vAlign w:val="bottom"/>
          </w:tcPr>
          <w:p>
            <w:pPr>
              <w:spacing w:after="0"/>
              <w:rPr>
                <w:sz w:val="15"/>
                <w:szCs w:val="15"/>
                <w:color w:val="auto"/>
              </w:rPr>
            </w:pPr>
          </w:p>
        </w:tc>
      </w:tr>
      <w:tr>
        <w:trPr>
          <w:trHeight w:val="305"/>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H</w:t>
            </w:r>
            <w:r>
              <w:rPr>
                <w:rFonts w:ascii="Arial" w:cs="Arial" w:eastAsia="Arial" w:hAnsi="Arial"/>
                <w:sz w:val="9"/>
                <w:szCs w:val="9"/>
                <w:color w:val="auto"/>
              </w:rPr>
              <w:t>ERBERT</w:t>
            </w:r>
            <w:r>
              <w:rPr>
                <w:rFonts w:ascii="Arial" w:cs="Arial" w:eastAsia="Arial" w:hAnsi="Arial"/>
                <w:sz w:val="14"/>
                <w:szCs w:val="14"/>
                <w:color w:val="auto"/>
              </w:rPr>
              <w:t xml:space="preserve"> L. W</w:t>
            </w:r>
            <w:r>
              <w:rPr>
                <w:rFonts w:ascii="Arial" w:cs="Arial" w:eastAsia="Arial" w:hAnsi="Arial"/>
                <w:sz w:val="9"/>
                <w:szCs w:val="9"/>
                <w:color w:val="auto"/>
              </w:rPr>
              <w:t>ASHINGTON</w:t>
            </w:r>
          </w:p>
        </w:tc>
        <w:tc>
          <w:tcPr>
            <w:tcW w:w="5540" w:type="dxa"/>
            <w:vAlign w:val="bottom"/>
          </w:tcPr>
          <w:p>
            <w:pPr>
              <w:ind w:left="4480"/>
              <w:spacing w:after="0"/>
              <w:rPr>
                <w:sz w:val="20"/>
                <w:szCs w:val="20"/>
                <w:color w:val="auto"/>
              </w:rPr>
            </w:pPr>
            <w:r>
              <w:rPr>
                <w:rFonts w:ascii="Arial" w:cs="Arial" w:eastAsia="Arial" w:hAnsi="Arial"/>
                <w:sz w:val="14"/>
                <w:szCs w:val="14"/>
                <w:color w:val="auto"/>
                <w:w w:val="90"/>
              </w:rPr>
              <w:t>February 23, 2007</w:t>
            </w:r>
          </w:p>
        </w:tc>
      </w:tr>
      <w:tr>
        <w:trPr>
          <w:trHeight w:val="176"/>
        </w:trPr>
        <w:tc>
          <w:tcPr>
            <w:tcW w:w="4220" w:type="dxa"/>
            <w:vAlign w:val="bottom"/>
          </w:tcPr>
          <w:p>
            <w:pPr>
              <w:jc w:val="center"/>
              <w:spacing w:after="0"/>
              <w:rPr>
                <w:sz w:val="20"/>
                <w:szCs w:val="20"/>
                <w:color w:val="auto"/>
              </w:rPr>
            </w:pPr>
            <w:r>
              <w:rPr>
                <w:rFonts w:ascii="Arial" w:cs="Arial" w:eastAsia="Arial" w:hAnsi="Arial"/>
                <w:sz w:val="14"/>
                <w:szCs w:val="14"/>
                <w:color w:val="auto"/>
                <w:w w:val="94"/>
              </w:rPr>
              <w:t>Herbert L. Washington</w:t>
            </w:r>
          </w:p>
        </w:tc>
        <w:tc>
          <w:tcPr>
            <w:tcW w:w="5540" w:type="dxa"/>
            <w:vAlign w:val="bottom"/>
          </w:tcPr>
          <w:p>
            <w:pPr>
              <w:spacing w:after="0"/>
              <w:rPr>
                <w:sz w:val="15"/>
                <w:szCs w:val="15"/>
                <w:color w:val="auto"/>
              </w:rPr>
            </w:pPr>
          </w:p>
        </w:tc>
      </w:tr>
      <w:tr>
        <w:trPr>
          <w:trHeight w:val="305"/>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/s/ R</w:t>
            </w:r>
            <w:r>
              <w:rPr>
                <w:rFonts w:ascii="Arial" w:cs="Arial" w:eastAsia="Arial" w:hAnsi="Arial"/>
                <w:sz w:val="9"/>
                <w:szCs w:val="9"/>
                <w:color w:val="auto"/>
              </w:rPr>
              <w:t>OBERT</w:t>
            </w:r>
            <w:r>
              <w:rPr>
                <w:rFonts w:ascii="Arial" w:cs="Arial" w:eastAsia="Arial" w:hAnsi="Arial"/>
                <w:sz w:val="14"/>
                <w:szCs w:val="14"/>
                <w:color w:val="auto"/>
              </w:rPr>
              <w:t xml:space="preserve"> G. W</w:t>
            </w:r>
            <w:r>
              <w:rPr>
                <w:rFonts w:ascii="Arial" w:cs="Arial" w:eastAsia="Arial" w:hAnsi="Arial"/>
                <w:sz w:val="9"/>
                <w:szCs w:val="9"/>
                <w:color w:val="auto"/>
              </w:rPr>
              <w:t>ILMERS</w:t>
            </w:r>
          </w:p>
        </w:tc>
        <w:tc>
          <w:tcPr>
            <w:tcW w:w="5540" w:type="dxa"/>
            <w:vAlign w:val="bottom"/>
          </w:tcPr>
          <w:p>
            <w:pPr>
              <w:ind w:left="4480"/>
              <w:spacing w:after="0"/>
              <w:rPr>
                <w:sz w:val="20"/>
                <w:szCs w:val="20"/>
                <w:color w:val="auto"/>
              </w:rPr>
            </w:pPr>
            <w:r>
              <w:rPr>
                <w:rFonts w:ascii="Arial" w:cs="Arial" w:eastAsia="Arial" w:hAnsi="Arial"/>
                <w:sz w:val="14"/>
                <w:szCs w:val="14"/>
                <w:color w:val="auto"/>
                <w:w w:val="90"/>
              </w:rPr>
              <w:t>February 23, 2007</w:t>
            </w:r>
          </w:p>
        </w:tc>
      </w:tr>
      <w:tr>
        <w:trPr>
          <w:trHeight w:val="176"/>
        </w:trPr>
        <w:tc>
          <w:tcPr>
            <w:tcW w:w="4220" w:type="dxa"/>
            <w:vAlign w:val="bottom"/>
          </w:tcPr>
          <w:p>
            <w:pPr>
              <w:jc w:val="center"/>
              <w:spacing w:after="0"/>
              <w:rPr>
                <w:sz w:val="20"/>
                <w:szCs w:val="20"/>
                <w:color w:val="auto"/>
              </w:rPr>
            </w:pPr>
            <w:r>
              <w:rPr>
                <w:rFonts w:ascii="Arial" w:cs="Arial" w:eastAsia="Arial" w:hAnsi="Arial"/>
                <w:sz w:val="14"/>
                <w:szCs w:val="14"/>
                <w:color w:val="auto"/>
                <w:w w:val="95"/>
              </w:rPr>
              <w:t>Robert G. Wilmers</w:t>
            </w:r>
          </w:p>
        </w:tc>
        <w:tc>
          <w:tcPr>
            <w:tcW w:w="5540" w:type="dxa"/>
            <w:vAlign w:val="bottom"/>
          </w:tcPr>
          <w:p>
            <w:pPr>
              <w:spacing w:after="0"/>
              <w:rPr>
                <w:sz w:val="15"/>
                <w:szCs w:val="15"/>
                <w:color w:val="auto"/>
              </w:rPr>
            </w:pPr>
          </w:p>
        </w:tc>
      </w:tr>
    </w:tbl>
    <w:p>
      <w:pPr>
        <w:spacing w:after="0" w:line="129" w:lineRule="exact"/>
        <w:rPr>
          <w:sz w:val="20"/>
          <w:szCs w:val="20"/>
          <w:color w:val="auto"/>
        </w:rPr>
      </w:pPr>
    </w:p>
    <w:p>
      <w:pPr>
        <w:ind w:left="680"/>
        <w:spacing w:after="0"/>
        <w:rPr>
          <w:sz w:val="20"/>
          <w:szCs w:val="20"/>
          <w:color w:val="auto"/>
        </w:rPr>
      </w:pPr>
      <w:r>
        <w:rPr>
          <w:rFonts w:ascii="Arial" w:cs="Arial" w:eastAsia="Arial" w:hAnsi="Arial"/>
          <w:sz w:val="10"/>
          <w:szCs w:val="10"/>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90435"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440"/>
          </w:cols>
          <w:pgMar w:left="220" w:top="343" w:right="1239" w:bottom="1440" w:gutter="0" w:footer="0" w:header="0"/>
        </w:sectPr>
      </w:pPr>
    </w:p>
    <w:bookmarkStart w:id="135" w:name="page136"/>
    <w:bookmarkEnd w:id="1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9"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EXHIBIT INDEX</w:t>
      </w:r>
    </w:p>
    <w:p>
      <w:pPr>
        <w:spacing w:after="0" w:line="344" w:lineRule="exact"/>
        <w:rPr>
          <w:sz w:val="20"/>
          <w:szCs w:val="20"/>
          <w:color w:val="auto"/>
        </w:rPr>
      </w:pPr>
    </w:p>
    <w:p>
      <w:pPr>
        <w:ind w:left="940"/>
        <w:spacing w:after="0"/>
        <w:tabs>
          <w:tab w:leader="none" w:pos="138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3"/>
          <w:szCs w:val="13"/>
          <w:color w:val="auto"/>
        </w:rPr>
        <w:t>Agreement and Plan of Reorganization, dated as of September 26, 2002, by and among M</w:t>
      </w:r>
      <w:r>
        <w:rPr>
          <w:rFonts w:ascii="Arial" w:cs="Arial" w:eastAsia="Arial" w:hAnsi="Arial"/>
          <w:sz w:val="12"/>
          <w:szCs w:val="12"/>
          <w:color w:val="auto"/>
        </w:rPr>
        <w:t>&amp;T Bank Corporation, Allied Irish Banks, p.l.c. and Allfirst Financial Inc.</w:t>
      </w:r>
    </w:p>
    <w:p>
      <w:pPr>
        <w:spacing w:after="0" w:line="20" w:lineRule="exact"/>
        <w:rPr>
          <w:sz w:val="20"/>
          <w:szCs w:val="20"/>
          <w:color w:val="auto"/>
        </w:rPr>
      </w:pPr>
    </w:p>
    <w:p>
      <w:pPr>
        <w:ind w:left="1400"/>
        <w:spacing w:after="0"/>
        <w:rPr>
          <w:sz w:val="20"/>
          <w:szCs w:val="20"/>
          <w:color w:val="auto"/>
        </w:rPr>
      </w:pPr>
      <w:r>
        <w:rPr>
          <w:rFonts w:ascii="Arial" w:cs="Arial" w:eastAsia="Arial" w:hAnsi="Arial"/>
          <w:sz w:val="13"/>
          <w:szCs w:val="13"/>
          <w:color w:val="auto"/>
        </w:rPr>
        <w:t>Incorporated by reference to Exhibit 2 to the Form 8-K dated September 26, 2002 (File No. 1-9861).</w:t>
      </w:r>
    </w:p>
    <w:p>
      <w:pPr>
        <w:spacing w:after="0" w:line="5" w:lineRule="exact"/>
        <w:rPr>
          <w:sz w:val="20"/>
          <w:szCs w:val="20"/>
          <w:color w:val="auto"/>
        </w:rPr>
      </w:pPr>
    </w:p>
    <w:p>
      <w:pPr>
        <w:ind w:left="1400" w:right="340" w:hanging="464"/>
        <w:spacing w:after="0" w:line="241" w:lineRule="auto"/>
        <w:tabs>
          <w:tab w:leader="none" w:pos="138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4"/>
          <w:szCs w:val="14"/>
          <w:color w:val="auto"/>
        </w:rPr>
        <w:t>Restated Certificate of Incorporation of M</w:t>
      </w:r>
      <w:r>
        <w:rPr>
          <w:rFonts w:ascii="Arial" w:cs="Arial" w:eastAsia="Arial" w:hAnsi="Arial"/>
          <w:sz w:val="13"/>
          <w:szCs w:val="13"/>
          <w:color w:val="auto"/>
        </w:rPr>
        <w:t>&amp;T Bank Corporation dated May 29, 1998. Incorporated by reference to Exhibit 3.1 to the Form 10-Q for the quarter ended</w:t>
      </w:r>
      <w:r>
        <w:rPr>
          <w:rFonts w:ascii="Arial" w:cs="Arial" w:eastAsia="Arial" w:hAnsi="Arial"/>
          <w:sz w:val="14"/>
          <w:szCs w:val="14"/>
          <w:color w:val="auto"/>
        </w:rPr>
        <w:t xml:space="preserve"> </w:t>
      </w:r>
      <w:r>
        <w:rPr>
          <w:rFonts w:ascii="Arial" w:cs="Arial" w:eastAsia="Arial" w:hAnsi="Arial"/>
          <w:sz w:val="13"/>
          <w:szCs w:val="13"/>
          <w:color w:val="auto"/>
        </w:rPr>
        <w:t>June 30, 1998 (File No. 1-9861).</w:t>
      </w:r>
    </w:p>
    <w:p>
      <w:pPr>
        <w:spacing w:after="0" w:line="1" w:lineRule="exact"/>
        <w:rPr>
          <w:sz w:val="20"/>
          <w:szCs w:val="20"/>
          <w:color w:val="auto"/>
        </w:rPr>
      </w:pPr>
    </w:p>
    <w:p>
      <w:pPr>
        <w:ind w:left="1400" w:right="600" w:hanging="464"/>
        <w:spacing w:after="0" w:line="241" w:lineRule="auto"/>
        <w:tabs>
          <w:tab w:leader="none" w:pos="138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Certificate of Amendment of the Certificate of Incorporation of M</w:t>
      </w:r>
      <w:r>
        <w:rPr>
          <w:rFonts w:ascii="Arial" w:cs="Arial" w:eastAsia="Arial" w:hAnsi="Arial"/>
          <w:sz w:val="13"/>
          <w:szCs w:val="13"/>
          <w:color w:val="auto"/>
        </w:rPr>
        <w:t>&amp;T Bank Corporation dated October 2, 2000. Incorporated by reference to Exhibit 3.2 to the</w:t>
      </w:r>
      <w:r>
        <w:rPr>
          <w:rFonts w:ascii="Arial" w:cs="Arial" w:eastAsia="Arial" w:hAnsi="Arial"/>
          <w:sz w:val="14"/>
          <w:szCs w:val="14"/>
          <w:color w:val="auto"/>
        </w:rPr>
        <w:t xml:space="preserve"> </w:t>
      </w:r>
      <w:r>
        <w:rPr>
          <w:rFonts w:ascii="Arial" w:cs="Arial" w:eastAsia="Arial" w:hAnsi="Arial"/>
          <w:sz w:val="13"/>
          <w:szCs w:val="13"/>
          <w:color w:val="auto"/>
        </w:rPr>
        <w:t>Form 10-K for the year ended December 31, 2000 (File No. 1-9861).</w:t>
      </w:r>
    </w:p>
    <w:p>
      <w:pPr>
        <w:spacing w:after="0" w:line="1" w:lineRule="exact"/>
        <w:rPr>
          <w:sz w:val="20"/>
          <w:szCs w:val="20"/>
          <w:color w:val="auto"/>
        </w:rPr>
      </w:pPr>
    </w:p>
    <w:p>
      <w:pPr>
        <w:ind w:left="1400" w:right="80" w:hanging="464"/>
        <w:spacing w:after="0" w:line="241" w:lineRule="auto"/>
        <w:tabs>
          <w:tab w:leader="none" w:pos="1380" w:val="left"/>
        </w:tabs>
        <w:rPr>
          <w:sz w:val="20"/>
          <w:szCs w:val="20"/>
          <w:color w:val="auto"/>
        </w:rPr>
      </w:pPr>
      <w:r>
        <w:rPr>
          <w:rFonts w:ascii="Arial" w:cs="Arial" w:eastAsia="Arial" w:hAnsi="Arial"/>
          <w:sz w:val="14"/>
          <w:szCs w:val="14"/>
          <w:color w:val="auto"/>
        </w:rPr>
        <w:t>3.3</w:t>
      </w:r>
      <w:r>
        <w:rPr>
          <w:sz w:val="20"/>
          <w:szCs w:val="20"/>
          <w:color w:val="auto"/>
        </w:rPr>
        <w:tab/>
      </w:r>
      <w:r>
        <w:rPr>
          <w:rFonts w:ascii="Arial" w:cs="Arial" w:eastAsia="Arial" w:hAnsi="Arial"/>
          <w:sz w:val="14"/>
          <w:szCs w:val="14"/>
          <w:color w:val="auto"/>
        </w:rPr>
        <w:t>Certificate of Amendment to the Certificate of Incorporation of M</w:t>
      </w:r>
      <w:r>
        <w:rPr>
          <w:rFonts w:ascii="Arial" w:cs="Arial" w:eastAsia="Arial" w:hAnsi="Arial"/>
          <w:sz w:val="13"/>
          <w:szCs w:val="13"/>
          <w:color w:val="auto"/>
        </w:rPr>
        <w:t>&amp;T Bank Corporation dated March 4, 2003, effective as of March 25, 2003. Incorporated by reference</w:t>
      </w:r>
      <w:r>
        <w:rPr>
          <w:rFonts w:ascii="Arial" w:cs="Arial" w:eastAsia="Arial" w:hAnsi="Arial"/>
          <w:sz w:val="14"/>
          <w:szCs w:val="14"/>
          <w:color w:val="auto"/>
        </w:rPr>
        <w:t xml:space="preserve"> </w:t>
      </w:r>
      <w:r>
        <w:rPr>
          <w:rFonts w:ascii="Arial" w:cs="Arial" w:eastAsia="Arial" w:hAnsi="Arial"/>
          <w:sz w:val="13"/>
          <w:szCs w:val="13"/>
          <w:color w:val="auto"/>
        </w:rPr>
        <w:t>to Exhibit 3.3 to the Form 10-Q for the quarter ended March 31, 2003 (File No. 1-9861).</w:t>
      </w:r>
    </w:p>
    <w:p>
      <w:pPr>
        <w:spacing w:after="0" w:line="1" w:lineRule="exact"/>
        <w:rPr>
          <w:sz w:val="20"/>
          <w:szCs w:val="20"/>
          <w:color w:val="auto"/>
        </w:rPr>
      </w:pPr>
    </w:p>
    <w:p>
      <w:pPr>
        <w:ind w:left="1400" w:right="20" w:hanging="464"/>
        <w:spacing w:after="0" w:line="241" w:lineRule="auto"/>
        <w:tabs>
          <w:tab w:leader="none" w:pos="1380"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4"/>
          <w:szCs w:val="14"/>
          <w:color w:val="auto"/>
        </w:rPr>
        <w:t>Certificate of Amendment to the Certificate of Incorporation of M</w:t>
      </w:r>
      <w:r>
        <w:rPr>
          <w:rFonts w:ascii="Arial" w:cs="Arial" w:eastAsia="Arial" w:hAnsi="Arial"/>
          <w:sz w:val="13"/>
          <w:szCs w:val="13"/>
          <w:color w:val="auto"/>
        </w:rPr>
        <w:t>&amp;T Bank Corporation dated March 28, 2003, effective as of April 1, 2003. Incorporated by reference to</w:t>
      </w:r>
      <w:r>
        <w:rPr>
          <w:rFonts w:ascii="Arial" w:cs="Arial" w:eastAsia="Arial" w:hAnsi="Arial"/>
          <w:sz w:val="14"/>
          <w:szCs w:val="14"/>
          <w:color w:val="auto"/>
        </w:rPr>
        <w:t xml:space="preserve"> </w:t>
      </w:r>
      <w:r>
        <w:rPr>
          <w:rFonts w:ascii="Arial" w:cs="Arial" w:eastAsia="Arial" w:hAnsi="Arial"/>
          <w:sz w:val="13"/>
          <w:szCs w:val="13"/>
          <w:color w:val="auto"/>
        </w:rPr>
        <w:t>Exhibit 3.4 to the Form 10-Q for the quarter ended March 31, 2003 (File No. 1-9861).</w:t>
      </w:r>
    </w:p>
    <w:p>
      <w:pPr>
        <w:spacing w:after="0" w:line="1" w:lineRule="exact"/>
        <w:rPr>
          <w:sz w:val="20"/>
          <w:szCs w:val="20"/>
          <w:color w:val="auto"/>
        </w:rPr>
      </w:pPr>
    </w:p>
    <w:p>
      <w:pPr>
        <w:ind w:left="1400" w:right="100" w:hanging="464"/>
        <w:spacing w:after="0" w:line="241" w:lineRule="auto"/>
        <w:tabs>
          <w:tab w:leader="none" w:pos="1380" w:val="left"/>
        </w:tabs>
        <w:rPr>
          <w:sz w:val="20"/>
          <w:szCs w:val="20"/>
          <w:color w:val="auto"/>
        </w:rPr>
      </w:pPr>
      <w:r>
        <w:rPr>
          <w:rFonts w:ascii="Arial" w:cs="Arial" w:eastAsia="Arial" w:hAnsi="Arial"/>
          <w:sz w:val="14"/>
          <w:szCs w:val="14"/>
          <w:color w:val="auto"/>
        </w:rPr>
        <w:t>3.5</w:t>
      </w:r>
      <w:r>
        <w:rPr>
          <w:sz w:val="20"/>
          <w:szCs w:val="20"/>
          <w:color w:val="auto"/>
        </w:rPr>
        <w:tab/>
      </w:r>
      <w:r>
        <w:rPr>
          <w:rFonts w:ascii="Arial" w:cs="Arial" w:eastAsia="Arial" w:hAnsi="Arial"/>
          <w:sz w:val="14"/>
          <w:szCs w:val="14"/>
          <w:color w:val="auto"/>
        </w:rPr>
        <w:t>Amended and Restated Bylaws of M</w:t>
      </w:r>
      <w:r>
        <w:rPr>
          <w:rFonts w:ascii="Arial" w:cs="Arial" w:eastAsia="Arial" w:hAnsi="Arial"/>
          <w:sz w:val="13"/>
          <w:szCs w:val="13"/>
          <w:color w:val="auto"/>
        </w:rPr>
        <w:t>&amp;T Bank Corporation, effective February 20, 2007. Incorporated by reference to Exhibit 3.5 to the Form 8-K dated February 20, 2007</w:t>
      </w:r>
      <w:r>
        <w:rPr>
          <w:rFonts w:ascii="Arial" w:cs="Arial" w:eastAsia="Arial" w:hAnsi="Arial"/>
          <w:sz w:val="14"/>
          <w:szCs w:val="14"/>
          <w:color w:val="auto"/>
        </w:rPr>
        <w:t xml:space="preserve"> </w:t>
      </w:r>
      <w:r>
        <w:rPr>
          <w:rFonts w:ascii="Arial" w:cs="Arial" w:eastAsia="Arial" w:hAnsi="Arial"/>
          <w:sz w:val="13"/>
          <w:szCs w:val="13"/>
          <w:color w:val="auto"/>
        </w:rPr>
        <w:t>(File No. 1-9861).</w:t>
      </w:r>
    </w:p>
    <w:p>
      <w:pPr>
        <w:spacing w:after="0" w:line="1" w:lineRule="exact"/>
        <w:rPr>
          <w:sz w:val="20"/>
          <w:szCs w:val="20"/>
          <w:color w:val="auto"/>
        </w:rPr>
      </w:pPr>
    </w:p>
    <w:p>
      <w:pPr>
        <w:ind w:left="1400" w:right="80" w:hanging="464"/>
        <w:spacing w:after="0" w:line="246" w:lineRule="auto"/>
        <w:tabs>
          <w:tab w:leader="none" w:pos="138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color w:val="auto"/>
        </w:rPr>
        <w:t>Instruments defining the rights of security holders, including indentures. Incorporated by reference to Exhibits 3.1 through 3.5, 10.1 through 10.5 and 10.15 through 10.29 hereof. Except as set forth in Exhibits 4.2 through 4.33 below, the instruments defining the rights of holders of long-term debt securities of M</w:t>
      </w:r>
      <w:r>
        <w:rPr>
          <w:rFonts w:ascii="Arial" w:cs="Arial" w:eastAsia="Arial" w:hAnsi="Arial"/>
          <w:sz w:val="13"/>
          <w:szCs w:val="13"/>
          <w:color w:val="auto"/>
        </w:rPr>
        <w:t>&amp;T</w:t>
      </w:r>
      <w:r>
        <w:rPr>
          <w:rFonts w:ascii="Arial" w:cs="Arial" w:eastAsia="Arial" w:hAnsi="Arial"/>
          <w:sz w:val="14"/>
          <w:szCs w:val="14"/>
          <w:color w:val="auto"/>
        </w:rPr>
        <w:t xml:space="preserve"> </w:t>
      </w:r>
      <w:r>
        <w:rPr>
          <w:rFonts w:ascii="Arial" w:cs="Arial" w:eastAsia="Arial" w:hAnsi="Arial"/>
          <w:sz w:val="13"/>
          <w:szCs w:val="13"/>
          <w:color w:val="auto"/>
        </w:rPr>
        <w:t>Bank Corporation are omitted pursuant to section (b)(4)(iii) of Item 601 of Regulation S-K. M&amp;T Bank Corporation hereby agrees to furnish copies of these instruments to the S.E.C. upon request.</w:t>
      </w:r>
    </w:p>
    <w:p>
      <w:pPr>
        <w:ind w:left="1400" w:right="60" w:hanging="464"/>
        <w:spacing w:after="0" w:line="241" w:lineRule="auto"/>
        <w:tabs>
          <w:tab w:leader="none" w:pos="138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4"/>
          <w:szCs w:val="14"/>
          <w:color w:val="auto"/>
        </w:rPr>
        <w:t>Amended and Restated Trust Agreement dated as of January 31, 1997 by and among M</w:t>
      </w:r>
      <w:r>
        <w:rPr>
          <w:rFonts w:ascii="Arial" w:cs="Arial" w:eastAsia="Arial" w:hAnsi="Arial"/>
          <w:sz w:val="13"/>
          <w:szCs w:val="13"/>
          <w:color w:val="auto"/>
        </w:rPr>
        <w:t>&amp;T Bank Corporation, Bankers Trust Company, Bankers Trust (Delaware), and</w:t>
      </w:r>
      <w:r>
        <w:rPr>
          <w:rFonts w:ascii="Arial" w:cs="Arial" w:eastAsia="Arial" w:hAnsi="Arial"/>
          <w:sz w:val="14"/>
          <w:szCs w:val="14"/>
          <w:color w:val="auto"/>
        </w:rPr>
        <w:t xml:space="preserve"> </w:t>
      </w:r>
      <w:r>
        <w:rPr>
          <w:rFonts w:ascii="Arial" w:cs="Arial" w:eastAsia="Arial" w:hAnsi="Arial"/>
          <w:sz w:val="13"/>
          <w:szCs w:val="13"/>
          <w:color w:val="auto"/>
        </w:rPr>
        <w:t>the Administrators named therein. Incorporated by reference to Exhibit 4.1 to the Form 8-K dated January 31, 1997 (File No. 1-9861).</w:t>
      </w:r>
    </w:p>
    <w:p>
      <w:pPr>
        <w:spacing w:after="0" w:line="1" w:lineRule="exact"/>
        <w:rPr>
          <w:sz w:val="20"/>
          <w:szCs w:val="20"/>
          <w:color w:val="auto"/>
        </w:rPr>
      </w:pPr>
    </w:p>
    <w:p>
      <w:pPr>
        <w:jc w:val="center"/>
        <w:ind w:right="-899"/>
        <w:spacing w:after="0"/>
        <w:tabs>
          <w:tab w:leader="none" w:pos="260" w:val="left"/>
        </w:tabs>
        <w:rPr>
          <w:sz w:val="20"/>
          <w:szCs w:val="20"/>
          <w:color w:val="auto"/>
        </w:rPr>
      </w:pPr>
      <w:r>
        <w:rPr>
          <w:rFonts w:ascii="Arial" w:cs="Arial" w:eastAsia="Arial" w:hAnsi="Arial"/>
          <w:sz w:val="14"/>
          <w:szCs w:val="14"/>
          <w:color w:val="auto"/>
        </w:rPr>
        <w:t>4.3</w:t>
      </w:r>
      <w:r>
        <w:rPr>
          <w:sz w:val="20"/>
          <w:szCs w:val="20"/>
          <w:color w:val="auto"/>
        </w:rPr>
        <w:tab/>
      </w:r>
      <w:r>
        <w:rPr>
          <w:rFonts w:ascii="Arial" w:cs="Arial" w:eastAsia="Arial" w:hAnsi="Arial"/>
          <w:sz w:val="12"/>
          <w:szCs w:val="12"/>
          <w:color w:val="auto"/>
        </w:rPr>
        <w:t>Amendment to Amended and Restated Trust Agreement dated as of January 31, 1997 by and among M</w:t>
      </w:r>
      <w:r>
        <w:rPr>
          <w:rFonts w:ascii="Arial" w:cs="Arial" w:eastAsia="Arial" w:hAnsi="Arial"/>
          <w:sz w:val="11"/>
          <w:szCs w:val="11"/>
          <w:color w:val="auto"/>
        </w:rPr>
        <w:t>&amp;T Bank Corporation, Bankers Trust Company, Bankers Trust</w:t>
      </w:r>
    </w:p>
    <w:p>
      <w:pPr>
        <w:spacing w:after="0" w:line="9" w:lineRule="exact"/>
        <w:rPr>
          <w:sz w:val="20"/>
          <w:szCs w:val="20"/>
          <w:color w:val="auto"/>
        </w:rPr>
      </w:pPr>
    </w:p>
    <w:p>
      <w:pPr>
        <w:ind w:left="940" w:right="480" w:firstLine="465"/>
        <w:spacing w:after="0" w:line="282" w:lineRule="auto"/>
        <w:rPr>
          <w:sz w:val="20"/>
          <w:szCs w:val="20"/>
          <w:color w:val="auto"/>
        </w:rPr>
      </w:pPr>
      <w:r>
        <w:rPr>
          <w:rFonts w:ascii="Arial" w:cs="Arial" w:eastAsia="Arial" w:hAnsi="Arial"/>
          <w:sz w:val="11"/>
          <w:szCs w:val="11"/>
          <w:color w:val="auto"/>
        </w:rPr>
        <w:t xml:space="preserve">(Delaware), and the Administrators named therein. Incorporated by reference to Exhibit 4.3 to the Form 10-K for the year ended December 31, 1999 (File No. 1-9861). </w:t>
      </w:r>
      <w:r>
        <w:rPr>
          <w:rFonts w:ascii="Arial" w:cs="Arial" w:eastAsia="Arial" w:hAnsi="Arial"/>
          <w:sz w:val="12"/>
          <w:szCs w:val="12"/>
          <w:color w:val="auto"/>
        </w:rPr>
        <w:t>4.4 Junior Subordinated Indenture dated as of January 31, 1997 by and between M</w:t>
      </w:r>
      <w:r>
        <w:rPr>
          <w:rFonts w:ascii="Arial" w:cs="Arial" w:eastAsia="Arial" w:hAnsi="Arial"/>
          <w:sz w:val="11"/>
          <w:szCs w:val="11"/>
          <w:color w:val="auto"/>
        </w:rPr>
        <w:t>&amp;T Bank Corporation and Bankers Trust Company. Incorporated by reference to</w:t>
      </w:r>
    </w:p>
    <w:p>
      <w:pPr>
        <w:ind w:left="1400"/>
        <w:spacing w:after="0"/>
        <w:rPr>
          <w:sz w:val="20"/>
          <w:szCs w:val="20"/>
          <w:color w:val="auto"/>
        </w:rPr>
      </w:pPr>
      <w:r>
        <w:rPr>
          <w:rFonts w:ascii="Arial" w:cs="Arial" w:eastAsia="Arial" w:hAnsi="Arial"/>
          <w:sz w:val="13"/>
          <w:szCs w:val="13"/>
          <w:color w:val="auto"/>
        </w:rPr>
        <w:t>Exhibit 4.2 to the Form 8-K dated January 31, 1997 (File No. 1-9861).</w:t>
      </w:r>
    </w:p>
    <w:p>
      <w:pPr>
        <w:spacing w:after="0" w:line="5" w:lineRule="exact"/>
        <w:rPr>
          <w:sz w:val="20"/>
          <w:szCs w:val="20"/>
          <w:color w:val="auto"/>
        </w:rPr>
      </w:pPr>
    </w:p>
    <w:p>
      <w:pPr>
        <w:ind w:left="1400" w:right="80" w:hanging="464"/>
        <w:spacing w:after="0" w:line="241" w:lineRule="auto"/>
        <w:tabs>
          <w:tab w:leader="none" w:pos="1380" w:val="left"/>
        </w:tabs>
        <w:rPr>
          <w:sz w:val="20"/>
          <w:szCs w:val="20"/>
          <w:color w:val="auto"/>
        </w:rPr>
      </w:pPr>
      <w:r>
        <w:rPr>
          <w:rFonts w:ascii="Arial" w:cs="Arial" w:eastAsia="Arial" w:hAnsi="Arial"/>
          <w:sz w:val="14"/>
          <w:szCs w:val="14"/>
          <w:color w:val="auto"/>
        </w:rPr>
        <w:t>4.5</w:t>
      </w:r>
      <w:r>
        <w:rPr>
          <w:sz w:val="20"/>
          <w:szCs w:val="20"/>
          <w:color w:val="auto"/>
        </w:rPr>
        <w:tab/>
      </w:r>
      <w:r>
        <w:rPr>
          <w:rFonts w:ascii="Arial" w:cs="Arial" w:eastAsia="Arial" w:hAnsi="Arial"/>
          <w:sz w:val="14"/>
          <w:szCs w:val="14"/>
          <w:color w:val="auto"/>
        </w:rPr>
        <w:t>Supplemental Indenture dated December 23, 1999 by and between M</w:t>
      </w:r>
      <w:r>
        <w:rPr>
          <w:rFonts w:ascii="Arial" w:cs="Arial" w:eastAsia="Arial" w:hAnsi="Arial"/>
          <w:sz w:val="13"/>
          <w:szCs w:val="13"/>
          <w:color w:val="auto"/>
        </w:rPr>
        <w:t>&amp;T Bank Corporation and Bankers Trust Company. Incorporated by reference to Exhibit 4.5 to the</w:t>
      </w:r>
      <w:r>
        <w:rPr>
          <w:rFonts w:ascii="Arial" w:cs="Arial" w:eastAsia="Arial" w:hAnsi="Arial"/>
          <w:sz w:val="14"/>
          <w:szCs w:val="14"/>
          <w:color w:val="auto"/>
        </w:rPr>
        <w:t xml:space="preserve"> </w:t>
      </w:r>
      <w:r>
        <w:rPr>
          <w:rFonts w:ascii="Arial" w:cs="Arial" w:eastAsia="Arial" w:hAnsi="Arial"/>
          <w:sz w:val="13"/>
          <w:szCs w:val="13"/>
          <w:color w:val="auto"/>
        </w:rPr>
        <w:t>Form 10-K for the year ended December 31, 1999 (File No. 1-9861).</w:t>
      </w:r>
    </w:p>
    <w:p>
      <w:pPr>
        <w:spacing w:after="0" w:line="1" w:lineRule="exact"/>
        <w:rPr>
          <w:sz w:val="20"/>
          <w:szCs w:val="20"/>
          <w:color w:val="auto"/>
        </w:rPr>
      </w:pPr>
    </w:p>
    <w:p>
      <w:pPr>
        <w:ind w:left="1400" w:right="120" w:hanging="464"/>
        <w:spacing w:after="0" w:line="241" w:lineRule="auto"/>
        <w:tabs>
          <w:tab w:leader="none" w:pos="1380" w:val="left"/>
        </w:tabs>
        <w:rPr>
          <w:sz w:val="20"/>
          <w:szCs w:val="20"/>
          <w:color w:val="auto"/>
        </w:rPr>
      </w:pPr>
      <w:r>
        <w:rPr>
          <w:rFonts w:ascii="Arial" w:cs="Arial" w:eastAsia="Arial" w:hAnsi="Arial"/>
          <w:sz w:val="14"/>
          <w:szCs w:val="14"/>
          <w:color w:val="auto"/>
        </w:rPr>
        <w:t>4.6</w:t>
      </w:r>
      <w:r>
        <w:rPr>
          <w:sz w:val="20"/>
          <w:szCs w:val="20"/>
          <w:color w:val="auto"/>
        </w:rPr>
        <w:tab/>
      </w:r>
      <w:r>
        <w:rPr>
          <w:rFonts w:ascii="Arial" w:cs="Arial" w:eastAsia="Arial" w:hAnsi="Arial"/>
          <w:sz w:val="14"/>
          <w:szCs w:val="14"/>
          <w:color w:val="auto"/>
        </w:rPr>
        <w:t>Amended and Restated Trust Agreement dated as of June 6, 1997 by and among M</w:t>
      </w:r>
      <w:r>
        <w:rPr>
          <w:rFonts w:ascii="Arial" w:cs="Arial" w:eastAsia="Arial" w:hAnsi="Arial"/>
          <w:sz w:val="13"/>
          <w:szCs w:val="13"/>
          <w:color w:val="auto"/>
        </w:rPr>
        <w:t>&amp;T Bank Corporation, Bankers Trust Company, Bankers Trust (Delaware), and the</w:t>
      </w:r>
      <w:r>
        <w:rPr>
          <w:rFonts w:ascii="Arial" w:cs="Arial" w:eastAsia="Arial" w:hAnsi="Arial"/>
          <w:sz w:val="14"/>
          <w:szCs w:val="14"/>
          <w:color w:val="auto"/>
        </w:rPr>
        <w:t xml:space="preserve"> </w:t>
      </w:r>
      <w:r>
        <w:rPr>
          <w:rFonts w:ascii="Arial" w:cs="Arial" w:eastAsia="Arial" w:hAnsi="Arial"/>
          <w:sz w:val="13"/>
          <w:szCs w:val="13"/>
          <w:color w:val="auto"/>
        </w:rPr>
        <w:t>Administrators named therein. Incorporated by reference to Exhibit 4.1 to the Form 8-K dated June 6, 1997 (File No. 1-9861).</w:t>
      </w:r>
    </w:p>
    <w:p>
      <w:pPr>
        <w:spacing w:after="0" w:line="1" w:lineRule="exact"/>
        <w:rPr>
          <w:sz w:val="20"/>
          <w:szCs w:val="20"/>
          <w:color w:val="auto"/>
        </w:rPr>
      </w:pPr>
    </w:p>
    <w:p>
      <w:pPr>
        <w:ind w:left="1400" w:right="300" w:hanging="464"/>
        <w:spacing w:after="0" w:line="294" w:lineRule="auto"/>
        <w:tabs>
          <w:tab w:leader="none" w:pos="1380" w:val="left"/>
        </w:tabs>
        <w:rPr>
          <w:sz w:val="20"/>
          <w:szCs w:val="20"/>
          <w:color w:val="auto"/>
        </w:rPr>
      </w:pPr>
      <w:r>
        <w:rPr>
          <w:rFonts w:ascii="Arial" w:cs="Arial" w:eastAsia="Arial" w:hAnsi="Arial"/>
          <w:sz w:val="14"/>
          <w:szCs w:val="14"/>
          <w:color w:val="auto"/>
        </w:rPr>
        <w:t>4.7</w:t>
      </w:r>
      <w:r>
        <w:rPr>
          <w:sz w:val="20"/>
          <w:szCs w:val="20"/>
          <w:color w:val="auto"/>
        </w:rPr>
        <w:tab/>
      </w:r>
      <w:r>
        <w:rPr>
          <w:rFonts w:ascii="Arial" w:cs="Arial" w:eastAsia="Arial" w:hAnsi="Arial"/>
          <w:sz w:val="12"/>
          <w:szCs w:val="12"/>
          <w:color w:val="auto"/>
        </w:rPr>
        <w:t>Amendment to Amended and Restated Trust Agreement dated as of June 6, 1997 by and among M</w:t>
      </w:r>
      <w:r>
        <w:rPr>
          <w:rFonts w:ascii="Arial" w:cs="Arial" w:eastAsia="Arial" w:hAnsi="Arial"/>
          <w:sz w:val="11"/>
          <w:szCs w:val="11"/>
          <w:color w:val="auto"/>
        </w:rPr>
        <w:t>&amp;T Bank Corporation, Bankers Trust Company, Bankers Trust</w:t>
      </w:r>
      <w:r>
        <w:rPr>
          <w:rFonts w:ascii="Arial" w:cs="Arial" w:eastAsia="Arial" w:hAnsi="Arial"/>
          <w:sz w:val="12"/>
          <w:szCs w:val="12"/>
          <w:color w:val="auto"/>
        </w:rPr>
        <w:t xml:space="preserve"> </w:t>
      </w:r>
      <w:r>
        <w:rPr>
          <w:rFonts w:ascii="Arial" w:cs="Arial" w:eastAsia="Arial" w:hAnsi="Arial"/>
          <w:sz w:val="11"/>
          <w:szCs w:val="11"/>
          <w:color w:val="auto"/>
        </w:rPr>
        <w:t>(Delaware), and the Administrators named therein. Incorporated by reference to Exhibit 4.9 to the Form 10-K for the year ended December 31, 1999 (File No. 1-9861).</w:t>
      </w:r>
    </w:p>
    <w:p>
      <w:pPr>
        <w:ind w:left="1400" w:hanging="464"/>
        <w:spacing w:after="0" w:line="241" w:lineRule="auto"/>
        <w:tabs>
          <w:tab w:leader="none" w:pos="1380" w:val="left"/>
        </w:tabs>
        <w:rPr>
          <w:sz w:val="20"/>
          <w:szCs w:val="20"/>
          <w:color w:val="auto"/>
        </w:rPr>
      </w:pPr>
      <w:r>
        <w:rPr>
          <w:rFonts w:ascii="Arial" w:cs="Arial" w:eastAsia="Arial" w:hAnsi="Arial"/>
          <w:sz w:val="14"/>
          <w:szCs w:val="14"/>
          <w:color w:val="auto"/>
        </w:rPr>
        <w:t>4.8</w:t>
      </w:r>
      <w:r>
        <w:rPr>
          <w:sz w:val="20"/>
          <w:szCs w:val="20"/>
          <w:color w:val="auto"/>
        </w:rPr>
        <w:tab/>
      </w:r>
      <w:r>
        <w:rPr>
          <w:rFonts w:ascii="Arial" w:cs="Arial" w:eastAsia="Arial" w:hAnsi="Arial"/>
          <w:sz w:val="14"/>
          <w:szCs w:val="14"/>
          <w:color w:val="auto"/>
        </w:rPr>
        <w:t>Junior Subordinated Indenture dated as of June 6, 1997 by and between M</w:t>
      </w:r>
      <w:r>
        <w:rPr>
          <w:rFonts w:ascii="Arial" w:cs="Arial" w:eastAsia="Arial" w:hAnsi="Arial"/>
          <w:sz w:val="13"/>
          <w:szCs w:val="13"/>
          <w:color w:val="auto"/>
        </w:rPr>
        <w:t>&amp;T Bank Corporation and Bankers Trust Company. Incorporated by reference to Exhibit 4.2 to</w:t>
      </w:r>
      <w:r>
        <w:rPr>
          <w:rFonts w:ascii="Arial" w:cs="Arial" w:eastAsia="Arial" w:hAnsi="Arial"/>
          <w:sz w:val="14"/>
          <w:szCs w:val="14"/>
          <w:color w:val="auto"/>
        </w:rPr>
        <w:t xml:space="preserve"> </w:t>
      </w:r>
      <w:r>
        <w:rPr>
          <w:rFonts w:ascii="Arial" w:cs="Arial" w:eastAsia="Arial" w:hAnsi="Arial"/>
          <w:sz w:val="13"/>
          <w:szCs w:val="13"/>
          <w:color w:val="auto"/>
        </w:rPr>
        <w:t>the Form 8-K dated June 6, 1997 (File No. 1-9861).</w:t>
      </w:r>
    </w:p>
    <w:p>
      <w:pPr>
        <w:spacing w:after="0" w:line="1" w:lineRule="exact"/>
        <w:rPr>
          <w:sz w:val="20"/>
          <w:szCs w:val="20"/>
          <w:color w:val="auto"/>
        </w:rPr>
      </w:pPr>
    </w:p>
    <w:p>
      <w:pPr>
        <w:ind w:left="1400" w:right="20" w:hanging="464"/>
        <w:spacing w:after="0" w:line="243" w:lineRule="auto"/>
        <w:tabs>
          <w:tab w:leader="none" w:pos="1380" w:val="left"/>
        </w:tabs>
        <w:rPr>
          <w:sz w:val="20"/>
          <w:szCs w:val="20"/>
          <w:color w:val="auto"/>
        </w:rPr>
      </w:pPr>
      <w:r>
        <w:rPr>
          <w:rFonts w:ascii="Arial" w:cs="Arial" w:eastAsia="Arial" w:hAnsi="Arial"/>
          <w:sz w:val="14"/>
          <w:szCs w:val="14"/>
          <w:color w:val="auto"/>
        </w:rPr>
        <w:t>4.9</w:t>
      </w:r>
      <w:r>
        <w:rPr>
          <w:sz w:val="20"/>
          <w:szCs w:val="20"/>
          <w:color w:val="auto"/>
        </w:rPr>
        <w:tab/>
      </w:r>
      <w:r>
        <w:rPr>
          <w:rFonts w:ascii="Arial" w:cs="Arial" w:eastAsia="Arial" w:hAnsi="Arial"/>
          <w:sz w:val="14"/>
          <w:szCs w:val="14"/>
          <w:color w:val="auto"/>
        </w:rPr>
        <w:t>Supplemental Indenture dated December 23, 1999 by and between M</w:t>
      </w:r>
      <w:r>
        <w:rPr>
          <w:rFonts w:ascii="Arial" w:cs="Arial" w:eastAsia="Arial" w:hAnsi="Arial"/>
          <w:sz w:val="13"/>
          <w:szCs w:val="13"/>
          <w:color w:val="auto"/>
        </w:rPr>
        <w:t>&amp;T Bank Corporation and Bankers Trust Company. Incorporated by reference to Exhibit 4.11 to the</w:t>
      </w:r>
      <w:r>
        <w:rPr>
          <w:rFonts w:ascii="Arial" w:cs="Arial" w:eastAsia="Arial" w:hAnsi="Arial"/>
          <w:sz w:val="14"/>
          <w:szCs w:val="14"/>
          <w:color w:val="auto"/>
        </w:rPr>
        <w:t xml:space="preserve"> </w:t>
      </w:r>
      <w:r>
        <w:rPr>
          <w:rFonts w:ascii="Arial" w:cs="Arial" w:eastAsia="Arial" w:hAnsi="Arial"/>
          <w:sz w:val="13"/>
          <w:szCs w:val="13"/>
          <w:color w:val="auto"/>
        </w:rPr>
        <w:t>Form 10-K for the year ended December 31, 1999 (File No. 1-9861).</w:t>
      </w:r>
    </w:p>
    <w:p>
      <w:pPr>
        <w:spacing w:after="0" w:line="160" w:lineRule="exact"/>
        <w:rPr>
          <w:sz w:val="20"/>
          <w:szCs w:val="20"/>
          <w:color w:val="auto"/>
        </w:rPr>
      </w:pPr>
    </w:p>
    <w:p>
      <w:pPr>
        <w:jc w:val="right"/>
        <w:spacing w:after="0"/>
        <w:rPr>
          <w:sz w:val="20"/>
          <w:szCs w:val="20"/>
          <w:color w:val="auto"/>
        </w:rPr>
      </w:pPr>
      <w:r>
        <w:rPr>
          <w:rFonts w:ascii="Arial" w:cs="Arial" w:eastAsia="Arial" w:hAnsi="Arial"/>
          <w:sz w:val="12"/>
          <w:szCs w:val="1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6" w:name="page137"/>
    <w:bookmarkEnd w:id="1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jc w:val="both"/>
        <w:ind w:left="1400" w:right="200" w:hanging="464"/>
        <w:spacing w:after="0" w:line="255" w:lineRule="auto"/>
        <w:tabs>
          <w:tab w:leader="none" w:pos="1380" w:val="left"/>
        </w:tabs>
        <w:rPr>
          <w:sz w:val="20"/>
          <w:szCs w:val="20"/>
          <w:color w:val="auto"/>
        </w:rPr>
      </w:pPr>
      <w:r>
        <w:rPr>
          <w:rFonts w:ascii="Arial" w:cs="Arial" w:eastAsia="Arial" w:hAnsi="Arial"/>
          <w:sz w:val="14"/>
          <w:szCs w:val="14"/>
          <w:color w:val="auto"/>
        </w:rPr>
        <w:t>4.10</w:t>
        <w:tab/>
        <w:t>Amended and Restated Declaration of Trust dated as of February 4, 1997 by and among Olympia Financial Corp., The Bank of New York, The Bank of New York (Delaware), and the administrative trustees named therein. Incorporated by reference to Exhibit 4.14 to the Form 10-K for the year ended December 31, 1999 (File No. 1-9861).</w:t>
      </w:r>
    </w:p>
    <w:p>
      <w:pPr>
        <w:ind w:left="1400" w:right="120" w:hanging="464"/>
        <w:spacing w:after="0" w:line="249" w:lineRule="auto"/>
        <w:tabs>
          <w:tab w:leader="none" w:pos="1380" w:val="left"/>
        </w:tabs>
        <w:rPr>
          <w:sz w:val="20"/>
          <w:szCs w:val="20"/>
          <w:color w:val="auto"/>
        </w:rPr>
      </w:pPr>
      <w:r>
        <w:rPr>
          <w:rFonts w:ascii="Arial" w:cs="Arial" w:eastAsia="Arial" w:hAnsi="Arial"/>
          <w:sz w:val="14"/>
          <w:szCs w:val="14"/>
          <w:color w:val="auto"/>
        </w:rPr>
        <w:t>4.11</w:t>
        <w:tab/>
        <w:t>Amendment to Amended and Restated Declaration of Trust dated as of February 4, 1997 by and among Olympia Financial Corp., The Bank of New York, The Bank of New York (Delaware), and the administrative trustees named therein. Incorporated by reference to Exhibit 4.15 to the Form 10-K for the year ended December 31, 1999 (File No. 1-9861).</w:t>
      </w:r>
    </w:p>
    <w:p>
      <w:pPr>
        <w:ind w:left="1400" w:right="180" w:hanging="464"/>
        <w:spacing w:after="0" w:line="249" w:lineRule="auto"/>
        <w:tabs>
          <w:tab w:leader="none" w:pos="1380" w:val="left"/>
        </w:tabs>
        <w:rPr>
          <w:sz w:val="20"/>
          <w:szCs w:val="20"/>
          <w:color w:val="auto"/>
        </w:rPr>
      </w:pPr>
      <w:r>
        <w:rPr>
          <w:rFonts w:ascii="Arial" w:cs="Arial" w:eastAsia="Arial" w:hAnsi="Arial"/>
          <w:sz w:val="14"/>
          <w:szCs w:val="14"/>
          <w:color w:val="auto"/>
        </w:rPr>
        <w:t>4.12</w:t>
        <w:tab/>
        <w:t>Indenture dated as of February 4, 1997 by and between Olympia Financial Corp. and The Bank of New York. Incorporated by reference to Exhibit 4.16 to the Form 10-K for the year ended December 31, 1999 (File No. 1-9861).</w:t>
      </w:r>
    </w:p>
    <w:p>
      <w:pPr>
        <w:ind w:left="1400" w:right="300" w:hanging="464"/>
        <w:spacing w:after="0" w:line="249" w:lineRule="auto"/>
        <w:tabs>
          <w:tab w:leader="none" w:pos="1380" w:val="left"/>
        </w:tabs>
        <w:rPr>
          <w:sz w:val="20"/>
          <w:szCs w:val="20"/>
          <w:color w:val="auto"/>
        </w:rPr>
      </w:pPr>
      <w:r>
        <w:rPr>
          <w:rFonts w:ascii="Arial" w:cs="Arial" w:eastAsia="Arial" w:hAnsi="Arial"/>
          <w:sz w:val="14"/>
          <w:szCs w:val="14"/>
          <w:color w:val="auto"/>
        </w:rPr>
        <w:t>4.13</w:t>
        <w:tab/>
        <w:t>Supplemental Indenture dated as of December 17, 1999 by and between Olympia Financial Corp. and The Bank of New York. Incorporated by reference to Exhibit 4.17 to the Form 10-K for the year ended December 31, 1999 (File No. 1-9861).</w:t>
      </w:r>
    </w:p>
    <w:p>
      <w:pPr>
        <w:ind w:left="1400" w:right="140" w:hanging="464"/>
        <w:spacing w:after="0" w:line="241" w:lineRule="auto"/>
        <w:tabs>
          <w:tab w:leader="none" w:pos="1380" w:val="left"/>
        </w:tabs>
        <w:rPr>
          <w:sz w:val="20"/>
          <w:szCs w:val="20"/>
          <w:color w:val="auto"/>
        </w:rPr>
      </w:pPr>
      <w:r>
        <w:rPr>
          <w:rFonts w:ascii="Arial" w:cs="Arial" w:eastAsia="Arial" w:hAnsi="Arial"/>
          <w:sz w:val="14"/>
          <w:szCs w:val="14"/>
          <w:color w:val="auto"/>
        </w:rPr>
        <w:t>4.14</w:t>
        <w:tab/>
        <w:t>Second Supplemental Indenture dated as of February 28, 2003 by and between M</w:t>
      </w:r>
      <w:r>
        <w:rPr>
          <w:rFonts w:ascii="Arial" w:cs="Arial" w:eastAsia="Arial" w:hAnsi="Arial"/>
          <w:sz w:val="13"/>
          <w:szCs w:val="13"/>
          <w:color w:val="auto"/>
        </w:rPr>
        <w:t>&amp;T Bank Corporation (as successor by merger to Olympia Financial Corp.) and The</w:t>
      </w:r>
      <w:r>
        <w:rPr>
          <w:rFonts w:ascii="Arial" w:cs="Arial" w:eastAsia="Arial" w:hAnsi="Arial"/>
          <w:sz w:val="14"/>
          <w:szCs w:val="14"/>
          <w:color w:val="auto"/>
        </w:rPr>
        <w:t xml:space="preserve"> </w:t>
      </w:r>
      <w:r>
        <w:rPr>
          <w:rFonts w:ascii="Arial" w:cs="Arial" w:eastAsia="Arial" w:hAnsi="Arial"/>
          <w:sz w:val="13"/>
          <w:szCs w:val="13"/>
          <w:color w:val="auto"/>
        </w:rPr>
        <w:t>Bank of New York. Incorporated by reference to Exhibit 4.18 to the Form 10-K for the year ended December 31, 2003 (File No. 1-9861).</w:t>
      </w:r>
    </w:p>
    <w:p>
      <w:pPr>
        <w:ind w:left="1400" w:right="140" w:hanging="464"/>
        <w:spacing w:after="0" w:line="249" w:lineRule="auto"/>
        <w:tabs>
          <w:tab w:leader="none" w:pos="1380" w:val="left"/>
        </w:tabs>
        <w:rPr>
          <w:sz w:val="20"/>
          <w:szCs w:val="20"/>
          <w:color w:val="auto"/>
        </w:rPr>
      </w:pPr>
      <w:r>
        <w:rPr>
          <w:rFonts w:ascii="Arial" w:cs="Arial" w:eastAsia="Arial" w:hAnsi="Arial"/>
          <w:sz w:val="14"/>
          <w:szCs w:val="14"/>
          <w:color w:val="auto"/>
        </w:rPr>
        <w:t>4.15</w:t>
        <w:tab/>
        <w:t>Senior Indenture dated as of May 1, 1997 by and among Keystone Financial Mid-Atlantic Funding Corp., Olympia Financial Corp. (as successor by merger to Keystone Financial, Inc.), and Bankers Trust Company. Incorporated by reference to Exhibit 4.1 to the Registration Statement on Form S-3 of Keystone Financial Mid-Atlantic Funding Corp. and Keystone Financial, Inc. dated April 17, 1997 (File No. 333-25393).</w:t>
      </w:r>
    </w:p>
    <w:p>
      <w:pPr>
        <w:spacing w:after="0" w:line="1" w:lineRule="exact"/>
        <w:rPr>
          <w:sz w:val="20"/>
          <w:szCs w:val="20"/>
          <w:color w:val="auto"/>
        </w:rPr>
      </w:pPr>
    </w:p>
    <w:p>
      <w:pPr>
        <w:ind w:left="1400" w:right="80" w:hanging="464"/>
        <w:spacing w:after="0" w:line="249" w:lineRule="auto"/>
        <w:tabs>
          <w:tab w:leader="none" w:pos="1380" w:val="left"/>
        </w:tabs>
        <w:rPr>
          <w:sz w:val="20"/>
          <w:szCs w:val="20"/>
          <w:color w:val="auto"/>
        </w:rPr>
      </w:pPr>
      <w:r>
        <w:rPr>
          <w:rFonts w:ascii="Arial" w:cs="Arial" w:eastAsia="Arial" w:hAnsi="Arial"/>
          <w:sz w:val="14"/>
          <w:szCs w:val="14"/>
          <w:color w:val="auto"/>
        </w:rPr>
        <w:t>4.16</w:t>
        <w:tab/>
        <w:t>First Supplemental Indenture, dated as of October 6, 2000, by and between Olympia Financial Corp. and Bankers Trust Company. Incorporated by reference to Exhibit 4.24 to the Form 10-K for the year ended December 31, 2003 (File No. 1-9861).</w:t>
      </w:r>
    </w:p>
    <w:p>
      <w:pPr>
        <w:ind w:left="1400" w:right="320" w:hanging="464"/>
        <w:spacing w:after="0" w:line="244" w:lineRule="auto"/>
        <w:tabs>
          <w:tab w:leader="none" w:pos="1380" w:val="left"/>
        </w:tabs>
        <w:rPr>
          <w:sz w:val="20"/>
          <w:szCs w:val="20"/>
          <w:color w:val="auto"/>
        </w:rPr>
      </w:pPr>
      <w:r>
        <w:rPr>
          <w:rFonts w:ascii="Arial" w:cs="Arial" w:eastAsia="Arial" w:hAnsi="Arial"/>
          <w:sz w:val="14"/>
          <w:szCs w:val="14"/>
          <w:color w:val="auto"/>
        </w:rPr>
        <w:t>4.17</w:t>
        <w:tab/>
        <w:t>Second Supplemental Indenture, dated as of February 28, 2003, by and between M</w:t>
      </w:r>
      <w:r>
        <w:rPr>
          <w:rFonts w:ascii="Arial" w:cs="Arial" w:eastAsia="Arial" w:hAnsi="Arial"/>
          <w:sz w:val="13"/>
          <w:szCs w:val="13"/>
          <w:color w:val="auto"/>
        </w:rPr>
        <w:t>&amp;T Bank Corporation (as successor by merger to Olympia Financial Corp.) and</w:t>
      </w:r>
      <w:r>
        <w:rPr>
          <w:rFonts w:ascii="Arial" w:cs="Arial" w:eastAsia="Arial" w:hAnsi="Arial"/>
          <w:sz w:val="14"/>
          <w:szCs w:val="14"/>
          <w:color w:val="auto"/>
        </w:rPr>
        <w:t xml:space="preserve"> </w:t>
      </w:r>
      <w:r>
        <w:rPr>
          <w:rFonts w:ascii="Arial" w:cs="Arial" w:eastAsia="Arial" w:hAnsi="Arial"/>
          <w:sz w:val="13"/>
          <w:szCs w:val="13"/>
          <w:color w:val="auto"/>
        </w:rPr>
        <w:t>Deutsche Bank Trust Company Americas (formerly known as Bankers Trust Company). Incorporated by reference to Exhibit 4.25 to the Form 10-K for the year ended December 31, 2003 (File No. 1-9861).</w:t>
      </w:r>
    </w:p>
    <w:p>
      <w:pPr>
        <w:spacing w:after="0" w:line="2" w:lineRule="exact"/>
        <w:rPr>
          <w:sz w:val="20"/>
          <w:szCs w:val="20"/>
          <w:color w:val="auto"/>
        </w:rPr>
      </w:pPr>
    </w:p>
    <w:p>
      <w:pPr>
        <w:ind w:left="1400" w:right="80" w:hanging="464"/>
        <w:spacing w:after="0" w:line="268" w:lineRule="auto"/>
        <w:tabs>
          <w:tab w:leader="none" w:pos="1380" w:val="left"/>
        </w:tabs>
        <w:rPr>
          <w:sz w:val="20"/>
          <w:szCs w:val="20"/>
          <w:color w:val="auto"/>
        </w:rPr>
      </w:pPr>
      <w:r>
        <w:rPr>
          <w:rFonts w:ascii="Arial" w:cs="Arial" w:eastAsia="Arial" w:hAnsi="Arial"/>
          <w:sz w:val="14"/>
          <w:szCs w:val="14"/>
          <w:color w:val="auto"/>
        </w:rPr>
        <w:t>4.18</w:t>
      </w:r>
      <w:r>
        <w:rPr>
          <w:sz w:val="20"/>
          <w:szCs w:val="20"/>
          <w:color w:val="auto"/>
        </w:rPr>
        <w:tab/>
      </w:r>
      <w:r>
        <w:rPr>
          <w:rFonts w:ascii="Arial" w:cs="Arial" w:eastAsia="Arial" w:hAnsi="Arial"/>
          <w:sz w:val="13"/>
          <w:szCs w:val="13"/>
          <w:color w:val="auto"/>
        </w:rPr>
        <w:t>Indenture, dated as of December 30, 1996, by and between First Maryland Bancorp and The Bank of New York. Incorporated by reference to Exhibit 4.1 to the Registration Statement on Form S-4 of First Maryland Bancorp, First Maryland Capital I and First Maryland Capital II dated March 6, 1997</w:t>
      </w:r>
    </w:p>
    <w:p>
      <w:pPr>
        <w:spacing w:after="0" w:line="1" w:lineRule="exact"/>
        <w:rPr>
          <w:sz w:val="20"/>
          <w:szCs w:val="20"/>
          <w:color w:val="auto"/>
        </w:rPr>
      </w:pPr>
    </w:p>
    <w:p>
      <w:pPr>
        <w:ind w:left="1400"/>
        <w:spacing w:after="0"/>
        <w:rPr>
          <w:sz w:val="20"/>
          <w:szCs w:val="20"/>
          <w:color w:val="auto"/>
        </w:rPr>
      </w:pPr>
      <w:r>
        <w:rPr>
          <w:rFonts w:ascii="Arial" w:cs="Arial" w:eastAsia="Arial" w:hAnsi="Arial"/>
          <w:sz w:val="14"/>
          <w:szCs w:val="14"/>
          <w:color w:val="auto"/>
        </w:rPr>
        <w:t>(File No. 333-22871).</w:t>
      </w:r>
    </w:p>
    <w:p>
      <w:pPr>
        <w:spacing w:after="0" w:line="6" w:lineRule="exact"/>
        <w:rPr>
          <w:sz w:val="20"/>
          <w:szCs w:val="20"/>
          <w:color w:val="auto"/>
        </w:rPr>
      </w:pPr>
    </w:p>
    <w:p>
      <w:pPr>
        <w:ind w:left="1400" w:hanging="464"/>
        <w:spacing w:after="0" w:line="268" w:lineRule="auto"/>
        <w:tabs>
          <w:tab w:leader="none" w:pos="1380" w:val="left"/>
        </w:tabs>
        <w:rPr>
          <w:sz w:val="20"/>
          <w:szCs w:val="20"/>
          <w:color w:val="auto"/>
        </w:rPr>
      </w:pPr>
      <w:r>
        <w:rPr>
          <w:rFonts w:ascii="Arial" w:cs="Arial" w:eastAsia="Arial" w:hAnsi="Arial"/>
          <w:sz w:val="14"/>
          <w:szCs w:val="14"/>
          <w:color w:val="auto"/>
        </w:rPr>
        <w:t>4.19</w:t>
      </w:r>
      <w:r>
        <w:rPr>
          <w:sz w:val="20"/>
          <w:szCs w:val="20"/>
          <w:color w:val="auto"/>
        </w:rPr>
        <w:tab/>
      </w:r>
      <w:r>
        <w:rPr>
          <w:rFonts w:ascii="Arial" w:cs="Arial" w:eastAsia="Arial" w:hAnsi="Arial"/>
          <w:sz w:val="13"/>
          <w:szCs w:val="13"/>
          <w:color w:val="auto"/>
        </w:rPr>
        <w:t>Supplemental Indenture No. 1, dated as of September 15, 1999, by and between Allfirst Financial Inc. (successor by merger to First Maryland Bancorp) and The Bank of New York. Incorporated by reference to Exhibit 4.2 to the Form 8-K of Allfirst Financial Inc. dated September 15, 1999 (File No. 2-50235).</w:t>
      </w:r>
    </w:p>
    <w:p>
      <w:pPr>
        <w:jc w:val="both"/>
        <w:ind w:left="1400" w:right="60" w:hanging="464"/>
        <w:spacing w:after="0" w:line="241" w:lineRule="auto"/>
        <w:tabs>
          <w:tab w:leader="none" w:pos="1380" w:val="left"/>
        </w:tabs>
        <w:rPr>
          <w:sz w:val="20"/>
          <w:szCs w:val="20"/>
          <w:color w:val="auto"/>
        </w:rPr>
      </w:pPr>
      <w:r>
        <w:rPr>
          <w:rFonts w:ascii="Arial" w:cs="Arial" w:eastAsia="Arial" w:hAnsi="Arial"/>
          <w:sz w:val="14"/>
          <w:szCs w:val="14"/>
          <w:color w:val="auto"/>
        </w:rPr>
        <w:t>4.20</w:t>
        <w:tab/>
        <w:t>Supplemental Indenture No. 2, dated as of April 1, 2003, by and between M</w:t>
      </w:r>
      <w:r>
        <w:rPr>
          <w:rFonts w:ascii="Arial" w:cs="Arial" w:eastAsia="Arial" w:hAnsi="Arial"/>
          <w:sz w:val="13"/>
          <w:szCs w:val="13"/>
          <w:color w:val="auto"/>
        </w:rPr>
        <w:t>&amp;T Bank Corporation (successor by merger to Allfirst Financial Inc.) and The Bank of New</w:t>
      </w:r>
      <w:r>
        <w:rPr>
          <w:rFonts w:ascii="Arial" w:cs="Arial" w:eastAsia="Arial" w:hAnsi="Arial"/>
          <w:sz w:val="14"/>
          <w:szCs w:val="14"/>
          <w:color w:val="auto"/>
        </w:rPr>
        <w:t xml:space="preserve"> </w:t>
      </w:r>
      <w:r>
        <w:rPr>
          <w:rFonts w:ascii="Arial" w:cs="Arial" w:eastAsia="Arial" w:hAnsi="Arial"/>
          <w:sz w:val="13"/>
          <w:szCs w:val="13"/>
          <w:color w:val="auto"/>
        </w:rPr>
        <w:t>York. Incorporated by reference to Exhibit 4.28 to the Form 10-K for the year ended December 31, 2003 (File No. 1-9861).</w:t>
      </w:r>
    </w:p>
    <w:p>
      <w:pPr>
        <w:jc w:val="both"/>
        <w:ind w:left="1400" w:right="40" w:hanging="464"/>
        <w:spacing w:after="0" w:line="249" w:lineRule="auto"/>
        <w:tabs>
          <w:tab w:leader="none" w:pos="1380" w:val="left"/>
        </w:tabs>
        <w:rPr>
          <w:sz w:val="20"/>
          <w:szCs w:val="20"/>
          <w:color w:val="auto"/>
        </w:rPr>
      </w:pPr>
      <w:r>
        <w:rPr>
          <w:rFonts w:ascii="Arial" w:cs="Arial" w:eastAsia="Arial" w:hAnsi="Arial"/>
          <w:sz w:val="14"/>
          <w:szCs w:val="14"/>
          <w:color w:val="auto"/>
        </w:rPr>
        <w:t>4.21</w:t>
        <w:tab/>
        <w:t>Amended and Restated Declaration of Trust, dated as of December 30, 1996, by and among First Maryland Bancorp, The Bank of New York, The Bank of New York (Delaware) and the Regular Trustees named therein. Incorporated by reference to Exhibit 4.4 to the Registration Statement on Form S-4 of First Maryland Bancorp, First Maryland Capital I and First Maryland Capital II dated March 6, 1997 (File No. 333-22871).</w:t>
      </w:r>
    </w:p>
    <w:p>
      <w:pPr>
        <w:spacing w:after="0" w:line="1" w:lineRule="exact"/>
        <w:rPr>
          <w:sz w:val="20"/>
          <w:szCs w:val="20"/>
          <w:color w:val="auto"/>
        </w:rPr>
      </w:pPr>
    </w:p>
    <w:p>
      <w:pPr>
        <w:ind w:left="1400" w:right="220" w:hanging="464"/>
        <w:spacing w:after="0" w:line="268" w:lineRule="auto"/>
        <w:tabs>
          <w:tab w:leader="none" w:pos="1380" w:val="left"/>
        </w:tabs>
        <w:rPr>
          <w:sz w:val="20"/>
          <w:szCs w:val="20"/>
          <w:color w:val="auto"/>
        </w:rPr>
      </w:pPr>
      <w:r>
        <w:rPr>
          <w:rFonts w:ascii="Arial" w:cs="Arial" w:eastAsia="Arial" w:hAnsi="Arial"/>
          <w:sz w:val="14"/>
          <w:szCs w:val="14"/>
          <w:color w:val="auto"/>
        </w:rPr>
        <w:t>4.22</w:t>
      </w:r>
      <w:r>
        <w:rPr>
          <w:sz w:val="20"/>
          <w:szCs w:val="20"/>
          <w:color w:val="auto"/>
        </w:rPr>
        <w:tab/>
      </w:r>
      <w:r>
        <w:rPr>
          <w:rFonts w:ascii="Arial" w:cs="Arial" w:eastAsia="Arial" w:hAnsi="Arial"/>
          <w:sz w:val="13"/>
          <w:szCs w:val="13"/>
          <w:color w:val="auto"/>
        </w:rPr>
        <w:t>Indenture, dated as of February 4, 1997, by and between First Maryland Bancorp and The Bank of New York. Incorporated by reference to Exhibit 4.2 to the Registration Statement on Form S-4 of First Maryland Bancorp, First Maryland Capital I and First Maryland Capital II dated March 6, 1997</w:t>
      </w:r>
    </w:p>
    <w:p>
      <w:pPr>
        <w:ind w:left="1400"/>
        <w:spacing w:after="0"/>
        <w:rPr>
          <w:sz w:val="20"/>
          <w:szCs w:val="20"/>
          <w:color w:val="auto"/>
        </w:rPr>
      </w:pPr>
      <w:r>
        <w:rPr>
          <w:rFonts w:ascii="Arial" w:cs="Arial" w:eastAsia="Arial" w:hAnsi="Arial"/>
          <w:sz w:val="14"/>
          <w:szCs w:val="14"/>
          <w:color w:val="auto"/>
        </w:rPr>
        <w:t>(File No. 333-22871).</w:t>
      </w:r>
    </w:p>
    <w:p>
      <w:pPr>
        <w:spacing w:after="0" w:line="6" w:lineRule="exact"/>
        <w:rPr>
          <w:sz w:val="20"/>
          <w:szCs w:val="20"/>
          <w:color w:val="auto"/>
        </w:rPr>
      </w:pPr>
    </w:p>
    <w:p>
      <w:pPr>
        <w:ind w:left="1400" w:hanging="464"/>
        <w:spacing w:after="0" w:line="301" w:lineRule="auto"/>
        <w:tabs>
          <w:tab w:leader="none" w:pos="1380" w:val="left"/>
        </w:tabs>
        <w:rPr>
          <w:sz w:val="20"/>
          <w:szCs w:val="20"/>
          <w:color w:val="auto"/>
        </w:rPr>
      </w:pPr>
      <w:r>
        <w:rPr>
          <w:rFonts w:ascii="Arial" w:cs="Arial" w:eastAsia="Arial" w:hAnsi="Arial"/>
          <w:sz w:val="14"/>
          <w:szCs w:val="14"/>
          <w:color w:val="auto"/>
        </w:rPr>
        <w:t>4.23</w:t>
      </w:r>
      <w:r>
        <w:rPr>
          <w:sz w:val="20"/>
          <w:szCs w:val="20"/>
          <w:color w:val="auto"/>
        </w:rPr>
        <w:tab/>
      </w:r>
      <w:r>
        <w:rPr>
          <w:rFonts w:ascii="Arial" w:cs="Arial" w:eastAsia="Arial" w:hAnsi="Arial"/>
          <w:sz w:val="13"/>
          <w:szCs w:val="13"/>
          <w:color w:val="auto"/>
        </w:rPr>
        <w:t>Supplemental Indenture No. 1, dated as of September 15, 1999, by and between Allfirst Financial Inc. (successor by merger to First Maryland Bancorp) and The Bank of New York. Incorporated by reference to Exhibit 4.3 to the Form 8-K of Allfirst Financial Inc. dated September 15, 1999 (File No. 2-50235).</w:t>
      </w:r>
    </w:p>
    <w:p>
      <w:pPr>
        <w:spacing w:after="0" w:line="114" w:lineRule="exact"/>
        <w:rPr>
          <w:sz w:val="20"/>
          <w:szCs w:val="20"/>
          <w:color w:val="auto"/>
        </w:rPr>
      </w:pPr>
    </w:p>
    <w:p>
      <w:pPr>
        <w:ind w:left="680"/>
        <w:spacing w:after="0"/>
        <w:rPr>
          <w:sz w:val="20"/>
          <w:szCs w:val="20"/>
          <w:color w:val="auto"/>
        </w:rPr>
      </w:pPr>
      <w:r>
        <w:rPr>
          <w:rFonts w:ascii="Arial" w:cs="Arial" w:eastAsia="Arial" w:hAnsi="Arial"/>
          <w:sz w:val="10"/>
          <w:szCs w:val="10"/>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90435"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7" w:name="page138"/>
    <w:bookmarkEnd w:id="1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1420" w:right="40" w:hanging="464"/>
        <w:spacing w:after="0" w:line="250" w:lineRule="auto"/>
        <w:tabs>
          <w:tab w:leader="none" w:pos="1400" w:val="left"/>
        </w:tabs>
        <w:rPr>
          <w:sz w:val="20"/>
          <w:szCs w:val="20"/>
          <w:color w:val="auto"/>
        </w:rPr>
      </w:pPr>
      <w:r>
        <w:rPr>
          <w:rFonts w:ascii="Arial" w:cs="Arial" w:eastAsia="Arial" w:hAnsi="Arial"/>
          <w:sz w:val="14"/>
          <w:szCs w:val="14"/>
          <w:color w:val="auto"/>
        </w:rPr>
        <w:t>4.24</w:t>
        <w:tab/>
        <w:t>Supplemental Indenture No. 2, dated as of April 1, 2003, by and between M</w:t>
      </w:r>
      <w:r>
        <w:rPr>
          <w:rFonts w:ascii="Arial" w:cs="Arial" w:eastAsia="Arial" w:hAnsi="Arial"/>
          <w:sz w:val="13"/>
          <w:szCs w:val="13"/>
          <w:color w:val="auto"/>
        </w:rPr>
        <w:t>&amp;T Bank Corporation (successor by merger to Allfirst Financial Inc.) and The Bank of New</w:t>
      </w:r>
      <w:r>
        <w:rPr>
          <w:rFonts w:ascii="Arial" w:cs="Arial" w:eastAsia="Arial" w:hAnsi="Arial"/>
          <w:sz w:val="14"/>
          <w:szCs w:val="14"/>
          <w:color w:val="auto"/>
        </w:rPr>
        <w:t xml:space="preserve"> </w:t>
      </w:r>
      <w:r>
        <w:rPr>
          <w:rFonts w:ascii="Arial" w:cs="Arial" w:eastAsia="Arial" w:hAnsi="Arial"/>
          <w:sz w:val="13"/>
          <w:szCs w:val="13"/>
          <w:color w:val="auto"/>
        </w:rPr>
        <w:t>York. Incorporated by reference to Exhibit 4.34 to the Form 10-K for the year ended December 31, 2003 (File No. 1-9861).</w:t>
      </w:r>
    </w:p>
    <w:p>
      <w:pPr>
        <w:ind w:left="1420" w:right="40" w:hanging="464"/>
        <w:spacing w:after="0" w:line="249" w:lineRule="auto"/>
        <w:tabs>
          <w:tab w:leader="none" w:pos="1400" w:val="left"/>
        </w:tabs>
        <w:rPr>
          <w:sz w:val="20"/>
          <w:szCs w:val="20"/>
          <w:color w:val="auto"/>
        </w:rPr>
      </w:pPr>
      <w:r>
        <w:rPr>
          <w:rFonts w:ascii="Arial" w:cs="Arial" w:eastAsia="Arial" w:hAnsi="Arial"/>
          <w:sz w:val="14"/>
          <w:szCs w:val="14"/>
          <w:color w:val="auto"/>
        </w:rPr>
        <w:t>4.25</w:t>
        <w:tab/>
        <w:t>Amended and Restated Declaration of Trust, dated as of February 4, 1997, by and among First Maryland Bancorp, The Bank of New York, The Bank of New York (Delaware) and the Regular Trustees named therein. Incorporated by reference to Exhibit 4.3 to the Registration Statement on Form S-4 of First Maryland Bancorp, First Maryland Capital I and First Maryland Capital II dated March 6, 1997 (File No. 333-22871).</w:t>
      </w:r>
    </w:p>
    <w:p>
      <w:pPr>
        <w:spacing w:after="0" w:line="1" w:lineRule="exact"/>
        <w:rPr>
          <w:sz w:val="20"/>
          <w:szCs w:val="20"/>
          <w:color w:val="auto"/>
        </w:rPr>
      </w:pPr>
    </w:p>
    <w:p>
      <w:pPr>
        <w:ind w:left="1420" w:right="300" w:hanging="464"/>
        <w:spacing w:after="0" w:line="249" w:lineRule="auto"/>
        <w:tabs>
          <w:tab w:leader="none" w:pos="1400" w:val="left"/>
        </w:tabs>
        <w:rPr>
          <w:sz w:val="20"/>
          <w:szCs w:val="20"/>
          <w:color w:val="auto"/>
        </w:rPr>
      </w:pPr>
      <w:r>
        <w:rPr>
          <w:rFonts w:ascii="Arial" w:cs="Arial" w:eastAsia="Arial" w:hAnsi="Arial"/>
          <w:sz w:val="14"/>
          <w:szCs w:val="14"/>
          <w:color w:val="auto"/>
        </w:rPr>
        <w:t>4.26</w:t>
        <w:tab/>
        <w:t>Indenture, dated as of July 13, 1999, by and between First Maryland Bancorp and The Bank of New York. Incorporated by reference to Exhibit 4.2 to the Registration Statement on Form S-4 of Allfirst Financial Inc., Allfirst Preferred Capital Trust and Allfirst Preferred Asset Trust dated October 5, 1999 (File No. 333-88484).</w:t>
      </w:r>
    </w:p>
    <w:p>
      <w:pPr>
        <w:ind w:left="1420" w:right="80" w:hanging="464"/>
        <w:spacing w:after="0" w:line="249" w:lineRule="auto"/>
        <w:tabs>
          <w:tab w:leader="none" w:pos="1400" w:val="left"/>
        </w:tabs>
        <w:rPr>
          <w:sz w:val="20"/>
          <w:szCs w:val="20"/>
          <w:color w:val="auto"/>
        </w:rPr>
      </w:pPr>
      <w:r>
        <w:rPr>
          <w:rFonts w:ascii="Arial" w:cs="Arial" w:eastAsia="Arial" w:hAnsi="Arial"/>
          <w:sz w:val="14"/>
          <w:szCs w:val="14"/>
          <w:color w:val="auto"/>
        </w:rPr>
        <w:t>4.27</w:t>
        <w:tab/>
        <w:t>Supplemental Indenture No. 1, dated as of September 15, 1999, by and between Allfirst Financial Inc. (successor by merger to First Maryland Bancorp) and The Bank of New York. Incorporated by reference to Exhibit 4.1 to the Registration Statement on Form S-4 of Allfirst Financial Inc., Allfirst Preferred Capital Trust and Allfirst Preferred Asset Trust dated October 5, 1999 (File No. 333-88484).</w:t>
      </w:r>
    </w:p>
    <w:p>
      <w:pPr>
        <w:ind w:left="1420" w:right="40" w:hanging="464"/>
        <w:spacing w:after="0" w:line="241" w:lineRule="auto"/>
        <w:tabs>
          <w:tab w:leader="none" w:pos="1400" w:val="left"/>
        </w:tabs>
        <w:rPr>
          <w:sz w:val="20"/>
          <w:szCs w:val="20"/>
          <w:color w:val="auto"/>
        </w:rPr>
      </w:pPr>
      <w:r>
        <w:rPr>
          <w:rFonts w:ascii="Arial" w:cs="Arial" w:eastAsia="Arial" w:hAnsi="Arial"/>
          <w:sz w:val="14"/>
          <w:szCs w:val="14"/>
          <w:color w:val="auto"/>
        </w:rPr>
        <w:t>4.28</w:t>
        <w:tab/>
        <w:t>Supplemental Indenture No. 2, dated as of April 1, 2003, by and between M</w:t>
      </w:r>
      <w:r>
        <w:rPr>
          <w:rFonts w:ascii="Arial" w:cs="Arial" w:eastAsia="Arial" w:hAnsi="Arial"/>
          <w:sz w:val="13"/>
          <w:szCs w:val="13"/>
          <w:color w:val="auto"/>
        </w:rPr>
        <w:t>&amp;T Bank Corporation (successor by merger to Allfirst Financial Inc.) and The Bank of New</w:t>
      </w:r>
      <w:r>
        <w:rPr>
          <w:rFonts w:ascii="Arial" w:cs="Arial" w:eastAsia="Arial" w:hAnsi="Arial"/>
          <w:sz w:val="14"/>
          <w:szCs w:val="14"/>
          <w:color w:val="auto"/>
        </w:rPr>
        <w:t xml:space="preserve"> </w:t>
      </w:r>
      <w:r>
        <w:rPr>
          <w:rFonts w:ascii="Arial" w:cs="Arial" w:eastAsia="Arial" w:hAnsi="Arial"/>
          <w:sz w:val="13"/>
          <w:szCs w:val="13"/>
          <w:color w:val="auto"/>
        </w:rPr>
        <w:t>York. Incorporated by reference to Exhibit 4.40 to the Form 10-K for the year ended December 31, 2003 (File No. 1-9861).</w:t>
      </w:r>
    </w:p>
    <w:p>
      <w:pPr>
        <w:jc w:val="both"/>
        <w:ind w:left="1420" w:right="60" w:hanging="464"/>
        <w:spacing w:after="0" w:line="268" w:lineRule="auto"/>
        <w:tabs>
          <w:tab w:leader="none" w:pos="1400" w:val="left"/>
        </w:tabs>
        <w:rPr>
          <w:sz w:val="20"/>
          <w:szCs w:val="20"/>
          <w:color w:val="auto"/>
        </w:rPr>
      </w:pPr>
      <w:r>
        <w:rPr>
          <w:rFonts w:ascii="Arial" w:cs="Arial" w:eastAsia="Arial" w:hAnsi="Arial"/>
          <w:sz w:val="14"/>
          <w:szCs w:val="14"/>
          <w:color w:val="auto"/>
        </w:rPr>
        <w:t>4.29</w:t>
      </w:r>
      <w:r>
        <w:rPr>
          <w:sz w:val="20"/>
          <w:szCs w:val="20"/>
          <w:color w:val="auto"/>
        </w:rPr>
        <w:tab/>
      </w:r>
      <w:r>
        <w:rPr>
          <w:rFonts w:ascii="Arial" w:cs="Arial" w:eastAsia="Arial" w:hAnsi="Arial"/>
          <w:sz w:val="13"/>
          <w:szCs w:val="13"/>
          <w:color w:val="auto"/>
        </w:rPr>
        <w:t>Amended and Restated Declaration of Trust of Allfirst Preferred Capital Trust, dated as of July 13, 1999, by and among First Maryland Bancorp, The Bank of New York, The Bank of New York (Delaware) and the Administrators named therein. Incorporated by reference to Exhibit 4.3 to the Registration Statement on Form S-4 of Allfirst Financial Inc., Allfirst Preferred Capital Trust and Allfirst Preferred Asset Trust dated October 5, 1999 (File No. 333-88484).</w:t>
      </w:r>
    </w:p>
    <w:p>
      <w:pPr>
        <w:spacing w:after="0" w:line="1" w:lineRule="exact"/>
        <w:rPr>
          <w:sz w:val="20"/>
          <w:szCs w:val="20"/>
          <w:color w:val="auto"/>
        </w:rPr>
      </w:pPr>
    </w:p>
    <w:p>
      <w:pPr>
        <w:ind w:left="1420" w:right="60" w:hanging="464"/>
        <w:spacing w:after="0" w:line="268" w:lineRule="auto"/>
        <w:tabs>
          <w:tab w:leader="none" w:pos="1400" w:val="left"/>
        </w:tabs>
        <w:rPr>
          <w:sz w:val="20"/>
          <w:szCs w:val="20"/>
          <w:color w:val="auto"/>
        </w:rPr>
      </w:pPr>
      <w:r>
        <w:rPr>
          <w:rFonts w:ascii="Arial" w:cs="Arial" w:eastAsia="Arial" w:hAnsi="Arial"/>
          <w:sz w:val="14"/>
          <w:szCs w:val="14"/>
          <w:color w:val="auto"/>
        </w:rPr>
        <w:t>4.30</w:t>
      </w:r>
      <w:r>
        <w:rPr>
          <w:sz w:val="20"/>
          <w:szCs w:val="20"/>
          <w:color w:val="auto"/>
        </w:rPr>
        <w:tab/>
      </w:r>
      <w:r>
        <w:rPr>
          <w:rFonts w:ascii="Arial" w:cs="Arial" w:eastAsia="Arial" w:hAnsi="Arial"/>
          <w:sz w:val="13"/>
          <w:szCs w:val="13"/>
          <w:color w:val="auto"/>
        </w:rPr>
        <w:t>Amended and Restated Declaration of Trust of Allfirst Preferred Asset Trust, dated as of July 13, 1999, by and among First Maryland Bancorp, The Bank of New York, The Bank of New York (Delaware) and the Administrators named therein. Incorporated by reference to Exhibit 4.4 to the Registration Statement on Form S-4 of Allfirst Financial Inc., Allfirst Preferred Capital Trust and Allfirst Preferred Asset Trust dated October 5, 1999 (File No. 333-88484).</w:t>
      </w:r>
    </w:p>
    <w:p>
      <w:pPr>
        <w:ind w:left="1420" w:right="340" w:hanging="464"/>
        <w:spacing w:after="0" w:line="249" w:lineRule="auto"/>
        <w:tabs>
          <w:tab w:leader="none" w:pos="1400" w:val="left"/>
        </w:tabs>
        <w:rPr>
          <w:sz w:val="20"/>
          <w:szCs w:val="20"/>
          <w:color w:val="auto"/>
        </w:rPr>
      </w:pPr>
      <w:r>
        <w:rPr>
          <w:rFonts w:ascii="Arial" w:cs="Arial" w:eastAsia="Arial" w:hAnsi="Arial"/>
          <w:sz w:val="14"/>
          <w:szCs w:val="14"/>
          <w:color w:val="auto"/>
        </w:rPr>
        <w:t>4.31</w:t>
        <w:tab/>
        <w:t>Indenture, dated as of May 15, 1992, by and between First Maryland Bancorp and Bankers Trust Company. Incorporated by reference to Exhibit 4.2 to the Registration Statement on Form S-1 of First Maryland Bancorp (File No. 33-46277).</w:t>
      </w:r>
    </w:p>
    <w:p>
      <w:pPr>
        <w:ind w:left="1420" w:right="240" w:hanging="464"/>
        <w:spacing w:after="0" w:line="268" w:lineRule="auto"/>
        <w:tabs>
          <w:tab w:leader="none" w:pos="1400" w:val="left"/>
        </w:tabs>
        <w:rPr>
          <w:sz w:val="20"/>
          <w:szCs w:val="20"/>
          <w:color w:val="auto"/>
        </w:rPr>
      </w:pPr>
      <w:r>
        <w:rPr>
          <w:rFonts w:ascii="Arial" w:cs="Arial" w:eastAsia="Arial" w:hAnsi="Arial"/>
          <w:sz w:val="14"/>
          <w:szCs w:val="14"/>
          <w:color w:val="auto"/>
        </w:rPr>
        <w:t>4.32</w:t>
      </w:r>
      <w:r>
        <w:rPr>
          <w:sz w:val="20"/>
          <w:szCs w:val="20"/>
          <w:color w:val="auto"/>
        </w:rPr>
        <w:tab/>
      </w:r>
      <w:r>
        <w:rPr>
          <w:rFonts w:ascii="Arial" w:cs="Arial" w:eastAsia="Arial" w:hAnsi="Arial"/>
          <w:sz w:val="13"/>
          <w:szCs w:val="13"/>
          <w:color w:val="auto"/>
        </w:rPr>
        <w:t>Supplemental Indenture No. 1, dated as of September 15, 1999, by and between Allfirst Financial Inc. (successor by merger to First Maryland Bancorp) and Bankers Trust Company. Incorporated by reference to Exhibit 4.1 to the Form 8-K of Allfirst Financial Inc. dated September 15, 1999 (File No. 2-50235).</w:t>
      </w:r>
    </w:p>
    <w:p>
      <w:pPr>
        <w:ind w:left="1420" w:right="160" w:hanging="464"/>
        <w:spacing w:after="0" w:line="244" w:lineRule="auto"/>
        <w:tabs>
          <w:tab w:leader="none" w:pos="1400" w:val="left"/>
        </w:tabs>
        <w:rPr>
          <w:sz w:val="20"/>
          <w:szCs w:val="20"/>
          <w:color w:val="auto"/>
        </w:rPr>
      </w:pPr>
      <w:r>
        <w:rPr>
          <w:rFonts w:ascii="Arial" w:cs="Arial" w:eastAsia="Arial" w:hAnsi="Arial"/>
          <w:sz w:val="14"/>
          <w:szCs w:val="14"/>
          <w:color w:val="auto"/>
        </w:rPr>
        <w:t>4.33</w:t>
        <w:tab/>
        <w:t>Supplemental Indenture No. 2, dated as of April 1, 2003, by and between M</w:t>
      </w:r>
      <w:r>
        <w:rPr>
          <w:rFonts w:ascii="Arial" w:cs="Arial" w:eastAsia="Arial" w:hAnsi="Arial"/>
          <w:sz w:val="13"/>
          <w:szCs w:val="13"/>
          <w:color w:val="auto"/>
        </w:rPr>
        <w:t>&amp;T Bank Corporation (successor by merger to Allfirst Financial Inc.) and Deutsche Bank</w:t>
      </w:r>
      <w:r>
        <w:rPr>
          <w:rFonts w:ascii="Arial" w:cs="Arial" w:eastAsia="Arial" w:hAnsi="Arial"/>
          <w:sz w:val="14"/>
          <w:szCs w:val="14"/>
          <w:color w:val="auto"/>
        </w:rPr>
        <w:t xml:space="preserve"> </w:t>
      </w:r>
      <w:r>
        <w:rPr>
          <w:rFonts w:ascii="Arial" w:cs="Arial" w:eastAsia="Arial" w:hAnsi="Arial"/>
          <w:sz w:val="13"/>
          <w:szCs w:val="13"/>
          <w:color w:val="auto"/>
        </w:rPr>
        <w:t>Trust Company Americas (formerly known as Bankers Trust Company). Incorporated by reference to Exhibit 4.48 to the Form 10-K for the year ended December 31, 2003 (File No. 1-9861).</w:t>
      </w:r>
    </w:p>
    <w:p>
      <w:pPr>
        <w:spacing w:after="0" w:line="2" w:lineRule="exact"/>
        <w:rPr>
          <w:sz w:val="20"/>
          <w:szCs w:val="20"/>
          <w:color w:val="auto"/>
        </w:rPr>
      </w:pPr>
    </w:p>
    <w:p>
      <w:pPr>
        <w:ind w:left="1420" w:right="320" w:hanging="464"/>
        <w:spacing w:after="0" w:line="241" w:lineRule="auto"/>
        <w:tabs>
          <w:tab w:leader="none" w:pos="1400" w:val="left"/>
        </w:tabs>
        <w:rPr>
          <w:sz w:val="20"/>
          <w:szCs w:val="20"/>
          <w:color w:val="auto"/>
        </w:rPr>
      </w:pPr>
      <w:r>
        <w:rPr>
          <w:rFonts w:ascii="Arial" w:cs="Arial" w:eastAsia="Arial" w:hAnsi="Arial"/>
          <w:sz w:val="14"/>
          <w:szCs w:val="14"/>
          <w:color w:val="auto"/>
        </w:rPr>
        <w:t>4.34</w:t>
        <w:tab/>
        <w:t>Registration Rights Agreement, dated April 1, 2003, between M</w:t>
      </w:r>
      <w:r>
        <w:rPr>
          <w:rFonts w:ascii="Arial" w:cs="Arial" w:eastAsia="Arial" w:hAnsi="Arial"/>
          <w:sz w:val="13"/>
          <w:szCs w:val="13"/>
          <w:color w:val="auto"/>
        </w:rPr>
        <w:t>&amp;T Bank Corporation and Allied Irish Banks, p.l.c. Incorporated by reference to Exhibit 4.23 to the</w:t>
      </w:r>
      <w:r>
        <w:rPr>
          <w:rFonts w:ascii="Arial" w:cs="Arial" w:eastAsia="Arial" w:hAnsi="Arial"/>
          <w:sz w:val="14"/>
          <w:szCs w:val="14"/>
          <w:color w:val="auto"/>
        </w:rPr>
        <w:t xml:space="preserve"> </w:t>
      </w:r>
      <w:r>
        <w:rPr>
          <w:rFonts w:ascii="Arial" w:cs="Arial" w:eastAsia="Arial" w:hAnsi="Arial"/>
          <w:sz w:val="13"/>
          <w:szCs w:val="13"/>
          <w:color w:val="auto"/>
        </w:rPr>
        <w:t>Form 10-Q for the quarter ended March 31, 2003 (File No. 1-9861).</w:t>
      </w:r>
    </w:p>
    <w:p>
      <w:pPr>
        <w:spacing w:after="0" w:line="1" w:lineRule="exact"/>
        <w:rPr>
          <w:sz w:val="20"/>
          <w:szCs w:val="20"/>
          <w:color w:val="auto"/>
        </w:rPr>
      </w:pPr>
    </w:p>
    <w:p>
      <w:pPr>
        <w:ind w:left="1420" w:right="120" w:hanging="536"/>
        <w:spacing w:after="0" w:line="241" w:lineRule="auto"/>
        <w:tabs>
          <w:tab w:leader="none" w:pos="1400" w:val="left"/>
        </w:tabs>
        <w:rPr>
          <w:sz w:val="20"/>
          <w:szCs w:val="20"/>
          <w:color w:val="auto"/>
        </w:rPr>
      </w:pPr>
      <w:r>
        <w:rPr>
          <w:rFonts w:ascii="Arial" w:cs="Arial" w:eastAsia="Arial" w:hAnsi="Arial"/>
          <w:sz w:val="14"/>
          <w:szCs w:val="14"/>
          <w:color w:val="auto"/>
        </w:rPr>
        <w:t>10.1</w:t>
      </w:r>
      <w:r>
        <w:rPr>
          <w:sz w:val="20"/>
          <w:szCs w:val="20"/>
          <w:color w:val="auto"/>
        </w:rPr>
        <w:tab/>
      </w:r>
      <w:r>
        <w:rPr>
          <w:rFonts w:ascii="Arial" w:cs="Arial" w:eastAsia="Arial" w:hAnsi="Arial"/>
          <w:sz w:val="14"/>
          <w:szCs w:val="14"/>
          <w:color w:val="auto"/>
        </w:rPr>
        <w:t>Credit Agreement, dated as of December 15, 2000, between M</w:t>
      </w:r>
      <w:r>
        <w:rPr>
          <w:rFonts w:ascii="Arial" w:cs="Arial" w:eastAsia="Arial" w:hAnsi="Arial"/>
          <w:sz w:val="13"/>
          <w:szCs w:val="13"/>
          <w:color w:val="auto"/>
        </w:rPr>
        <w:t>&amp;T Bank Corporation and Citibank, N.A. Incorporated by reference to Exhibit 10.1 to the Form 10-K for</w:t>
      </w:r>
      <w:r>
        <w:rPr>
          <w:rFonts w:ascii="Arial" w:cs="Arial" w:eastAsia="Arial" w:hAnsi="Arial"/>
          <w:sz w:val="14"/>
          <w:szCs w:val="14"/>
          <w:color w:val="auto"/>
        </w:rPr>
        <w:t xml:space="preserve"> </w:t>
      </w:r>
      <w:r>
        <w:rPr>
          <w:rFonts w:ascii="Arial" w:cs="Arial" w:eastAsia="Arial" w:hAnsi="Arial"/>
          <w:sz w:val="13"/>
          <w:szCs w:val="13"/>
          <w:color w:val="auto"/>
        </w:rPr>
        <w:t>the year ended December 31, 2000 (File No. 1-9861).</w:t>
      </w:r>
    </w:p>
    <w:p>
      <w:pPr>
        <w:spacing w:after="0" w:line="1"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14"/>
          <w:szCs w:val="14"/>
          <w:color w:val="auto"/>
        </w:rPr>
        <w:t>10.2</w:t>
      </w:r>
      <w:r>
        <w:rPr>
          <w:sz w:val="20"/>
          <w:szCs w:val="20"/>
          <w:color w:val="auto"/>
        </w:rPr>
        <w:tab/>
      </w:r>
      <w:r>
        <w:rPr>
          <w:rFonts w:ascii="Arial" w:cs="Arial" w:eastAsia="Arial" w:hAnsi="Arial"/>
          <w:sz w:val="13"/>
          <w:szCs w:val="13"/>
          <w:color w:val="auto"/>
        </w:rPr>
        <w:t>Waiver, dated as of January 15, 2003, to Credit Agreement dated as of December 15, 2000, between M</w:t>
      </w:r>
      <w:r>
        <w:rPr>
          <w:rFonts w:ascii="Arial" w:cs="Arial" w:eastAsia="Arial" w:hAnsi="Arial"/>
          <w:sz w:val="12"/>
          <w:szCs w:val="12"/>
          <w:color w:val="auto"/>
        </w:rPr>
        <w:t>&amp;T Bank Corporation and Citibank, N.A. Incorporated by</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3"/>
          <w:szCs w:val="13"/>
          <w:color w:val="auto"/>
        </w:rPr>
        <w:t>reference to Exhibit 10.2 to the Form 10-K for the year ended December 31, 2002 (File No. 1-9861).</w:t>
      </w:r>
    </w:p>
    <w:p>
      <w:pPr>
        <w:spacing w:after="0" w:line="5"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14"/>
          <w:szCs w:val="14"/>
          <w:color w:val="auto"/>
        </w:rPr>
        <w:t>10.3</w:t>
      </w:r>
      <w:r>
        <w:rPr>
          <w:sz w:val="20"/>
          <w:szCs w:val="20"/>
          <w:color w:val="auto"/>
        </w:rPr>
        <w:tab/>
      </w:r>
      <w:r>
        <w:rPr>
          <w:rFonts w:ascii="Arial" w:cs="Arial" w:eastAsia="Arial" w:hAnsi="Arial"/>
          <w:sz w:val="13"/>
          <w:szCs w:val="13"/>
          <w:color w:val="auto"/>
        </w:rPr>
        <w:t>Amendment No. 1, dated December 9, 2003, to the Credit Agreement, dated as of December 15, 2000, between M</w:t>
      </w:r>
      <w:r>
        <w:rPr>
          <w:rFonts w:ascii="Arial" w:cs="Arial" w:eastAsia="Arial" w:hAnsi="Arial"/>
          <w:sz w:val="12"/>
          <w:szCs w:val="12"/>
          <w:color w:val="auto"/>
        </w:rPr>
        <w:t>&amp;T Bank Corporation and Citibank, N.A.</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3"/>
          <w:szCs w:val="13"/>
          <w:color w:val="auto"/>
        </w:rPr>
        <w:t>Incorporated by reference to Exhibit 10.3 to the Form 10-K for the year ended December 31, 2003 (File No. 1-9861).</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90435"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8" w:name="page139"/>
    <w:bookmarkEnd w:id="1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1420" w:right="500" w:hanging="536"/>
        <w:spacing w:after="0" w:line="250" w:lineRule="auto"/>
        <w:tabs>
          <w:tab w:leader="none" w:pos="140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M</w:t>
      </w:r>
      <w:r>
        <w:rPr>
          <w:rFonts w:ascii="Arial" w:cs="Arial" w:eastAsia="Arial" w:hAnsi="Arial"/>
          <w:sz w:val="13"/>
          <w:szCs w:val="13"/>
          <w:color w:val="auto"/>
        </w:rPr>
        <w:t>&amp;T Bank Corporation 1983 Stock Option Plan as last amended on April 20, 1999. Incorporated by reference to Exhibit 10.3 to the Form 10-Q for the quarter ended</w:t>
      </w:r>
      <w:r>
        <w:rPr>
          <w:rFonts w:ascii="Arial" w:cs="Arial" w:eastAsia="Arial" w:hAnsi="Arial"/>
          <w:sz w:val="14"/>
          <w:szCs w:val="14"/>
          <w:color w:val="auto"/>
        </w:rPr>
        <w:t xml:space="preserve"> </w:t>
      </w:r>
      <w:r>
        <w:rPr>
          <w:rFonts w:ascii="Arial" w:cs="Arial" w:eastAsia="Arial" w:hAnsi="Arial"/>
          <w:sz w:val="13"/>
          <w:szCs w:val="13"/>
          <w:color w:val="auto"/>
        </w:rPr>
        <w:t>March 31, 1999 (File No. 1-9861).*</w:t>
      </w:r>
    </w:p>
    <w:p>
      <w:pPr>
        <w:ind w:left="1420" w:right="340" w:hanging="536"/>
        <w:spacing w:after="0" w:line="241" w:lineRule="auto"/>
        <w:tabs>
          <w:tab w:leader="none" w:pos="1400" w:val="left"/>
        </w:tabs>
        <w:rPr>
          <w:sz w:val="20"/>
          <w:szCs w:val="20"/>
          <w:color w:val="auto"/>
        </w:rPr>
      </w:pPr>
      <w:r>
        <w:rPr>
          <w:rFonts w:ascii="Arial" w:cs="Arial" w:eastAsia="Arial" w:hAnsi="Arial"/>
          <w:sz w:val="14"/>
          <w:szCs w:val="14"/>
          <w:color w:val="auto"/>
        </w:rPr>
        <w:t>10.5</w:t>
      </w:r>
      <w:r>
        <w:rPr>
          <w:sz w:val="20"/>
          <w:szCs w:val="20"/>
          <w:color w:val="auto"/>
        </w:rPr>
        <w:tab/>
      </w:r>
      <w:r>
        <w:rPr>
          <w:rFonts w:ascii="Arial" w:cs="Arial" w:eastAsia="Arial" w:hAnsi="Arial"/>
          <w:sz w:val="14"/>
          <w:szCs w:val="14"/>
          <w:color w:val="auto"/>
        </w:rPr>
        <w:t>M</w:t>
      </w:r>
      <w:r>
        <w:rPr>
          <w:rFonts w:ascii="Arial" w:cs="Arial" w:eastAsia="Arial" w:hAnsi="Arial"/>
          <w:sz w:val="13"/>
          <w:szCs w:val="13"/>
          <w:color w:val="auto"/>
        </w:rPr>
        <w:t>&amp;T Bank Corporation 2001 Stock Option Plan. Incorporated by reference to Appendix A to the Proxy Statement of M&amp;T Bank Corporation dated March 6, 2001 (File</w:t>
      </w:r>
      <w:r>
        <w:rPr>
          <w:rFonts w:ascii="Arial" w:cs="Arial" w:eastAsia="Arial" w:hAnsi="Arial"/>
          <w:sz w:val="14"/>
          <w:szCs w:val="14"/>
          <w:color w:val="auto"/>
        </w:rPr>
        <w:t xml:space="preserve"> </w:t>
      </w:r>
      <w:r>
        <w:rPr>
          <w:rFonts w:ascii="Arial" w:cs="Arial" w:eastAsia="Arial" w:hAnsi="Arial"/>
          <w:sz w:val="13"/>
          <w:szCs w:val="13"/>
          <w:color w:val="auto"/>
        </w:rPr>
        <w:t>No. 1-9861).*</w:t>
      </w:r>
    </w:p>
    <w:p>
      <w:pPr>
        <w:spacing w:after="0" w:line="1" w:lineRule="exact"/>
        <w:rPr>
          <w:sz w:val="20"/>
          <w:szCs w:val="20"/>
          <w:color w:val="auto"/>
        </w:rPr>
      </w:pPr>
    </w:p>
    <w:p>
      <w:pPr>
        <w:ind w:left="1420" w:right="580" w:hanging="536"/>
        <w:spacing w:after="0" w:line="241" w:lineRule="auto"/>
        <w:tabs>
          <w:tab w:leader="none" w:pos="1400" w:val="left"/>
        </w:tabs>
        <w:rPr>
          <w:sz w:val="20"/>
          <w:szCs w:val="20"/>
          <w:color w:val="auto"/>
        </w:rPr>
      </w:pPr>
      <w:r>
        <w:rPr>
          <w:rFonts w:ascii="Arial" w:cs="Arial" w:eastAsia="Arial" w:hAnsi="Arial"/>
          <w:sz w:val="14"/>
          <w:szCs w:val="14"/>
          <w:color w:val="auto"/>
        </w:rPr>
        <w:t>10.6</w:t>
      </w:r>
      <w:r>
        <w:rPr>
          <w:sz w:val="20"/>
          <w:szCs w:val="20"/>
          <w:color w:val="auto"/>
        </w:rPr>
        <w:tab/>
      </w:r>
      <w:r>
        <w:rPr>
          <w:rFonts w:ascii="Arial" w:cs="Arial" w:eastAsia="Arial" w:hAnsi="Arial"/>
          <w:sz w:val="14"/>
          <w:szCs w:val="14"/>
          <w:color w:val="auto"/>
        </w:rPr>
        <w:t>M</w:t>
      </w:r>
      <w:r>
        <w:rPr>
          <w:rFonts w:ascii="Arial" w:cs="Arial" w:eastAsia="Arial" w:hAnsi="Arial"/>
          <w:sz w:val="13"/>
          <w:szCs w:val="13"/>
          <w:color w:val="auto"/>
        </w:rPr>
        <w:t>&amp;T Bank Corporation Annual Executive Incentive Plan. Incorporated by reference to Exhibit No. 10.3 to the Form 10-Q for the quarter ended June 30, 1998 (File</w:t>
      </w:r>
      <w:r>
        <w:rPr>
          <w:rFonts w:ascii="Arial" w:cs="Arial" w:eastAsia="Arial" w:hAnsi="Arial"/>
          <w:sz w:val="14"/>
          <w:szCs w:val="14"/>
          <w:color w:val="auto"/>
        </w:rPr>
        <w:t xml:space="preserve"> </w:t>
      </w:r>
      <w:r>
        <w:rPr>
          <w:rFonts w:ascii="Arial" w:cs="Arial" w:eastAsia="Arial" w:hAnsi="Arial"/>
          <w:sz w:val="13"/>
          <w:szCs w:val="13"/>
          <w:color w:val="auto"/>
        </w:rPr>
        <w:t>No. 1-9861).*</w:t>
      </w:r>
    </w:p>
    <w:p>
      <w:pPr>
        <w:spacing w:after="0" w:line="1" w:lineRule="exact"/>
        <w:rPr>
          <w:sz w:val="20"/>
          <w:szCs w:val="20"/>
          <w:color w:val="auto"/>
        </w:rPr>
      </w:pPr>
    </w:p>
    <w:p>
      <w:pPr>
        <w:ind w:left="1420" w:right="280" w:hanging="536"/>
        <w:spacing w:after="0" w:line="249" w:lineRule="auto"/>
        <w:tabs>
          <w:tab w:leader="none" w:pos="1400" w:val="left"/>
        </w:tabs>
        <w:rPr>
          <w:sz w:val="20"/>
          <w:szCs w:val="20"/>
          <w:color w:val="auto"/>
        </w:rPr>
      </w:pPr>
      <w:r>
        <w:rPr>
          <w:rFonts w:ascii="Arial" w:cs="Arial" w:eastAsia="Arial" w:hAnsi="Arial"/>
          <w:sz w:val="14"/>
          <w:szCs w:val="14"/>
          <w:color w:val="auto"/>
        </w:rPr>
        <w:t>10.7</w:t>
      </w:r>
      <w:r>
        <w:rPr>
          <w:sz w:val="20"/>
          <w:szCs w:val="20"/>
          <w:color w:val="auto"/>
        </w:rPr>
        <w:tab/>
      </w:r>
      <w:r>
        <w:rPr>
          <w:rFonts w:ascii="Arial" w:cs="Arial" w:eastAsia="Arial" w:hAnsi="Arial"/>
          <w:sz w:val="14"/>
          <w:szCs w:val="14"/>
          <w:color w:val="auto"/>
        </w:rPr>
        <w:t>Supplemental Deferred Compensation Agreement between Manufacturers and Traders Trust Company and Robert E. Sadler, Jr. dated as of March 7, 1985. Incorporated by reference to Exhibit (10)(d)(A) to the Form 10-K for the year ended December 31, 1984 (File No. 0-4561).*</w:t>
      </w:r>
    </w:p>
    <w:p>
      <w:pPr>
        <w:spacing w:after="0" w:line="1" w:lineRule="exact"/>
        <w:rPr>
          <w:sz w:val="20"/>
          <w:szCs w:val="20"/>
          <w:color w:val="auto"/>
        </w:rPr>
      </w:pPr>
    </w:p>
    <w:p>
      <w:pPr>
        <w:ind w:left="1420" w:right="20" w:hanging="536"/>
        <w:spacing w:after="0" w:line="249" w:lineRule="auto"/>
        <w:tabs>
          <w:tab w:leader="none" w:pos="1400" w:val="left"/>
        </w:tabs>
        <w:rPr>
          <w:sz w:val="20"/>
          <w:szCs w:val="20"/>
          <w:color w:val="auto"/>
        </w:rPr>
      </w:pPr>
      <w:r>
        <w:rPr>
          <w:rFonts w:ascii="Arial" w:cs="Arial" w:eastAsia="Arial" w:hAnsi="Arial"/>
          <w:sz w:val="14"/>
          <w:szCs w:val="14"/>
          <w:color w:val="auto"/>
        </w:rPr>
        <w:t>10.8</w:t>
      </w:r>
      <w:r>
        <w:rPr>
          <w:sz w:val="20"/>
          <w:szCs w:val="20"/>
          <w:color w:val="auto"/>
        </w:rPr>
        <w:tab/>
      </w:r>
      <w:r>
        <w:rPr>
          <w:rFonts w:ascii="Arial" w:cs="Arial" w:eastAsia="Arial" w:hAnsi="Arial"/>
          <w:sz w:val="14"/>
          <w:szCs w:val="14"/>
          <w:color w:val="auto"/>
        </w:rPr>
        <w:t>First amendment, dated as of August 1, 2006, to the Supplemental Deferred Compensation Agreement between Manufacturers and Traders Trust Company and Robert E. Sadler, Jr. dated as of March 7, 1985. Incorporated by reference to Exhibit 10.1 to the Form 10-Q for the quarter ended September 30, 2006 (File No. 1-9861).*</w:t>
      </w:r>
    </w:p>
    <w:p>
      <w:pPr>
        <w:ind w:left="1420" w:right="560" w:hanging="536"/>
        <w:spacing w:after="0" w:line="249" w:lineRule="auto"/>
        <w:tabs>
          <w:tab w:leader="none" w:pos="1400" w:val="left"/>
        </w:tabs>
        <w:rPr>
          <w:sz w:val="20"/>
          <w:szCs w:val="20"/>
          <w:color w:val="auto"/>
        </w:rPr>
      </w:pPr>
      <w:r>
        <w:rPr>
          <w:rFonts w:ascii="Arial" w:cs="Arial" w:eastAsia="Arial" w:hAnsi="Arial"/>
          <w:sz w:val="14"/>
          <w:szCs w:val="14"/>
          <w:color w:val="auto"/>
        </w:rPr>
        <w:t>10.9</w:t>
      </w:r>
      <w:r>
        <w:rPr>
          <w:sz w:val="20"/>
          <w:szCs w:val="20"/>
          <w:color w:val="auto"/>
        </w:rPr>
        <w:tab/>
      </w:r>
      <w:r>
        <w:rPr>
          <w:rFonts w:ascii="Arial" w:cs="Arial" w:eastAsia="Arial" w:hAnsi="Arial"/>
          <w:sz w:val="14"/>
          <w:szCs w:val="14"/>
          <w:color w:val="auto"/>
        </w:rPr>
        <w:t>Supplemental Deferred Compensation Agreement between Manufacturers and Traders Trust Company and Brian E. Hickey dated as of July 21, 1994. Incorporated by reference to Exhibit 10.8 to the Form 10-K for the year ended December 31, 1995 (File No. 1-9861).*</w:t>
      </w:r>
    </w:p>
    <w:p>
      <w:pPr>
        <w:jc w:val="center"/>
        <w:ind w:right="-859"/>
        <w:spacing w:after="0"/>
        <w:tabs>
          <w:tab w:leader="none" w:pos="200" w:val="left"/>
        </w:tabs>
        <w:rPr>
          <w:sz w:val="20"/>
          <w:szCs w:val="20"/>
          <w:color w:val="auto"/>
        </w:rPr>
      </w:pPr>
      <w:r>
        <w:rPr>
          <w:rFonts w:ascii="Arial" w:cs="Arial" w:eastAsia="Arial" w:hAnsi="Arial"/>
          <w:sz w:val="14"/>
          <w:szCs w:val="14"/>
          <w:color w:val="auto"/>
        </w:rPr>
        <w:t>10.10</w:t>
      </w:r>
      <w:r>
        <w:rPr>
          <w:sz w:val="20"/>
          <w:szCs w:val="20"/>
          <w:color w:val="auto"/>
        </w:rPr>
        <w:tab/>
      </w:r>
      <w:r>
        <w:rPr>
          <w:rFonts w:ascii="Arial" w:cs="Arial" w:eastAsia="Arial" w:hAnsi="Arial"/>
          <w:sz w:val="12"/>
          <w:szCs w:val="12"/>
          <w:color w:val="auto"/>
        </w:rPr>
        <w:t>First amendment, dated as of August 1, 2006, to the Supplemental Deferred Compensation Agreement between Manufacturers and Traders Trust Company and</w:t>
      </w:r>
    </w:p>
    <w:p>
      <w:pPr>
        <w:spacing w:after="0" w:line="6" w:lineRule="exact"/>
        <w:rPr>
          <w:sz w:val="20"/>
          <w:szCs w:val="20"/>
          <w:color w:val="auto"/>
        </w:rPr>
      </w:pPr>
    </w:p>
    <w:p>
      <w:pPr>
        <w:ind w:left="1420" w:right="560"/>
        <w:spacing w:after="0" w:line="249" w:lineRule="auto"/>
        <w:rPr>
          <w:sz w:val="20"/>
          <w:szCs w:val="20"/>
          <w:color w:val="auto"/>
        </w:rPr>
      </w:pPr>
      <w:r>
        <w:rPr>
          <w:rFonts w:ascii="Arial" w:cs="Arial" w:eastAsia="Arial" w:hAnsi="Arial"/>
          <w:sz w:val="14"/>
          <w:szCs w:val="14"/>
          <w:color w:val="auto"/>
        </w:rPr>
        <w:t>Brian E. Hickey dated as of July 21, 1994. Incorporated by reference to Exhibit 10.2 to the Form 10-Q for the quarter ended September 30, 2006 (File No. 1-9861).*</w:t>
      </w:r>
    </w:p>
    <w:p>
      <w:pPr>
        <w:ind w:left="1420" w:right="160" w:hanging="536"/>
        <w:spacing w:after="0" w:line="249" w:lineRule="auto"/>
        <w:tabs>
          <w:tab w:leader="none" w:pos="1400" w:val="left"/>
        </w:tabs>
        <w:rPr>
          <w:sz w:val="20"/>
          <w:szCs w:val="20"/>
          <w:color w:val="auto"/>
        </w:rPr>
      </w:pPr>
      <w:r>
        <w:rPr>
          <w:rFonts w:ascii="Arial" w:cs="Arial" w:eastAsia="Arial" w:hAnsi="Arial"/>
          <w:sz w:val="14"/>
          <w:szCs w:val="14"/>
          <w:color w:val="auto"/>
        </w:rPr>
        <w:t>10.11</w:t>
        <w:tab/>
        <w:t>Supplemental Deferred Compensation Agreement, dated July 17, 1989, between The East New York Savings Bank and Atwood Collins, III. Incorporated by reference to Exhibit 10.11 to the Form 10-K for the year ended December 31, 1991 (File No. 1-9861).*</w:t>
      </w:r>
    </w:p>
    <w:p>
      <w:pPr>
        <w:ind w:left="1420" w:right="380" w:hanging="536"/>
        <w:spacing w:after="0" w:line="268" w:lineRule="auto"/>
        <w:tabs>
          <w:tab w:leader="none" w:pos="1400" w:val="left"/>
        </w:tabs>
        <w:rPr>
          <w:sz w:val="20"/>
          <w:szCs w:val="20"/>
          <w:color w:val="auto"/>
        </w:rPr>
      </w:pPr>
      <w:r>
        <w:rPr>
          <w:rFonts w:ascii="Arial" w:cs="Arial" w:eastAsia="Arial" w:hAnsi="Arial"/>
          <w:sz w:val="14"/>
          <w:szCs w:val="14"/>
          <w:color w:val="auto"/>
        </w:rPr>
        <w:t>10.12</w:t>
      </w:r>
      <w:r>
        <w:rPr>
          <w:sz w:val="20"/>
          <w:szCs w:val="20"/>
          <w:color w:val="auto"/>
        </w:rPr>
        <w:tab/>
      </w:r>
      <w:r>
        <w:rPr>
          <w:rFonts w:ascii="Arial" w:cs="Arial" w:eastAsia="Arial" w:hAnsi="Arial"/>
          <w:sz w:val="13"/>
          <w:szCs w:val="13"/>
          <w:color w:val="auto"/>
        </w:rPr>
        <w:t>First amendment, dated as of August 1, 2006, to the Supplemental Deferred Compensation Agreement, dated July 17, 1989, between The East New York Savings Bank and Atwood Collins, III. Incorporated by reference to Exhibit 10.3 to the Form 10-Q for the quarter ended September 30, 2006 (File</w:t>
      </w:r>
    </w:p>
    <w:p>
      <w:pPr>
        <w:ind w:left="1420"/>
        <w:spacing w:after="0"/>
        <w:rPr>
          <w:sz w:val="20"/>
          <w:szCs w:val="20"/>
          <w:color w:val="auto"/>
        </w:rPr>
      </w:pPr>
      <w:r>
        <w:rPr>
          <w:rFonts w:ascii="Arial" w:cs="Arial" w:eastAsia="Arial" w:hAnsi="Arial"/>
          <w:sz w:val="14"/>
          <w:szCs w:val="14"/>
          <w:color w:val="auto"/>
        </w:rPr>
        <w:t>No. 1-9861).*</w:t>
      </w:r>
    </w:p>
    <w:p>
      <w:pPr>
        <w:spacing w:after="0" w:line="6" w:lineRule="exact"/>
        <w:rPr>
          <w:sz w:val="20"/>
          <w:szCs w:val="20"/>
          <w:color w:val="auto"/>
        </w:rPr>
      </w:pPr>
    </w:p>
    <w:p>
      <w:pPr>
        <w:ind w:left="1420" w:right="320" w:hanging="536"/>
        <w:spacing w:after="0" w:line="241" w:lineRule="auto"/>
        <w:tabs>
          <w:tab w:leader="none" w:pos="1400" w:val="left"/>
        </w:tabs>
        <w:rPr>
          <w:sz w:val="20"/>
          <w:szCs w:val="20"/>
          <w:color w:val="auto"/>
        </w:rPr>
      </w:pPr>
      <w:r>
        <w:rPr>
          <w:rFonts w:ascii="Arial" w:cs="Arial" w:eastAsia="Arial" w:hAnsi="Arial"/>
          <w:sz w:val="14"/>
          <w:szCs w:val="14"/>
          <w:color w:val="auto"/>
        </w:rPr>
        <w:t>10.13</w:t>
        <w:tab/>
        <w:t>M</w:t>
      </w:r>
      <w:r>
        <w:rPr>
          <w:rFonts w:ascii="Arial" w:cs="Arial" w:eastAsia="Arial" w:hAnsi="Arial"/>
          <w:sz w:val="13"/>
          <w:szCs w:val="13"/>
          <w:color w:val="auto"/>
        </w:rPr>
        <w:t>&amp;T Bank Corporation Supplemental Pension Plan, as amended and restated. Incorporated by reference to Exhibit 10.1 to the Form 8-K dated November 15, 2005 (File</w:t>
      </w:r>
      <w:r>
        <w:rPr>
          <w:rFonts w:ascii="Arial" w:cs="Arial" w:eastAsia="Arial" w:hAnsi="Arial"/>
          <w:sz w:val="14"/>
          <w:szCs w:val="14"/>
          <w:color w:val="auto"/>
        </w:rPr>
        <w:t xml:space="preserve"> </w:t>
      </w:r>
      <w:r>
        <w:rPr>
          <w:rFonts w:ascii="Arial" w:cs="Arial" w:eastAsia="Arial" w:hAnsi="Arial"/>
          <w:sz w:val="13"/>
          <w:szCs w:val="13"/>
          <w:color w:val="auto"/>
        </w:rPr>
        <w:t>No. 1-9861).*</w:t>
      </w:r>
    </w:p>
    <w:p>
      <w:pPr>
        <w:ind w:left="880"/>
        <w:spacing w:after="0"/>
        <w:tabs>
          <w:tab w:leader="none" w:pos="1400" w:val="left"/>
        </w:tabs>
        <w:rPr>
          <w:sz w:val="20"/>
          <w:szCs w:val="20"/>
          <w:color w:val="auto"/>
        </w:rPr>
      </w:pPr>
      <w:r>
        <w:rPr>
          <w:rFonts w:ascii="Arial" w:cs="Arial" w:eastAsia="Arial" w:hAnsi="Arial"/>
          <w:sz w:val="14"/>
          <w:szCs w:val="14"/>
          <w:color w:val="auto"/>
        </w:rPr>
        <w:t>10.14</w:t>
      </w:r>
      <w:r>
        <w:rPr>
          <w:sz w:val="20"/>
          <w:szCs w:val="20"/>
          <w:color w:val="auto"/>
        </w:rPr>
        <w:tab/>
      </w:r>
      <w:r>
        <w:rPr>
          <w:rFonts w:ascii="Arial" w:cs="Arial" w:eastAsia="Arial" w:hAnsi="Arial"/>
          <w:sz w:val="13"/>
          <w:szCs w:val="13"/>
          <w:color w:val="auto"/>
        </w:rPr>
        <w:t>M</w:t>
      </w:r>
      <w:r>
        <w:rPr>
          <w:rFonts w:ascii="Arial" w:cs="Arial" w:eastAsia="Arial" w:hAnsi="Arial"/>
          <w:sz w:val="12"/>
          <w:szCs w:val="12"/>
          <w:color w:val="auto"/>
        </w:rPr>
        <w:t>&amp;T Bank Corporation Supplemental Retirement Savings Plan. Incorporated by reference to Exhibit 10.2 to the Form 8-K dated November 15, 2005 (File No. 1-9861).*</w:t>
      </w:r>
    </w:p>
    <w:p>
      <w:pPr>
        <w:spacing w:after="0" w:line="7" w:lineRule="exact"/>
        <w:rPr>
          <w:sz w:val="20"/>
          <w:szCs w:val="20"/>
          <w:color w:val="auto"/>
        </w:rPr>
      </w:pPr>
    </w:p>
    <w:p>
      <w:pPr>
        <w:ind w:left="1420" w:right="160" w:hanging="536"/>
        <w:spacing w:after="0" w:line="241" w:lineRule="auto"/>
        <w:tabs>
          <w:tab w:leader="none" w:pos="1400" w:val="left"/>
        </w:tabs>
        <w:rPr>
          <w:sz w:val="20"/>
          <w:szCs w:val="20"/>
          <w:color w:val="auto"/>
        </w:rPr>
      </w:pPr>
      <w:r>
        <w:rPr>
          <w:rFonts w:ascii="Arial" w:cs="Arial" w:eastAsia="Arial" w:hAnsi="Arial"/>
          <w:sz w:val="14"/>
          <w:szCs w:val="14"/>
          <w:color w:val="auto"/>
        </w:rPr>
        <w:t>10.15</w:t>
        <w:tab/>
        <w:t>M</w:t>
      </w:r>
      <w:r>
        <w:rPr>
          <w:rFonts w:ascii="Arial" w:cs="Arial" w:eastAsia="Arial" w:hAnsi="Arial"/>
          <w:sz w:val="13"/>
          <w:szCs w:val="13"/>
          <w:color w:val="auto"/>
        </w:rPr>
        <w:t>&amp;T Bank Corporation Deferred Bonus Plan, as amended and restated. Incorporated by reference to Exhibit 10.12 to the Form 10-K for the year ended December 31, 2004</w:t>
      </w:r>
      <w:r>
        <w:rPr>
          <w:rFonts w:ascii="Arial" w:cs="Arial" w:eastAsia="Arial" w:hAnsi="Arial"/>
          <w:sz w:val="14"/>
          <w:szCs w:val="14"/>
          <w:color w:val="auto"/>
        </w:rPr>
        <w:t xml:space="preserve"> </w:t>
      </w:r>
      <w:r>
        <w:rPr>
          <w:rFonts w:ascii="Arial" w:cs="Arial" w:eastAsia="Arial" w:hAnsi="Arial"/>
          <w:sz w:val="13"/>
          <w:szCs w:val="13"/>
          <w:color w:val="auto"/>
        </w:rPr>
        <w:t>(File No. 1-9861).*</w:t>
      </w:r>
    </w:p>
    <w:p>
      <w:pPr>
        <w:ind w:left="1420" w:right="60" w:hanging="536"/>
        <w:spacing w:after="0" w:line="241" w:lineRule="auto"/>
        <w:tabs>
          <w:tab w:leader="none" w:pos="1400" w:val="left"/>
        </w:tabs>
        <w:rPr>
          <w:sz w:val="20"/>
          <w:szCs w:val="20"/>
          <w:color w:val="auto"/>
        </w:rPr>
      </w:pPr>
      <w:r>
        <w:rPr>
          <w:rFonts w:ascii="Arial" w:cs="Arial" w:eastAsia="Arial" w:hAnsi="Arial"/>
          <w:sz w:val="14"/>
          <w:szCs w:val="14"/>
          <w:color w:val="auto"/>
        </w:rPr>
        <w:t>10.16</w:t>
        <w:tab/>
        <w:t>M</w:t>
      </w:r>
      <w:r>
        <w:rPr>
          <w:rFonts w:ascii="Arial" w:cs="Arial" w:eastAsia="Arial" w:hAnsi="Arial"/>
          <w:sz w:val="13"/>
          <w:szCs w:val="13"/>
          <w:color w:val="auto"/>
        </w:rPr>
        <w:t>&amp;T Bank Corporation Directors’ Stock Plan, as amended and restated. Incorporated by reference to Exhibit 10.1 to the Form 10-Q for the quarter ended June 30, 2006 (File</w:t>
      </w:r>
      <w:r>
        <w:rPr>
          <w:rFonts w:ascii="Arial" w:cs="Arial" w:eastAsia="Arial" w:hAnsi="Arial"/>
          <w:sz w:val="14"/>
          <w:szCs w:val="14"/>
          <w:color w:val="auto"/>
        </w:rPr>
        <w:t xml:space="preserve"> </w:t>
      </w:r>
      <w:r>
        <w:rPr>
          <w:rFonts w:ascii="Arial" w:cs="Arial" w:eastAsia="Arial" w:hAnsi="Arial"/>
          <w:sz w:val="13"/>
          <w:szCs w:val="13"/>
          <w:color w:val="auto"/>
        </w:rPr>
        <w:t>No. 1-9361).*</w:t>
      </w:r>
    </w:p>
    <w:p>
      <w:pPr>
        <w:spacing w:after="0" w:line="1" w:lineRule="exact"/>
        <w:rPr>
          <w:sz w:val="20"/>
          <w:szCs w:val="20"/>
          <w:color w:val="auto"/>
        </w:rPr>
      </w:pPr>
    </w:p>
    <w:p>
      <w:pPr>
        <w:ind w:left="1420" w:right="180" w:hanging="536"/>
        <w:spacing w:after="0" w:line="249" w:lineRule="auto"/>
        <w:tabs>
          <w:tab w:leader="none" w:pos="1400" w:val="left"/>
        </w:tabs>
        <w:rPr>
          <w:sz w:val="20"/>
          <w:szCs w:val="20"/>
          <w:color w:val="auto"/>
        </w:rPr>
      </w:pPr>
      <w:r>
        <w:rPr>
          <w:rFonts w:ascii="Arial" w:cs="Arial" w:eastAsia="Arial" w:hAnsi="Arial"/>
          <w:sz w:val="14"/>
          <w:szCs w:val="14"/>
          <w:color w:val="auto"/>
        </w:rPr>
        <w:t>10.17</w:t>
        <w:tab/>
        <w:t>Restated 1987 Stock Option and Appreciation Rights Plan of ONBANCorp, Inc. Incorporated by reference to Exhibit 10.11 to the Form 10-Q for the quarter ended June 30, 1998 (File No. 1-9861).*</w:t>
      </w:r>
    </w:p>
    <w:p>
      <w:pPr>
        <w:spacing w:after="0" w:line="1" w:lineRule="exact"/>
        <w:rPr>
          <w:sz w:val="20"/>
          <w:szCs w:val="20"/>
          <w:color w:val="auto"/>
        </w:rPr>
      </w:pPr>
    </w:p>
    <w:p>
      <w:pPr>
        <w:ind w:left="1420" w:right="420" w:hanging="536"/>
        <w:spacing w:after="0" w:line="249" w:lineRule="auto"/>
        <w:tabs>
          <w:tab w:leader="none" w:pos="1400" w:val="left"/>
        </w:tabs>
        <w:rPr>
          <w:sz w:val="20"/>
          <w:szCs w:val="20"/>
          <w:color w:val="auto"/>
        </w:rPr>
      </w:pPr>
      <w:r>
        <w:rPr>
          <w:rFonts w:ascii="Arial" w:cs="Arial" w:eastAsia="Arial" w:hAnsi="Arial"/>
          <w:sz w:val="14"/>
          <w:szCs w:val="14"/>
          <w:color w:val="auto"/>
        </w:rPr>
        <w:t>10.18</w:t>
        <w:tab/>
        <w:t>1992 ONBANCorp Directors’ Stock Option Plan. Incorporated by reference to Exhibit 10.12 to the Form 10-Q for the quarter ended June 30, 1998 (File No. 1-9861).*</w:t>
      </w:r>
    </w:p>
    <w:p>
      <w:pPr>
        <w:ind w:left="1420" w:hanging="536"/>
        <w:spacing w:after="0" w:line="249" w:lineRule="auto"/>
        <w:tabs>
          <w:tab w:leader="none" w:pos="1400" w:val="left"/>
        </w:tabs>
        <w:rPr>
          <w:sz w:val="20"/>
          <w:szCs w:val="20"/>
          <w:color w:val="auto"/>
        </w:rPr>
      </w:pPr>
      <w:r>
        <w:rPr>
          <w:rFonts w:ascii="Arial" w:cs="Arial" w:eastAsia="Arial" w:hAnsi="Arial"/>
          <w:sz w:val="14"/>
          <w:szCs w:val="14"/>
          <w:color w:val="auto"/>
        </w:rPr>
        <w:t>10.19</w:t>
        <w:tab/>
        <w:t>Keystone Financial, Inc. 1997 Stock Incentive Plan, as amended November 19, 1998. Incorporated by reference to Exhibit 10.16 to the Form 10-K of Keystone Financial, Inc. for the year ended December 31, 1998 (File No. 000-11460).*</w:t>
      </w:r>
    </w:p>
    <w:p>
      <w:pPr>
        <w:ind w:left="1420" w:hanging="536"/>
        <w:spacing w:after="0" w:line="249" w:lineRule="auto"/>
        <w:tabs>
          <w:tab w:leader="none" w:pos="1400" w:val="left"/>
        </w:tabs>
        <w:rPr>
          <w:sz w:val="20"/>
          <w:szCs w:val="20"/>
          <w:color w:val="auto"/>
        </w:rPr>
      </w:pPr>
      <w:r>
        <w:rPr>
          <w:rFonts w:ascii="Arial" w:cs="Arial" w:eastAsia="Arial" w:hAnsi="Arial"/>
          <w:sz w:val="14"/>
          <w:szCs w:val="14"/>
          <w:color w:val="auto"/>
        </w:rPr>
        <w:t>10.20</w:t>
        <w:tab/>
        <w:t>Keystone Financial, Inc. 1992 Stock Incentive Plan. Incorporated by reference to Exhibit 10.10 to the Form 10-K of Keystone Financial, Inc. for the year ended December 31, 1997 (File No. 000-11460).*</w:t>
      </w:r>
    </w:p>
    <w:p>
      <w:pPr>
        <w:ind w:left="1420" w:right="60" w:hanging="536"/>
        <w:spacing w:after="0" w:line="249" w:lineRule="auto"/>
        <w:tabs>
          <w:tab w:leader="none" w:pos="1400" w:val="left"/>
        </w:tabs>
        <w:rPr>
          <w:sz w:val="20"/>
          <w:szCs w:val="20"/>
          <w:color w:val="auto"/>
        </w:rPr>
      </w:pPr>
      <w:r>
        <w:rPr>
          <w:rFonts w:ascii="Arial" w:cs="Arial" w:eastAsia="Arial" w:hAnsi="Arial"/>
          <w:sz w:val="14"/>
          <w:szCs w:val="14"/>
          <w:color w:val="auto"/>
        </w:rPr>
        <w:t>10.21</w:t>
        <w:tab/>
        <w:t>Keystone Financial, Inc. 1988 Stock Incentive Plan. Incorporated by reference to Exhibit 10.2 to the Form 10-K of Keystone Financial, Inc. for the year ended December 31, 1998 (File No. 000-11460).*</w:t>
      </w:r>
    </w:p>
    <w:p>
      <w:pPr>
        <w:ind w:left="1420" w:right="460" w:hanging="536"/>
        <w:spacing w:after="0" w:line="249" w:lineRule="auto"/>
        <w:tabs>
          <w:tab w:leader="none" w:pos="1400" w:val="left"/>
        </w:tabs>
        <w:rPr>
          <w:sz w:val="20"/>
          <w:szCs w:val="20"/>
          <w:color w:val="auto"/>
        </w:rPr>
      </w:pPr>
      <w:r>
        <w:rPr>
          <w:rFonts w:ascii="Arial" w:cs="Arial" w:eastAsia="Arial" w:hAnsi="Arial"/>
          <w:sz w:val="14"/>
          <w:szCs w:val="14"/>
          <w:color w:val="auto"/>
        </w:rPr>
        <w:t>10.22</w:t>
        <w:tab/>
        <w:t>Keystone Financial, Inc. 1995 Non-Employee Directors’ Stock Option Plan. Incorporated by reference to Exhibit B to the Proxy Statement of Keystone Financial, Inc. dated April 7, 1995 (File No. 000-11460).*</w:t>
      </w:r>
    </w:p>
    <w:p>
      <w:pPr>
        <w:ind w:left="1420" w:right="440" w:hanging="536"/>
        <w:spacing w:after="0" w:line="263" w:lineRule="auto"/>
        <w:tabs>
          <w:tab w:leader="none" w:pos="1400" w:val="left"/>
        </w:tabs>
        <w:rPr>
          <w:sz w:val="20"/>
          <w:szCs w:val="20"/>
          <w:color w:val="auto"/>
        </w:rPr>
      </w:pPr>
      <w:r>
        <w:rPr>
          <w:rFonts w:ascii="Arial" w:cs="Arial" w:eastAsia="Arial" w:hAnsi="Arial"/>
          <w:sz w:val="14"/>
          <w:szCs w:val="14"/>
          <w:color w:val="auto"/>
        </w:rPr>
        <w:t>10.23</w:t>
        <w:tab/>
        <w:t>Keystone Financial, Inc. 1990 Non-Employee Directors’ Stock Option Plan, as amended. Incorporated by reference to Exhibit 10.9 to the Form 10-K of Keystone Financial, Inc. for the year ended December 31, 1998 (File No. 000-11460).*</w:t>
      </w:r>
    </w:p>
    <w:p>
      <w:pPr>
        <w:spacing w:after="0" w:line="136" w:lineRule="exact"/>
        <w:rPr>
          <w:sz w:val="20"/>
          <w:szCs w:val="20"/>
          <w:color w:val="auto"/>
        </w:rPr>
      </w:pPr>
    </w:p>
    <w:p>
      <w:pPr>
        <w:ind w:left="680"/>
        <w:spacing w:after="0"/>
        <w:rPr>
          <w:sz w:val="20"/>
          <w:szCs w:val="20"/>
          <w:color w:val="auto"/>
        </w:rPr>
      </w:pPr>
      <w:r>
        <w:rPr>
          <w:rFonts w:ascii="Arial" w:cs="Arial" w:eastAsia="Arial" w:hAnsi="Arial"/>
          <w:sz w:val="10"/>
          <w:szCs w:val="10"/>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100330</wp:posOffset>
            </wp:positionV>
            <wp:extent cx="7290435"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39" w:name="page140"/>
    <w:bookmarkEnd w:id="1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4" w:lineRule="exact"/>
        <w:rPr>
          <w:sz w:val="20"/>
          <w:szCs w:val="20"/>
          <w:color w:val="auto"/>
        </w:rPr>
      </w:pPr>
    </w:p>
    <w:p>
      <w:pPr>
        <w:ind w:left="1420" w:right="220" w:hanging="536"/>
        <w:spacing w:after="0" w:line="258" w:lineRule="auto"/>
        <w:tabs>
          <w:tab w:leader="none" w:pos="1400" w:val="left"/>
        </w:tabs>
        <w:rPr>
          <w:sz w:val="20"/>
          <w:szCs w:val="20"/>
          <w:color w:val="auto"/>
        </w:rPr>
      </w:pPr>
      <w:r>
        <w:rPr>
          <w:rFonts w:ascii="Arial" w:cs="Arial" w:eastAsia="Arial" w:hAnsi="Arial"/>
          <w:sz w:val="14"/>
          <w:szCs w:val="14"/>
          <w:color w:val="auto"/>
        </w:rPr>
        <w:t>10.24</w:t>
        <w:tab/>
        <w:t>Keystone Financial, Inc. 1992 Director Fee Plan. Incorporated by reference to Exhibit 10.11 to the Form 10-K of Keystone Financial, Inc. for the year ended December 31, 1999 (File No. 000-11460).*</w:t>
      </w:r>
    </w:p>
    <w:p>
      <w:pPr>
        <w:ind w:left="1420" w:right="20" w:hanging="536"/>
        <w:spacing w:after="0" w:line="249" w:lineRule="auto"/>
        <w:tabs>
          <w:tab w:leader="none" w:pos="1400" w:val="left"/>
        </w:tabs>
        <w:rPr>
          <w:sz w:val="20"/>
          <w:szCs w:val="20"/>
          <w:color w:val="auto"/>
        </w:rPr>
      </w:pPr>
      <w:r>
        <w:rPr>
          <w:rFonts w:ascii="Arial" w:cs="Arial" w:eastAsia="Arial" w:hAnsi="Arial"/>
          <w:sz w:val="14"/>
          <w:szCs w:val="14"/>
          <w:color w:val="auto"/>
        </w:rPr>
        <w:t>10.25</w:t>
        <w:tab/>
        <w:t>Financial Trust Corp Non-Employee Director Stock Option Plan of 1994. Incorporated by reference to Exhibit 4.1 to the Registration Statement on Form S-8 of Financial Trust Corp, dated March 26, 1996 (File No. 333-01989).*</w:t>
      </w:r>
    </w:p>
    <w:p>
      <w:pPr>
        <w:ind w:left="1420" w:right="40" w:hanging="536"/>
        <w:spacing w:after="0" w:line="249" w:lineRule="auto"/>
        <w:tabs>
          <w:tab w:leader="none" w:pos="1400" w:val="left"/>
        </w:tabs>
        <w:rPr>
          <w:sz w:val="20"/>
          <w:szCs w:val="20"/>
          <w:color w:val="auto"/>
        </w:rPr>
      </w:pPr>
      <w:r>
        <w:rPr>
          <w:rFonts w:ascii="Arial" w:cs="Arial" w:eastAsia="Arial" w:hAnsi="Arial"/>
          <w:sz w:val="14"/>
          <w:szCs w:val="14"/>
          <w:color w:val="auto"/>
        </w:rPr>
        <w:t>10.26</w:t>
        <w:tab/>
        <w:t>Progressive Bank, Inc. 1993 Non-Qualified Stock Option Plan for Directors. Incorporated by reference to Exhibit 10.9 to the Progressive Bank, Inc. Form 10-K for the year ended December 31, 1993 (File No. 0-15025).*</w:t>
      </w:r>
    </w:p>
    <w:p>
      <w:pPr>
        <w:ind w:left="1420" w:right="160" w:hanging="536"/>
        <w:spacing w:after="0" w:line="249" w:lineRule="auto"/>
        <w:tabs>
          <w:tab w:leader="none" w:pos="1400" w:val="left"/>
        </w:tabs>
        <w:rPr>
          <w:sz w:val="20"/>
          <w:szCs w:val="20"/>
          <w:color w:val="auto"/>
        </w:rPr>
      </w:pPr>
      <w:r>
        <w:rPr>
          <w:rFonts w:ascii="Arial" w:cs="Arial" w:eastAsia="Arial" w:hAnsi="Arial"/>
          <w:sz w:val="14"/>
          <w:szCs w:val="14"/>
          <w:color w:val="auto"/>
        </w:rPr>
        <w:t>10.27</w:t>
        <w:tab/>
        <w:t>Premier National Bancorp, Inc. 1995 Incentive Stock Plan (as amended and restated effective May 13, 1999). Incorporated by reference to Exhibit 10.4 to the Premier National Bancorp, Inc. Form 10-K for the year ended December 31, 1999 (File No. 1-13213).*</w:t>
      </w:r>
    </w:p>
    <w:p>
      <w:pPr>
        <w:ind w:left="1420" w:right="560" w:hanging="536"/>
        <w:spacing w:after="0" w:line="241" w:lineRule="auto"/>
        <w:tabs>
          <w:tab w:leader="none" w:pos="1400" w:val="left"/>
        </w:tabs>
        <w:rPr>
          <w:sz w:val="20"/>
          <w:szCs w:val="20"/>
          <w:color w:val="auto"/>
        </w:rPr>
      </w:pPr>
      <w:r>
        <w:rPr>
          <w:rFonts w:ascii="Arial" w:cs="Arial" w:eastAsia="Arial" w:hAnsi="Arial"/>
          <w:sz w:val="14"/>
          <w:szCs w:val="14"/>
          <w:color w:val="auto"/>
        </w:rPr>
        <w:t>10.28</w:t>
        <w:tab/>
        <w:t>M</w:t>
      </w:r>
      <w:r>
        <w:rPr>
          <w:rFonts w:ascii="Arial" w:cs="Arial" w:eastAsia="Arial" w:hAnsi="Arial"/>
          <w:sz w:val="13"/>
          <w:szCs w:val="13"/>
          <w:color w:val="auto"/>
        </w:rPr>
        <w:t>&amp;T Bank Corporation Employee Stock Purchase Plan. Incorporated by reference to Exhibit 10.28 to the Form 10-Q for the quarter ended September 30, 2002 (File</w:t>
      </w:r>
      <w:r>
        <w:rPr>
          <w:rFonts w:ascii="Arial" w:cs="Arial" w:eastAsia="Arial" w:hAnsi="Arial"/>
          <w:sz w:val="14"/>
          <w:szCs w:val="14"/>
          <w:color w:val="auto"/>
        </w:rPr>
        <w:t xml:space="preserve"> </w:t>
      </w:r>
      <w:r>
        <w:rPr>
          <w:rFonts w:ascii="Arial" w:cs="Arial" w:eastAsia="Arial" w:hAnsi="Arial"/>
          <w:sz w:val="13"/>
          <w:szCs w:val="13"/>
          <w:color w:val="auto"/>
        </w:rPr>
        <w:t>No. 1-9861).*</w:t>
      </w:r>
    </w:p>
    <w:p>
      <w:pPr>
        <w:ind w:left="880"/>
        <w:spacing w:after="0"/>
        <w:tabs>
          <w:tab w:leader="none" w:pos="1400" w:val="left"/>
        </w:tabs>
        <w:rPr>
          <w:sz w:val="20"/>
          <w:szCs w:val="20"/>
          <w:color w:val="auto"/>
        </w:rPr>
      </w:pPr>
      <w:r>
        <w:rPr>
          <w:rFonts w:ascii="Arial" w:cs="Arial" w:eastAsia="Arial" w:hAnsi="Arial"/>
          <w:sz w:val="14"/>
          <w:szCs w:val="14"/>
          <w:color w:val="auto"/>
        </w:rPr>
        <w:t>10.29</w:t>
      </w:r>
      <w:r>
        <w:rPr>
          <w:sz w:val="20"/>
          <w:szCs w:val="20"/>
          <w:color w:val="auto"/>
        </w:rPr>
        <w:tab/>
      </w:r>
      <w:r>
        <w:rPr>
          <w:rFonts w:ascii="Arial" w:cs="Arial" w:eastAsia="Arial" w:hAnsi="Arial"/>
          <w:sz w:val="13"/>
          <w:szCs w:val="13"/>
          <w:color w:val="auto"/>
        </w:rPr>
        <w:t>M</w:t>
      </w:r>
      <w:r>
        <w:rPr>
          <w:rFonts w:ascii="Arial" w:cs="Arial" w:eastAsia="Arial" w:hAnsi="Arial"/>
          <w:sz w:val="12"/>
          <w:szCs w:val="12"/>
          <w:color w:val="auto"/>
        </w:rPr>
        <w:t>&amp;T Bank Corporation 2005 Incentive Compensation Plan. Incorporated by reference to Exhibit 10 to the Form 8-K dated April 19, 2005 (File No. 1-9861).*</w:t>
      </w:r>
    </w:p>
    <w:p>
      <w:pPr>
        <w:spacing w:after="0" w:line="7"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14"/>
          <w:szCs w:val="14"/>
          <w:color w:val="auto"/>
        </w:rPr>
        <w:t>10.30</w:t>
      </w:r>
      <w:r>
        <w:rPr>
          <w:sz w:val="20"/>
          <w:szCs w:val="20"/>
          <w:color w:val="auto"/>
        </w:rPr>
        <w:tab/>
      </w:r>
      <w:r>
        <w:rPr>
          <w:rFonts w:ascii="Arial" w:cs="Arial" w:eastAsia="Arial" w:hAnsi="Arial"/>
          <w:sz w:val="13"/>
          <w:szCs w:val="13"/>
          <w:color w:val="auto"/>
        </w:rPr>
        <w:t>M</w:t>
      </w:r>
      <w:r>
        <w:rPr>
          <w:rFonts w:ascii="Arial" w:cs="Arial" w:eastAsia="Arial" w:hAnsi="Arial"/>
          <w:sz w:val="12"/>
          <w:szCs w:val="12"/>
          <w:color w:val="auto"/>
        </w:rPr>
        <w:t>&amp;T Bank Corporation Employee Severance Plan. Incorporated by reference to Exhibit 10.2 to the Form 10-Q for the quarter ended March 31, 2005 (File No. 1-9861).*</w:t>
      </w:r>
    </w:p>
    <w:p>
      <w:pPr>
        <w:spacing w:after="0" w:line="6" w:lineRule="exact"/>
        <w:rPr>
          <w:sz w:val="20"/>
          <w:szCs w:val="20"/>
          <w:color w:val="auto"/>
        </w:rPr>
      </w:pPr>
    </w:p>
    <w:p>
      <w:pPr>
        <w:ind w:left="1420" w:right="320" w:hanging="531"/>
        <w:spacing w:after="0" w:line="249" w:lineRule="auto"/>
        <w:tabs>
          <w:tab w:leader="none" w:pos="1400" w:val="left"/>
        </w:tabs>
        <w:rPr>
          <w:sz w:val="20"/>
          <w:szCs w:val="20"/>
          <w:color w:val="auto"/>
        </w:rPr>
      </w:pPr>
      <w:r>
        <w:rPr>
          <w:rFonts w:ascii="Arial" w:cs="Arial" w:eastAsia="Arial" w:hAnsi="Arial"/>
          <w:sz w:val="14"/>
          <w:szCs w:val="14"/>
          <w:color w:val="auto"/>
        </w:rPr>
        <w:t>11.1</w:t>
      </w:r>
      <w:r>
        <w:rPr>
          <w:sz w:val="20"/>
          <w:szCs w:val="20"/>
          <w:color w:val="auto"/>
        </w:rPr>
        <w:tab/>
      </w:r>
      <w:r>
        <w:rPr>
          <w:rFonts w:ascii="Arial" w:cs="Arial" w:eastAsia="Arial" w:hAnsi="Arial"/>
          <w:sz w:val="14"/>
          <w:szCs w:val="14"/>
          <w:color w:val="auto"/>
        </w:rPr>
        <w:t>Statement re: Computation of Earnings Per Common Share. Incorporated by reference to note 13 of Notes to Financial Statements filed herewith in Part II, Item 8, “Financial Statements and Supplementary Data.”</w:t>
      </w:r>
    </w:p>
    <w:p>
      <w:pPr>
        <w:ind w:left="880"/>
        <w:spacing w:after="0"/>
        <w:tabs>
          <w:tab w:leader="none" w:pos="1400" w:val="left"/>
        </w:tabs>
        <w:rPr>
          <w:sz w:val="20"/>
          <w:szCs w:val="20"/>
          <w:color w:val="auto"/>
        </w:rPr>
      </w:pPr>
      <w:r>
        <w:rPr>
          <w:rFonts w:ascii="Arial" w:cs="Arial" w:eastAsia="Arial" w:hAnsi="Arial"/>
          <w:sz w:val="14"/>
          <w:szCs w:val="14"/>
          <w:color w:val="auto"/>
        </w:rPr>
        <w:t>14.1</w:t>
      </w:r>
      <w:r>
        <w:rPr>
          <w:sz w:val="20"/>
          <w:szCs w:val="20"/>
          <w:color w:val="auto"/>
        </w:rPr>
        <w:tab/>
      </w:r>
      <w:r>
        <w:rPr>
          <w:rFonts w:ascii="Arial" w:cs="Arial" w:eastAsia="Arial" w:hAnsi="Arial"/>
          <w:sz w:val="13"/>
          <w:szCs w:val="13"/>
          <w:color w:val="auto"/>
        </w:rPr>
        <w:t>M</w:t>
      </w:r>
      <w:r>
        <w:rPr>
          <w:rFonts w:ascii="Arial" w:cs="Arial" w:eastAsia="Arial" w:hAnsi="Arial"/>
          <w:sz w:val="12"/>
          <w:szCs w:val="12"/>
          <w:color w:val="auto"/>
        </w:rPr>
        <w:t>&amp;T Bank Corporation Code of Ethics for CEO and Senior Financial Officers. Incorporated by reference to Exhibit 14.1 to the Form 10-K for the year ended December 31,</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3"/>
          <w:szCs w:val="13"/>
          <w:color w:val="auto"/>
        </w:rPr>
        <w:t>2003 (File No. 1-9861).</w:t>
      </w:r>
    </w:p>
    <w:p>
      <w:pPr>
        <w:spacing w:after="0" w:line="5"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14"/>
          <w:szCs w:val="14"/>
          <w:color w:val="auto"/>
        </w:rPr>
        <w:t>21.1</w:t>
      </w:r>
      <w:r>
        <w:rPr>
          <w:sz w:val="20"/>
          <w:szCs w:val="20"/>
          <w:color w:val="auto"/>
        </w:rPr>
        <w:tab/>
      </w:r>
      <w:r>
        <w:rPr>
          <w:rFonts w:ascii="Arial" w:cs="Arial" w:eastAsia="Arial" w:hAnsi="Arial"/>
          <w:sz w:val="13"/>
          <w:szCs w:val="13"/>
          <w:color w:val="auto"/>
        </w:rPr>
        <w:t>Subsidiaries of the Registrant. Incorporated by reference to the caption “Subsidiaries” contained in Part I, Item 1 hereof.</w:t>
      </w:r>
    </w:p>
    <w:p>
      <w:pPr>
        <w:spacing w:after="0" w:line="7"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14"/>
          <w:szCs w:val="14"/>
          <w:color w:val="auto"/>
        </w:rPr>
        <w:t>23.1</w:t>
      </w:r>
      <w:r>
        <w:rPr>
          <w:sz w:val="20"/>
          <w:szCs w:val="20"/>
          <w:color w:val="auto"/>
        </w:rPr>
        <w:tab/>
      </w:r>
      <w:r>
        <w:rPr>
          <w:rFonts w:ascii="Arial" w:cs="Arial" w:eastAsia="Arial" w:hAnsi="Arial"/>
          <w:sz w:val="12"/>
          <w:szCs w:val="12"/>
          <w:color w:val="auto"/>
        </w:rPr>
        <w:t>Consent of PricewaterhouseCoopers LLP re: Registration Statement Nos. 333-57330, 333-63660, 33-12207, 33-58500, 33-63917, 333-43171, 333-43175,</w:t>
      </w:r>
    </w:p>
    <w:p>
      <w:pPr>
        <w:spacing w:after="0" w:line="6"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333-63985, 333-97031, 33-32044, 333-16077, 333-84384, 333-127406 and 333-122147. Filed herewith.</w:t>
      </w:r>
    </w:p>
    <w:p>
      <w:pPr>
        <w:spacing w:after="0" w:line="6"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14"/>
          <w:szCs w:val="14"/>
          <w:color w:val="auto"/>
        </w:rPr>
        <w:t>31.1</w:t>
      </w:r>
      <w:r>
        <w:rPr>
          <w:sz w:val="20"/>
          <w:szCs w:val="20"/>
          <w:color w:val="auto"/>
        </w:rPr>
        <w:tab/>
      </w:r>
      <w:r>
        <w:rPr>
          <w:rFonts w:ascii="Arial" w:cs="Arial" w:eastAsia="Arial" w:hAnsi="Arial"/>
          <w:sz w:val="13"/>
          <w:szCs w:val="13"/>
          <w:color w:val="auto"/>
        </w:rPr>
        <w:t>Certification of Chief Executive Officer under Section 302 of the Sarbanes-Oxley Act of 2002. Filed herewith.</w:t>
      </w:r>
    </w:p>
    <w:p>
      <w:pPr>
        <w:spacing w:after="0" w:line="6"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14"/>
          <w:szCs w:val="14"/>
          <w:color w:val="auto"/>
        </w:rPr>
        <w:t>31.2</w:t>
      </w:r>
      <w:r>
        <w:rPr>
          <w:sz w:val="20"/>
          <w:szCs w:val="20"/>
          <w:color w:val="auto"/>
        </w:rPr>
        <w:tab/>
      </w:r>
      <w:r>
        <w:rPr>
          <w:rFonts w:ascii="Arial" w:cs="Arial" w:eastAsia="Arial" w:hAnsi="Arial"/>
          <w:sz w:val="13"/>
          <w:szCs w:val="13"/>
          <w:color w:val="auto"/>
        </w:rPr>
        <w:t>Certification of Chief Financial Officer under Section 302 of the Sarbanes-Oxley Act of 2002. Filed herewith.</w:t>
      </w:r>
    </w:p>
    <w:p>
      <w:pPr>
        <w:spacing w:after="0" w:line="6"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14"/>
          <w:szCs w:val="14"/>
          <w:color w:val="auto"/>
        </w:rPr>
        <w:t>32.1</w:t>
      </w:r>
      <w:r>
        <w:rPr>
          <w:sz w:val="20"/>
          <w:szCs w:val="20"/>
          <w:color w:val="auto"/>
        </w:rPr>
        <w:tab/>
      </w:r>
      <w:r>
        <w:rPr>
          <w:rFonts w:ascii="Arial" w:cs="Arial" w:eastAsia="Arial" w:hAnsi="Arial"/>
          <w:sz w:val="13"/>
          <w:szCs w:val="13"/>
          <w:color w:val="auto"/>
        </w:rPr>
        <w:t>Certification of Chief Executive Officer under 18 U.S.C. §1350 pursuant to Section 906 of the Sarbanes-Oxley Act of 2002. Filed herewith.</w:t>
      </w:r>
    </w:p>
    <w:p>
      <w:pPr>
        <w:spacing w:after="0" w:line="6" w:lineRule="exact"/>
        <w:rPr>
          <w:sz w:val="20"/>
          <w:szCs w:val="20"/>
          <w:color w:val="auto"/>
        </w:rPr>
      </w:pPr>
    </w:p>
    <w:p>
      <w:pPr>
        <w:ind w:left="880"/>
        <w:spacing w:after="0"/>
        <w:tabs>
          <w:tab w:leader="none" w:pos="1400" w:val="left"/>
        </w:tabs>
        <w:rPr>
          <w:sz w:val="20"/>
          <w:szCs w:val="20"/>
          <w:color w:val="auto"/>
        </w:rPr>
      </w:pPr>
      <w:r>
        <w:rPr>
          <w:rFonts w:ascii="Arial" w:cs="Arial" w:eastAsia="Arial" w:hAnsi="Arial"/>
          <w:sz w:val="14"/>
          <w:szCs w:val="14"/>
          <w:color w:val="auto"/>
        </w:rPr>
        <w:t>32.2</w:t>
      </w:r>
      <w:r>
        <w:rPr>
          <w:sz w:val="20"/>
          <w:szCs w:val="20"/>
          <w:color w:val="auto"/>
        </w:rPr>
        <w:tab/>
      </w:r>
      <w:r>
        <w:rPr>
          <w:rFonts w:ascii="Arial" w:cs="Arial" w:eastAsia="Arial" w:hAnsi="Arial"/>
          <w:sz w:val="13"/>
          <w:szCs w:val="13"/>
          <w:color w:val="auto"/>
        </w:rPr>
        <w:t>Certification of Chief Financial Officer under 18 U.S.C. §1350 pursuant to Section 906 of the Sarbanes-Oxley Act of 2002.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116840</wp:posOffset>
            </wp:positionV>
            <wp:extent cx="823595"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14" w:lineRule="exact"/>
        <w:rPr>
          <w:sz w:val="20"/>
          <w:szCs w:val="20"/>
          <w:color w:val="auto"/>
        </w:rPr>
      </w:pPr>
    </w:p>
    <w:p>
      <w:pPr>
        <w:ind w:left="720"/>
        <w:spacing w:after="0"/>
        <w:rPr>
          <w:sz w:val="20"/>
          <w:szCs w:val="20"/>
          <w:color w:val="auto"/>
        </w:rPr>
      </w:pPr>
      <w:r>
        <w:rPr>
          <w:rFonts w:ascii="Arial" w:cs="Arial" w:eastAsia="Arial" w:hAnsi="Arial"/>
          <w:sz w:val="13"/>
          <w:szCs w:val="13"/>
          <w:i w:val="1"/>
          <w:iCs w:val="1"/>
          <w:color w:val="auto"/>
        </w:rPr>
        <w:t>*  Management contract or compensatory plan or arrangement.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0"/>
          <w:szCs w:val="10"/>
          <w:color w:val="auto"/>
        </w:rPr>
        <w:t>139</w:t>
      </w:r>
    </w:p>
    <w:p>
      <w:pPr>
        <w:sectPr>
          <w:pgSz w:w="11900" w:h="16838" w:orient="portrait"/>
          <w:cols w:equalWidth="0" w:num="1">
            <w:col w:w="10660"/>
          </w:cols>
          <w:pgMar w:left="220" w:top="343" w:right="1019" w:bottom="1440" w:gutter="0" w:footer="0" w:header="0"/>
        </w:sectPr>
      </w:pPr>
    </w:p>
    <w:bookmarkStart w:id="140" w:name="page141"/>
    <w:bookmarkEnd w:id="140"/>
    <w:p>
      <w:pPr>
        <w:jc w:val="right"/>
        <w:spacing w:after="0"/>
        <w:rPr>
          <w:sz w:val="20"/>
          <w:szCs w:val="20"/>
          <w:color w:val="auto"/>
        </w:rPr>
      </w:pPr>
      <w:r>
        <w:rPr>
          <w:rFonts w:ascii="Arial" w:cs="Arial" w:eastAsia="Arial" w:hAnsi="Arial"/>
          <w:sz w:val="13"/>
          <w:szCs w:val="13"/>
          <w:b w:val="1"/>
          <w:bCs w:val="1"/>
          <w:color w:val="auto"/>
        </w:rPr>
        <w:t>EXHIBIT 23.1</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ind w:right="20"/>
        <w:spacing w:after="0" w:line="264" w:lineRule="auto"/>
        <w:rPr>
          <w:sz w:val="20"/>
          <w:szCs w:val="20"/>
          <w:color w:val="auto"/>
        </w:rPr>
      </w:pPr>
      <w:r>
        <w:rPr>
          <w:rFonts w:ascii="Arial" w:cs="Arial" w:eastAsia="Arial" w:hAnsi="Arial"/>
          <w:sz w:val="13"/>
          <w:szCs w:val="13"/>
          <w:color w:val="auto"/>
        </w:rPr>
        <w:t>We hereby consent to the incorporation by reference in the Registration Statements on Form S-8 (Nos. 333-57330, 333-63660, 33-12207, 33-58500, 33-63917, 333-43171, 333-43175, 333-63985, 333-97031, 33-32044, 333-16077, 333-84384 and 333-127406) and Form S-3 (No. 333-122147) of M&amp;T Bank Corporation of our report dated February 23, 2007 relating to the financial statements, management’s assessment of the effectiveness of internal control over financial reporting and the effectiveness of internal control over financial reporting, which appears in this Form 10-K.</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/s/ PRICEWATERHOUSECOOPERS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Buffalo, New York</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February 23, 2007</w:t>
      </w:r>
    </w:p>
    <w:p>
      <w:pPr>
        <w:sectPr>
          <w:pgSz w:w="11900" w:h="16838" w:orient="portrait"/>
          <w:cols w:equalWidth="0" w:num="1">
            <w:col w:w="11460"/>
          </w:cols>
          <w:pgMar w:left="220" w:top="716" w:right="219" w:bottom="1440" w:gutter="0" w:footer="0" w:header="0"/>
        </w:sectPr>
      </w:pPr>
    </w:p>
    <w:bookmarkStart w:id="141" w:name="page142"/>
    <w:bookmarkEnd w:id="141"/>
    <w:p>
      <w:pPr>
        <w:jc w:val="right"/>
        <w:spacing w:after="0"/>
        <w:rPr>
          <w:sz w:val="20"/>
          <w:szCs w:val="20"/>
          <w:color w:val="auto"/>
        </w:rPr>
      </w:pPr>
      <w:r>
        <w:rPr>
          <w:rFonts w:ascii="Arial" w:cs="Arial" w:eastAsia="Arial" w:hAnsi="Arial"/>
          <w:sz w:val="14"/>
          <w:szCs w:val="14"/>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I, Robert G. Wilmers certify that:</w:t>
      </w:r>
    </w:p>
    <w:p>
      <w:pPr>
        <w:spacing w:after="0" w:line="18" w:lineRule="exact"/>
        <w:rPr>
          <w:sz w:val="20"/>
          <w:szCs w:val="20"/>
          <w:color w:val="auto"/>
        </w:rPr>
      </w:pPr>
    </w:p>
    <w:p>
      <w:pPr>
        <w:ind w:left="320" w:hanging="313"/>
        <w:spacing w:after="0"/>
        <w:tabs>
          <w:tab w:leader="none" w:pos="3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M</w:t>
      </w:r>
      <w:r>
        <w:rPr>
          <w:rFonts w:ascii="Arial" w:cs="Arial" w:eastAsia="Arial" w:hAnsi="Arial"/>
          <w:sz w:val="13"/>
          <w:szCs w:val="13"/>
          <w:color w:val="auto"/>
        </w:rPr>
        <w:t>&amp;</w:t>
      </w:r>
      <w:r>
        <w:rPr>
          <w:rFonts w:ascii="Arial" w:cs="Arial" w:eastAsia="Arial" w:hAnsi="Arial"/>
          <w:sz w:val="14"/>
          <w:szCs w:val="14"/>
          <w:color w:val="auto"/>
        </w:rPr>
        <w:t>T Bank Corporation;</w:t>
      </w:r>
    </w:p>
    <w:p>
      <w:pPr>
        <w:spacing w:after="0" w:line="6" w:lineRule="exact"/>
        <w:rPr>
          <w:rFonts w:ascii="Arial" w:cs="Arial" w:eastAsia="Arial" w:hAnsi="Arial"/>
          <w:sz w:val="14"/>
          <w:szCs w:val="14"/>
          <w:color w:val="auto"/>
        </w:rPr>
      </w:pPr>
    </w:p>
    <w:p>
      <w:pPr>
        <w:ind w:left="320" w:right="120" w:hanging="313"/>
        <w:spacing w:after="0" w:line="249" w:lineRule="auto"/>
        <w:tabs>
          <w:tab w:leader="none" w:pos="3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0" w:right="100" w:hanging="313"/>
        <w:spacing w:after="0" w:line="249" w:lineRule="auto"/>
        <w:tabs>
          <w:tab w:leader="none" w:pos="3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20" w:hanging="313"/>
        <w:spacing w:after="0"/>
        <w:tabs>
          <w:tab w:leader="none" w:pos="3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w:t>
      </w:r>
    </w:p>
    <w:p>
      <w:pPr>
        <w:spacing w:after="0" w:line="17" w:lineRule="exact"/>
        <w:rPr>
          <w:rFonts w:ascii="Arial" w:cs="Arial" w:eastAsia="Arial" w:hAnsi="Arial"/>
          <w:sz w:val="13"/>
          <w:szCs w:val="13"/>
          <w:color w:val="auto"/>
        </w:rPr>
      </w:pPr>
    </w:p>
    <w:p>
      <w:pPr>
        <w:ind w:left="320"/>
        <w:spacing w:after="0"/>
        <w:rPr>
          <w:rFonts w:ascii="Arial" w:cs="Arial" w:eastAsia="Arial" w:hAnsi="Arial"/>
          <w:sz w:val="13"/>
          <w:szCs w:val="13"/>
          <w:color w:val="auto"/>
        </w:rPr>
      </w:pPr>
      <w:r>
        <w:rPr>
          <w:rFonts w:ascii="Arial" w:cs="Arial" w:eastAsia="Arial" w:hAnsi="Arial"/>
          <w:sz w:val="13"/>
          <w:szCs w:val="13"/>
          <w:color w:val="auto"/>
        </w:rPr>
        <w:t>Rules 13a-15(e) and 15d-15(e)) and internal control over financial reporting (as defined in Exchange Act Rules 13a-15(f) and 15d-15(f)) for the registrant and we have:</w:t>
      </w:r>
    </w:p>
    <w:p>
      <w:pPr>
        <w:spacing w:after="0" w:line="18" w:lineRule="exact"/>
        <w:rPr>
          <w:sz w:val="20"/>
          <w:szCs w:val="20"/>
          <w:color w:val="auto"/>
        </w:rPr>
      </w:pPr>
    </w:p>
    <w:p>
      <w:pPr>
        <w:jc w:val="both"/>
        <w:ind w:left="320" w:right="360" w:hanging="313"/>
        <w:spacing w:after="0" w:line="249" w:lineRule="auto"/>
        <w:tabs>
          <w:tab w:leader="none" w:pos="3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320" w:right="360" w:hanging="313"/>
        <w:spacing w:after="0" w:line="249" w:lineRule="auto"/>
        <w:tabs>
          <w:tab w:leader="none" w:pos="3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320" w:right="160" w:hanging="313"/>
        <w:spacing w:after="0" w:line="249" w:lineRule="auto"/>
        <w:tabs>
          <w:tab w:leader="none" w:pos="3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320" w:right="100" w:hanging="313"/>
        <w:spacing w:after="0" w:line="249" w:lineRule="auto"/>
        <w:tabs>
          <w:tab w:leader="none" w:pos="3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ind w:left="320" w:right="380" w:hanging="313"/>
        <w:spacing w:after="0" w:line="249" w:lineRule="auto"/>
        <w:tabs>
          <w:tab w:leader="none" w:pos="3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320" w:right="100" w:hanging="313"/>
        <w:spacing w:after="0" w:line="249" w:lineRule="auto"/>
        <w:tabs>
          <w:tab w:leader="none" w:pos="3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which are reasonably likely to adversely affect the registrant’s ability to record, process, summarize and report financial information; and</w:t>
      </w:r>
    </w:p>
    <w:p>
      <w:pPr>
        <w:ind w:left="320" w:right="600" w:hanging="313"/>
        <w:spacing w:after="0" w:line="263" w:lineRule="auto"/>
        <w:tabs>
          <w:tab w:leader="none" w:pos="3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94" w:lineRule="exact"/>
        <w:rPr>
          <w:sz w:val="20"/>
          <w:szCs w:val="20"/>
          <w:color w:val="auto"/>
        </w:rPr>
      </w:pPr>
    </w:p>
    <w:p>
      <w:pPr>
        <w:ind w:left="4900"/>
        <w:spacing w:after="0"/>
        <w:tabs>
          <w:tab w:leader="none" w:pos="69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R</w:t>
      </w:r>
      <w:r>
        <w:rPr>
          <w:rFonts w:ascii="Arial" w:cs="Arial" w:eastAsia="Arial" w:hAnsi="Arial"/>
          <w:sz w:val="9"/>
          <w:szCs w:val="9"/>
          <w:color w:val="auto"/>
        </w:rPr>
        <w:t>OBERT</w:t>
      </w:r>
      <w:r>
        <w:rPr>
          <w:rFonts w:ascii="Arial" w:cs="Arial" w:eastAsia="Arial" w:hAnsi="Arial"/>
          <w:sz w:val="14"/>
          <w:szCs w:val="14"/>
          <w:color w:val="auto"/>
        </w:rPr>
        <w:t xml:space="preserve"> G. W</w:t>
      </w:r>
      <w:r>
        <w:rPr>
          <w:rFonts w:ascii="Arial" w:cs="Arial" w:eastAsia="Arial" w:hAnsi="Arial"/>
          <w:sz w:val="9"/>
          <w:szCs w:val="9"/>
          <w:color w:val="auto"/>
        </w:rPr>
        <w:t>ILMERS</w:t>
      </w:r>
    </w:p>
    <w:p>
      <w:pPr>
        <w:spacing w:after="0" w:line="26" w:lineRule="exact"/>
        <w:rPr>
          <w:sz w:val="20"/>
          <w:szCs w:val="20"/>
          <w:color w:val="auto"/>
        </w:rPr>
      </w:pPr>
    </w:p>
    <w:p>
      <w:pPr>
        <w:jc w:val="center"/>
        <w:ind w:left="5180"/>
        <w:spacing w:after="0"/>
        <w:rPr>
          <w:sz w:val="20"/>
          <w:szCs w:val="20"/>
          <w:color w:val="auto"/>
        </w:rPr>
      </w:pPr>
      <w:r>
        <w:rPr>
          <w:rFonts w:ascii="Arial" w:cs="Arial" w:eastAsia="Arial" w:hAnsi="Arial"/>
          <w:sz w:val="14"/>
          <w:szCs w:val="14"/>
          <w:color w:val="auto"/>
        </w:rPr>
        <w:t>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-99695</wp:posOffset>
            </wp:positionV>
            <wp:extent cx="3533775"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jc w:val="center"/>
        <w:ind w:left="5180"/>
        <w:spacing w:after="0"/>
        <w:rPr>
          <w:sz w:val="20"/>
          <w:szCs w:val="20"/>
          <w:color w:val="auto"/>
        </w:rPr>
      </w:pPr>
      <w:r>
        <w:rPr>
          <w:rFonts w:ascii="Arial" w:cs="Arial" w:eastAsia="Arial" w:hAnsi="Arial"/>
          <w:sz w:val="14"/>
          <w:szCs w:val="14"/>
          <w:i w:val="1"/>
          <w:iCs w:val="1"/>
          <w:color w:val="auto"/>
        </w:rPr>
        <w:t>Chairman of the Board</w:t>
      </w:r>
    </w:p>
    <w:p>
      <w:pPr>
        <w:spacing w:after="0" w:line="6" w:lineRule="exact"/>
        <w:rPr>
          <w:sz w:val="20"/>
          <w:szCs w:val="20"/>
          <w:color w:val="auto"/>
        </w:rPr>
      </w:pPr>
    </w:p>
    <w:p>
      <w:pPr>
        <w:jc w:val="center"/>
        <w:ind w:left="5180"/>
        <w:spacing w:after="0"/>
        <w:rPr>
          <w:sz w:val="20"/>
          <w:szCs w:val="20"/>
          <w:color w:val="auto"/>
        </w:rPr>
      </w:pPr>
      <w:r>
        <w:rPr>
          <w:rFonts w:ascii="Arial" w:cs="Arial" w:eastAsia="Arial" w:hAnsi="Arial"/>
          <w:sz w:val="14"/>
          <w:szCs w:val="14"/>
          <w:i w:val="1"/>
          <w:iCs w:val="1"/>
          <w:color w:val="auto"/>
        </w:rPr>
        <w:t>and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February 23, 2007</w:t>
      </w:r>
    </w:p>
    <w:p>
      <w:pPr>
        <w:sectPr>
          <w:pgSz w:w="11900" w:h="16838" w:orient="portrait"/>
          <w:cols w:equalWidth="0" w:num="1">
            <w:col w:w="9980"/>
          </w:cols>
          <w:pgMar w:left="900" w:top="713" w:right="1019" w:bottom="1440" w:gutter="0" w:footer="0" w:header="0"/>
        </w:sectPr>
      </w:pPr>
    </w:p>
    <w:bookmarkStart w:id="142" w:name="page143"/>
    <w:bookmarkEnd w:id="142"/>
    <w:p>
      <w:pPr>
        <w:jc w:val="right"/>
        <w:spacing w:after="0"/>
        <w:rPr>
          <w:sz w:val="20"/>
          <w:szCs w:val="20"/>
          <w:color w:val="auto"/>
        </w:rPr>
      </w:pPr>
      <w:r>
        <w:rPr>
          <w:rFonts w:ascii="Arial" w:cs="Arial" w:eastAsia="Arial" w:hAnsi="Arial"/>
          <w:sz w:val="14"/>
          <w:szCs w:val="14"/>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I, René F. Jones, certify that:</w:t>
      </w:r>
    </w:p>
    <w:p>
      <w:pPr>
        <w:spacing w:after="0" w:line="18" w:lineRule="exact"/>
        <w:rPr>
          <w:sz w:val="20"/>
          <w:szCs w:val="20"/>
          <w:color w:val="auto"/>
        </w:rPr>
      </w:pPr>
    </w:p>
    <w:p>
      <w:pPr>
        <w:ind w:left="320" w:hanging="313"/>
        <w:spacing w:after="0"/>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M</w:t>
      </w:r>
      <w:r>
        <w:rPr>
          <w:rFonts w:ascii="Arial" w:cs="Arial" w:eastAsia="Arial" w:hAnsi="Arial"/>
          <w:sz w:val="13"/>
          <w:szCs w:val="13"/>
          <w:color w:val="auto"/>
        </w:rPr>
        <w:t>&amp;</w:t>
      </w:r>
      <w:r>
        <w:rPr>
          <w:rFonts w:ascii="Arial" w:cs="Arial" w:eastAsia="Arial" w:hAnsi="Arial"/>
          <w:sz w:val="14"/>
          <w:szCs w:val="14"/>
          <w:color w:val="auto"/>
        </w:rPr>
        <w:t>T Bank Corporation;</w:t>
      </w:r>
    </w:p>
    <w:p>
      <w:pPr>
        <w:spacing w:after="0" w:line="6" w:lineRule="exact"/>
        <w:rPr>
          <w:rFonts w:ascii="Arial" w:cs="Arial" w:eastAsia="Arial" w:hAnsi="Arial"/>
          <w:sz w:val="14"/>
          <w:szCs w:val="14"/>
          <w:color w:val="auto"/>
        </w:rPr>
      </w:pPr>
    </w:p>
    <w:p>
      <w:pPr>
        <w:ind w:left="320" w:right="120" w:hanging="313"/>
        <w:spacing w:after="0" w:line="249" w:lineRule="auto"/>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0" w:right="100" w:hanging="313"/>
        <w:spacing w:after="0" w:line="249" w:lineRule="auto"/>
        <w:tabs>
          <w:tab w:leader="none" w:pos="320" w:val="left"/>
        </w:tabs>
        <w:numPr>
          <w:ilvl w:val="0"/>
          <w:numId w:val="5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20" w:hanging="313"/>
        <w:spacing w:after="0"/>
        <w:tabs>
          <w:tab w:leader="none" w:pos="32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w:t>
      </w:r>
    </w:p>
    <w:p>
      <w:pPr>
        <w:spacing w:after="0" w:line="17" w:lineRule="exact"/>
        <w:rPr>
          <w:rFonts w:ascii="Arial" w:cs="Arial" w:eastAsia="Arial" w:hAnsi="Arial"/>
          <w:sz w:val="13"/>
          <w:szCs w:val="13"/>
          <w:color w:val="auto"/>
        </w:rPr>
      </w:pPr>
    </w:p>
    <w:p>
      <w:pPr>
        <w:ind w:left="320"/>
        <w:spacing w:after="0"/>
        <w:rPr>
          <w:rFonts w:ascii="Arial" w:cs="Arial" w:eastAsia="Arial" w:hAnsi="Arial"/>
          <w:sz w:val="13"/>
          <w:szCs w:val="13"/>
          <w:color w:val="auto"/>
        </w:rPr>
      </w:pPr>
      <w:r>
        <w:rPr>
          <w:rFonts w:ascii="Arial" w:cs="Arial" w:eastAsia="Arial" w:hAnsi="Arial"/>
          <w:sz w:val="13"/>
          <w:szCs w:val="13"/>
          <w:color w:val="auto"/>
        </w:rPr>
        <w:t>Rules 13a-15(e) and 15d-15(e)) and internal control over financial reporting (as defined in Exchange Act Rules 13a-15(f) and 15d-15(f)) for the registrant and we have:</w:t>
      </w:r>
    </w:p>
    <w:p>
      <w:pPr>
        <w:spacing w:after="0" w:line="18" w:lineRule="exact"/>
        <w:rPr>
          <w:sz w:val="20"/>
          <w:szCs w:val="20"/>
          <w:color w:val="auto"/>
        </w:rPr>
      </w:pPr>
    </w:p>
    <w:p>
      <w:pPr>
        <w:jc w:val="both"/>
        <w:ind w:left="320" w:right="360" w:hanging="313"/>
        <w:spacing w:after="0" w:line="249" w:lineRule="auto"/>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320" w:right="360" w:hanging="313"/>
        <w:spacing w:after="0" w:line="249" w:lineRule="auto"/>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320" w:right="160" w:hanging="313"/>
        <w:spacing w:after="0" w:line="249" w:lineRule="auto"/>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320" w:right="100" w:hanging="313"/>
        <w:spacing w:after="0" w:line="249" w:lineRule="auto"/>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ind w:left="320" w:right="380" w:hanging="313"/>
        <w:spacing w:after="0" w:line="249" w:lineRule="auto"/>
        <w:tabs>
          <w:tab w:leader="none" w:pos="3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320" w:right="100" w:hanging="313"/>
        <w:spacing w:after="0" w:line="249" w:lineRule="auto"/>
        <w:tabs>
          <w:tab w:leader="none" w:pos="3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which are reasonably likely to adversely affect the registrant’s ability to record, process, summarize and report financial information; and</w:t>
      </w:r>
    </w:p>
    <w:p>
      <w:pPr>
        <w:ind w:left="320" w:right="600" w:hanging="313"/>
        <w:spacing w:after="0" w:line="263" w:lineRule="auto"/>
        <w:tabs>
          <w:tab w:leader="none" w:pos="3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94" w:lineRule="exact"/>
        <w:rPr>
          <w:sz w:val="20"/>
          <w:szCs w:val="20"/>
          <w:color w:val="auto"/>
        </w:rPr>
      </w:pPr>
    </w:p>
    <w:p>
      <w:pPr>
        <w:ind w:left="4900"/>
        <w:spacing w:after="0"/>
        <w:tabs>
          <w:tab w:leader="none" w:pos="71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R</w:t>
      </w:r>
      <w:r>
        <w:rPr>
          <w:rFonts w:ascii="Arial" w:cs="Arial" w:eastAsia="Arial" w:hAnsi="Arial"/>
          <w:sz w:val="9"/>
          <w:szCs w:val="9"/>
          <w:color w:val="auto"/>
        </w:rPr>
        <w:t>ENÉ</w:t>
      </w:r>
      <w:r>
        <w:rPr>
          <w:rFonts w:ascii="Arial" w:cs="Arial" w:eastAsia="Arial" w:hAnsi="Arial"/>
          <w:sz w:val="14"/>
          <w:szCs w:val="14"/>
          <w:color w:val="auto"/>
        </w:rPr>
        <w:t xml:space="preserve"> F. J</w:t>
      </w:r>
      <w:r>
        <w:rPr>
          <w:rFonts w:ascii="Arial" w:cs="Arial" w:eastAsia="Arial" w:hAnsi="Arial"/>
          <w:sz w:val="9"/>
          <w:szCs w:val="9"/>
          <w:color w:val="auto"/>
        </w:rPr>
        <w:t>ONES</w:t>
      </w:r>
    </w:p>
    <w:p>
      <w:pPr>
        <w:spacing w:after="0" w:line="26" w:lineRule="exact"/>
        <w:rPr>
          <w:sz w:val="20"/>
          <w:szCs w:val="20"/>
          <w:color w:val="auto"/>
        </w:rPr>
      </w:pPr>
    </w:p>
    <w:p>
      <w:pPr>
        <w:jc w:val="center"/>
        <w:ind w:left="5180"/>
        <w:spacing w:after="0"/>
        <w:rPr>
          <w:sz w:val="20"/>
          <w:szCs w:val="20"/>
          <w:color w:val="auto"/>
        </w:rPr>
      </w:pPr>
      <w:r>
        <w:rPr>
          <w:rFonts w:ascii="Arial" w:cs="Arial" w:eastAsia="Arial" w:hAnsi="Arial"/>
          <w:sz w:val="14"/>
          <w:szCs w:val="14"/>
          <w:color w:val="auto"/>
        </w:rPr>
        <w:t>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3362325</wp:posOffset>
            </wp:positionH>
            <wp:positionV relativeFrom="paragraph">
              <wp:posOffset>-99695</wp:posOffset>
            </wp:positionV>
            <wp:extent cx="3533775"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jc w:val="center"/>
        <w:ind w:left="5180"/>
        <w:spacing w:after="0"/>
        <w:rPr>
          <w:sz w:val="20"/>
          <w:szCs w:val="20"/>
          <w:color w:val="auto"/>
        </w:rPr>
      </w:pPr>
      <w:r>
        <w:rPr>
          <w:rFonts w:ascii="Arial" w:cs="Arial" w:eastAsia="Arial" w:hAnsi="Arial"/>
          <w:sz w:val="14"/>
          <w:szCs w:val="14"/>
          <w:i w:val="1"/>
          <w:iCs w:val="1"/>
          <w:color w:val="auto"/>
        </w:rPr>
        <w:t>Executive Vice President</w:t>
      </w:r>
    </w:p>
    <w:p>
      <w:pPr>
        <w:spacing w:after="0" w:line="6" w:lineRule="exact"/>
        <w:rPr>
          <w:sz w:val="20"/>
          <w:szCs w:val="20"/>
          <w:color w:val="auto"/>
        </w:rPr>
      </w:pPr>
    </w:p>
    <w:p>
      <w:pPr>
        <w:jc w:val="center"/>
        <w:ind w:left="5180"/>
        <w:spacing w:after="0"/>
        <w:rPr>
          <w:sz w:val="20"/>
          <w:szCs w:val="20"/>
          <w:color w:val="auto"/>
        </w:rPr>
      </w:pPr>
      <w:r>
        <w:rPr>
          <w:rFonts w:ascii="Arial" w:cs="Arial" w:eastAsia="Arial" w:hAnsi="Arial"/>
          <w:sz w:val="14"/>
          <w:szCs w:val="14"/>
          <w:i w:val="1"/>
          <w:iCs w:val="1"/>
          <w:color w:val="auto"/>
        </w:rPr>
        <w:t>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February 23, 2007</w:t>
      </w:r>
    </w:p>
    <w:p>
      <w:pPr>
        <w:sectPr>
          <w:pgSz w:w="11900" w:h="16838" w:orient="portrait"/>
          <w:cols w:equalWidth="0" w:num="1">
            <w:col w:w="9980"/>
          </w:cols>
          <w:pgMar w:left="900" w:top="713" w:right="1019" w:bottom="1440" w:gutter="0" w:footer="0" w:header="0"/>
        </w:sectPr>
      </w:pPr>
    </w:p>
    <w:bookmarkStart w:id="143" w:name="page144"/>
    <w:bookmarkEnd w:id="143"/>
    <w:p>
      <w:pPr>
        <w:jc w:val="right"/>
        <w:spacing w:after="0"/>
        <w:rPr>
          <w:sz w:val="20"/>
          <w:szCs w:val="20"/>
          <w:color w:val="auto"/>
        </w:rPr>
      </w:pPr>
      <w:r>
        <w:rPr>
          <w:rFonts w:ascii="Arial" w:cs="Arial" w:eastAsia="Arial" w:hAnsi="Arial"/>
          <w:sz w:val="14"/>
          <w:szCs w:val="14"/>
          <w:b w:val="1"/>
          <w:bCs w:val="1"/>
          <w:color w:val="auto"/>
        </w:rPr>
        <w:t>EXHIBIT 32.1</w:t>
      </w:r>
    </w:p>
    <w:p>
      <w:pPr>
        <w:spacing w:after="0" w:line="252" w:lineRule="exact"/>
        <w:rPr>
          <w:sz w:val="20"/>
          <w:szCs w:val="20"/>
          <w:color w:val="auto"/>
        </w:rPr>
      </w:pPr>
    </w:p>
    <w:p>
      <w:pPr>
        <w:ind w:left="2480"/>
        <w:spacing w:after="0"/>
        <w:rPr>
          <w:sz w:val="20"/>
          <w:szCs w:val="20"/>
          <w:color w:val="auto"/>
        </w:rPr>
      </w:pPr>
      <w:r>
        <w:rPr>
          <w:rFonts w:ascii="Arial" w:cs="Arial" w:eastAsia="Arial" w:hAnsi="Arial"/>
          <w:sz w:val="14"/>
          <w:szCs w:val="14"/>
          <w:b w:val="1"/>
          <w:bCs w:val="1"/>
          <w:color w:val="auto"/>
        </w:rPr>
        <w:t>CERTIFICATION OF CHIEF EXECUTIVE OFFICER UNDER 18 U.S.C. §1350</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color w:val="auto"/>
        </w:rPr>
        <w:t>I, Robert G. Wilmers, Chairman of the Board and Chief Executive Officer of M</w:t>
      </w:r>
      <w:r>
        <w:rPr>
          <w:rFonts w:ascii="Arial" w:cs="Arial" w:eastAsia="Arial" w:hAnsi="Arial"/>
          <w:sz w:val="12"/>
          <w:szCs w:val="12"/>
          <w:color w:val="auto"/>
        </w:rPr>
        <w:t>&amp;</w:t>
      </w:r>
      <w:r>
        <w:rPr>
          <w:rFonts w:ascii="Arial" w:cs="Arial" w:eastAsia="Arial" w:hAnsi="Arial"/>
          <w:sz w:val="13"/>
          <w:szCs w:val="13"/>
          <w:color w:val="auto"/>
        </w:rPr>
        <w:t>T Bank Corporation, certify, pursuant to Section 906 of the Sarbanes-Oxley Act of 2002,</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18 U.S.C. Section 1350, that:</w:t>
      </w:r>
    </w:p>
    <w:p>
      <w:pPr>
        <w:spacing w:after="0" w:line="6" w:lineRule="exact"/>
        <w:rPr>
          <w:sz w:val="20"/>
          <w:szCs w:val="20"/>
          <w:color w:val="auto"/>
        </w:rPr>
      </w:pPr>
    </w:p>
    <w:p>
      <w:pPr>
        <w:ind w:right="640" w:firstLine="605"/>
        <w:spacing w:after="0" w:line="249" w:lineRule="auto"/>
        <w:tabs>
          <w:tab w:leader="none" w:pos="803"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Annual Report on Form 10-K of M</w:t>
      </w:r>
      <w:r>
        <w:rPr>
          <w:rFonts w:ascii="Arial" w:cs="Arial" w:eastAsia="Arial" w:hAnsi="Arial"/>
          <w:sz w:val="13"/>
          <w:szCs w:val="13"/>
          <w:color w:val="auto"/>
        </w:rPr>
        <w:t>&amp;</w:t>
      </w:r>
      <w:r>
        <w:rPr>
          <w:rFonts w:ascii="Arial" w:cs="Arial" w:eastAsia="Arial" w:hAnsi="Arial"/>
          <w:sz w:val="14"/>
          <w:szCs w:val="14"/>
          <w:color w:val="auto"/>
        </w:rPr>
        <w:t>T Bank Corporation for the annual period ended December 31, 2006 (the “Report”) fully complies with the requirements of Section 13(a) or 15(d) of the Securities Exchange Act of 1934 (15 U.S.C. 78m or 78o(d)); and</w:t>
      </w:r>
    </w:p>
    <w:p>
      <w:pPr>
        <w:ind w:left="600" w:right="40" w:firstLine="5"/>
        <w:spacing w:after="0" w:line="301" w:lineRule="auto"/>
        <w:tabs>
          <w:tab w:leader="none" w:pos="804"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M</w:t>
      </w:r>
      <w:r>
        <w:rPr>
          <w:rFonts w:ascii="Arial" w:cs="Arial" w:eastAsia="Arial" w:hAnsi="Arial"/>
          <w:sz w:val="12"/>
          <w:szCs w:val="12"/>
          <w:color w:val="auto"/>
        </w:rPr>
        <w:t>&amp;</w:t>
      </w:r>
      <w:r>
        <w:rPr>
          <w:rFonts w:ascii="Arial" w:cs="Arial" w:eastAsia="Arial" w:hAnsi="Arial"/>
          <w:sz w:val="13"/>
          <w:szCs w:val="13"/>
          <w:color w:val="auto"/>
        </w:rPr>
        <w:t>T Bank Corporation. The foregoing certification is being furnished solely pursuant to 18 U.S.C. §1350 and is not being filed as part of the Report or as a separate disclosure document.</w:t>
      </w:r>
    </w:p>
    <w:p>
      <w:pPr>
        <w:spacing w:after="0" w:line="272" w:lineRule="exact"/>
        <w:rPr>
          <w:sz w:val="20"/>
          <w:szCs w:val="20"/>
          <w:color w:val="auto"/>
        </w:rPr>
      </w:pPr>
    </w:p>
    <w:p>
      <w:pPr>
        <w:jc w:val="center"/>
        <w:ind w:left="4880"/>
        <w:spacing w:after="0"/>
        <w:rPr>
          <w:sz w:val="20"/>
          <w:szCs w:val="20"/>
          <w:color w:val="auto"/>
        </w:rPr>
      </w:pPr>
      <w:r>
        <w:rPr>
          <w:rFonts w:ascii="Arial" w:cs="Arial" w:eastAsia="Arial" w:hAnsi="Arial"/>
          <w:sz w:val="14"/>
          <w:szCs w:val="14"/>
          <w:color w:val="auto"/>
        </w:rPr>
        <w:t>/s/ R</w:t>
      </w:r>
      <w:r>
        <w:rPr>
          <w:rFonts w:ascii="Arial" w:cs="Arial" w:eastAsia="Arial" w:hAnsi="Arial"/>
          <w:sz w:val="9"/>
          <w:szCs w:val="9"/>
          <w:color w:val="auto"/>
        </w:rPr>
        <w:t>OBERT</w:t>
      </w:r>
      <w:r>
        <w:rPr>
          <w:rFonts w:ascii="Arial" w:cs="Arial" w:eastAsia="Arial" w:hAnsi="Arial"/>
          <w:sz w:val="14"/>
          <w:szCs w:val="14"/>
          <w:color w:val="auto"/>
        </w:rPr>
        <w:t xml:space="preserve"> G. W</w:t>
      </w:r>
      <w:r>
        <w:rPr>
          <w:rFonts w:ascii="Arial" w:cs="Arial" w:eastAsia="Arial" w:hAnsi="Arial"/>
          <w:sz w:val="9"/>
          <w:szCs w:val="9"/>
          <w:color w:val="auto"/>
        </w:rPr>
        <w:t>ILMERS</w:t>
      </w:r>
    </w:p>
    <w:p>
      <w:pPr>
        <w:spacing w:after="0" w:line="26" w:lineRule="exact"/>
        <w:rPr>
          <w:sz w:val="20"/>
          <w:szCs w:val="20"/>
          <w:color w:val="auto"/>
        </w:rPr>
      </w:pPr>
    </w:p>
    <w:p>
      <w:pPr>
        <w:ind w:left="6940"/>
        <w:spacing w:after="0"/>
        <w:rPr>
          <w:sz w:val="20"/>
          <w:szCs w:val="20"/>
          <w:color w:val="auto"/>
        </w:rPr>
      </w:pPr>
      <w:r>
        <w:rPr>
          <w:rFonts w:ascii="Arial" w:cs="Arial" w:eastAsia="Arial" w:hAnsi="Arial"/>
          <w:sz w:val="14"/>
          <w:szCs w:val="14"/>
          <w:color w:val="auto"/>
        </w:rPr>
        <w:t>Robert G. Wilmers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3175000</wp:posOffset>
            </wp:positionH>
            <wp:positionV relativeFrom="paragraph">
              <wp:posOffset>-99695</wp:posOffset>
            </wp:positionV>
            <wp:extent cx="372110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721100" cy="635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February 23, 2007</w:t>
      </w:r>
    </w:p>
    <w:p>
      <w:pPr>
        <w:spacing w:after="0" w:line="92" w:lineRule="exact"/>
        <w:rPr>
          <w:sz w:val="20"/>
          <w:szCs w:val="20"/>
          <w:color w:val="auto"/>
        </w:rPr>
      </w:pPr>
    </w:p>
    <w:p>
      <w:pPr>
        <w:ind w:right="140" w:firstLine="599"/>
        <w:spacing w:after="0" w:line="265" w:lineRule="auto"/>
        <w:rPr>
          <w:sz w:val="20"/>
          <w:szCs w:val="20"/>
          <w:color w:val="auto"/>
        </w:rPr>
      </w:pPr>
      <w:r>
        <w:rPr>
          <w:rFonts w:ascii="Arial" w:cs="Arial" w:eastAsia="Arial" w:hAnsi="Arial"/>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w:t>
      </w:r>
      <w:r>
        <w:rPr>
          <w:rFonts w:ascii="Arial" w:cs="Arial" w:eastAsia="Arial" w:hAnsi="Arial"/>
          <w:sz w:val="13"/>
          <w:szCs w:val="13"/>
          <w:color w:val="auto"/>
        </w:rPr>
        <w:t>&amp;</w:t>
      </w:r>
      <w:r>
        <w:rPr>
          <w:rFonts w:ascii="Arial" w:cs="Arial" w:eastAsia="Arial" w:hAnsi="Arial"/>
          <w:sz w:val="14"/>
          <w:szCs w:val="14"/>
          <w:color w:val="auto"/>
        </w:rPr>
        <w:t>T Bank Corporation and will be retained by M</w:t>
      </w:r>
      <w:r>
        <w:rPr>
          <w:rFonts w:ascii="Arial" w:cs="Arial" w:eastAsia="Arial" w:hAnsi="Arial"/>
          <w:sz w:val="13"/>
          <w:szCs w:val="13"/>
          <w:color w:val="auto"/>
        </w:rPr>
        <w:t>&amp;</w:t>
      </w:r>
      <w:r>
        <w:rPr>
          <w:rFonts w:ascii="Arial" w:cs="Arial" w:eastAsia="Arial" w:hAnsi="Arial"/>
          <w:sz w:val="14"/>
          <w:szCs w:val="14"/>
          <w:color w:val="auto"/>
        </w:rPr>
        <w:t>T Bank Corporation and furnished to the Securities and Exchange Commission or its staff upon request.</w:t>
      </w:r>
    </w:p>
    <w:p>
      <w:pPr>
        <w:sectPr>
          <w:pgSz w:w="11900" w:h="16838" w:orient="portrait"/>
          <w:cols w:equalWidth="0" w:num="1">
            <w:col w:w="9980"/>
          </w:cols>
          <w:pgMar w:left="900" w:top="713" w:right="1019" w:bottom="1440" w:gutter="0" w:footer="0" w:header="0"/>
        </w:sectPr>
      </w:pPr>
    </w:p>
    <w:bookmarkStart w:id="144" w:name="page145"/>
    <w:bookmarkEnd w:id="144"/>
    <w:p>
      <w:pPr>
        <w:jc w:val="right"/>
        <w:spacing w:after="0"/>
        <w:rPr>
          <w:sz w:val="20"/>
          <w:szCs w:val="20"/>
          <w:color w:val="auto"/>
        </w:rPr>
      </w:pPr>
      <w:r>
        <w:rPr>
          <w:rFonts w:ascii="Arial" w:cs="Arial" w:eastAsia="Arial" w:hAnsi="Arial"/>
          <w:sz w:val="14"/>
          <w:szCs w:val="14"/>
          <w:b w:val="1"/>
          <w:bCs w:val="1"/>
          <w:color w:val="auto"/>
        </w:rPr>
        <w:t>EXHIBIT 32.2</w:t>
      </w:r>
    </w:p>
    <w:p>
      <w:pPr>
        <w:spacing w:after="0" w:line="252"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CERTIFICATION OF CHIEF FINANCIAL OFFICER UNDER 18 U.S.C. §1350</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color w:val="auto"/>
        </w:rPr>
        <w:t>I, René F. Jones, Executive Vice President and Chief Financial Officer of M</w:t>
      </w:r>
      <w:r>
        <w:rPr>
          <w:rFonts w:ascii="Arial" w:cs="Arial" w:eastAsia="Arial" w:hAnsi="Arial"/>
          <w:sz w:val="12"/>
          <w:szCs w:val="12"/>
          <w:color w:val="auto"/>
        </w:rPr>
        <w:t>&amp;</w:t>
      </w:r>
      <w:r>
        <w:rPr>
          <w:rFonts w:ascii="Arial" w:cs="Arial" w:eastAsia="Arial" w:hAnsi="Arial"/>
          <w:sz w:val="13"/>
          <w:szCs w:val="13"/>
          <w:color w:val="auto"/>
        </w:rPr>
        <w:t>T Bank Corporation, certify, pursuant to Section 906 of the Sarbanes-Oxley Act of 2002,</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18 U.S.C. Section 1350, that:</w:t>
      </w:r>
    </w:p>
    <w:p>
      <w:pPr>
        <w:spacing w:after="0" w:line="6" w:lineRule="exact"/>
        <w:rPr>
          <w:sz w:val="20"/>
          <w:szCs w:val="20"/>
          <w:color w:val="auto"/>
        </w:rPr>
      </w:pPr>
    </w:p>
    <w:p>
      <w:pPr>
        <w:ind w:right="640" w:firstLine="605"/>
        <w:spacing w:after="0" w:line="249" w:lineRule="auto"/>
        <w:tabs>
          <w:tab w:leader="none" w:pos="803"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Annual Report on Form 10-K of M</w:t>
      </w:r>
      <w:r>
        <w:rPr>
          <w:rFonts w:ascii="Arial" w:cs="Arial" w:eastAsia="Arial" w:hAnsi="Arial"/>
          <w:sz w:val="13"/>
          <w:szCs w:val="13"/>
          <w:color w:val="auto"/>
        </w:rPr>
        <w:t>&amp;</w:t>
      </w:r>
      <w:r>
        <w:rPr>
          <w:rFonts w:ascii="Arial" w:cs="Arial" w:eastAsia="Arial" w:hAnsi="Arial"/>
          <w:sz w:val="14"/>
          <w:szCs w:val="14"/>
          <w:color w:val="auto"/>
        </w:rPr>
        <w:t>T Bank Corporation for the annual period ended December 31, 2006 (the “Report”) fully complies with the requirements of Section 13(a) or 15(d) of the Securities Exchange Act of 1934 (15 U.S.C. 78m or 78o(d)); and</w:t>
      </w:r>
    </w:p>
    <w:p>
      <w:pPr>
        <w:ind w:left="600" w:right="40" w:firstLine="5"/>
        <w:spacing w:after="0" w:line="301" w:lineRule="auto"/>
        <w:tabs>
          <w:tab w:leader="none" w:pos="804"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M</w:t>
      </w:r>
      <w:r>
        <w:rPr>
          <w:rFonts w:ascii="Arial" w:cs="Arial" w:eastAsia="Arial" w:hAnsi="Arial"/>
          <w:sz w:val="12"/>
          <w:szCs w:val="12"/>
          <w:color w:val="auto"/>
        </w:rPr>
        <w:t>&amp;</w:t>
      </w:r>
      <w:r>
        <w:rPr>
          <w:rFonts w:ascii="Arial" w:cs="Arial" w:eastAsia="Arial" w:hAnsi="Arial"/>
          <w:sz w:val="13"/>
          <w:szCs w:val="13"/>
          <w:color w:val="auto"/>
        </w:rPr>
        <w:t>T Bank Corporation. The foregoing certification is being furnished solely pursuant to 18 U.S.C. §1350 and is not being filed as part of the Report or as a separate disclosure document.</w:t>
      </w:r>
    </w:p>
    <w:p>
      <w:pPr>
        <w:spacing w:after="0" w:line="272" w:lineRule="exact"/>
        <w:rPr>
          <w:sz w:val="20"/>
          <w:szCs w:val="20"/>
          <w:color w:val="auto"/>
        </w:rPr>
      </w:pPr>
    </w:p>
    <w:p>
      <w:pPr>
        <w:jc w:val="center"/>
        <w:ind w:left="4880"/>
        <w:spacing w:after="0"/>
        <w:rPr>
          <w:sz w:val="20"/>
          <w:szCs w:val="20"/>
          <w:color w:val="auto"/>
        </w:rPr>
      </w:pPr>
      <w:r>
        <w:rPr>
          <w:rFonts w:ascii="Arial" w:cs="Arial" w:eastAsia="Arial" w:hAnsi="Arial"/>
          <w:sz w:val="14"/>
          <w:szCs w:val="14"/>
          <w:color w:val="auto"/>
        </w:rPr>
        <w:t>/s/ R</w:t>
      </w:r>
      <w:r>
        <w:rPr>
          <w:rFonts w:ascii="Arial" w:cs="Arial" w:eastAsia="Arial" w:hAnsi="Arial"/>
          <w:sz w:val="9"/>
          <w:szCs w:val="9"/>
          <w:color w:val="auto"/>
        </w:rPr>
        <w:t>ENÉ</w:t>
      </w:r>
      <w:r>
        <w:rPr>
          <w:rFonts w:ascii="Arial" w:cs="Arial" w:eastAsia="Arial" w:hAnsi="Arial"/>
          <w:sz w:val="14"/>
          <w:szCs w:val="14"/>
          <w:color w:val="auto"/>
        </w:rPr>
        <w:t xml:space="preserve"> F. J</w:t>
      </w:r>
      <w:r>
        <w:rPr>
          <w:rFonts w:ascii="Arial" w:cs="Arial" w:eastAsia="Arial" w:hAnsi="Arial"/>
          <w:sz w:val="9"/>
          <w:szCs w:val="9"/>
          <w:color w:val="auto"/>
        </w:rPr>
        <w:t>ONES</w:t>
      </w:r>
    </w:p>
    <w:p>
      <w:pPr>
        <w:spacing w:after="0" w:line="26" w:lineRule="exact"/>
        <w:rPr>
          <w:sz w:val="20"/>
          <w:szCs w:val="20"/>
          <w:color w:val="auto"/>
        </w:rPr>
      </w:pPr>
    </w:p>
    <w:p>
      <w:pPr>
        <w:jc w:val="center"/>
        <w:ind w:left="4880"/>
        <w:spacing w:after="0"/>
        <w:rPr>
          <w:sz w:val="20"/>
          <w:szCs w:val="20"/>
          <w:color w:val="auto"/>
        </w:rPr>
      </w:pPr>
      <w:r>
        <w:rPr>
          <w:rFonts w:ascii="Arial" w:cs="Arial" w:eastAsia="Arial" w:hAnsi="Arial"/>
          <w:sz w:val="14"/>
          <w:szCs w:val="14"/>
          <w:color w:val="auto"/>
        </w:rPr>
        <w:t>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3175000</wp:posOffset>
            </wp:positionH>
            <wp:positionV relativeFrom="paragraph">
              <wp:posOffset>-99695</wp:posOffset>
            </wp:positionV>
            <wp:extent cx="3721100"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721100" cy="635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February 23, 2007</w:t>
      </w:r>
    </w:p>
    <w:p>
      <w:pPr>
        <w:spacing w:after="0" w:line="92" w:lineRule="exact"/>
        <w:rPr>
          <w:sz w:val="20"/>
          <w:szCs w:val="20"/>
          <w:color w:val="auto"/>
        </w:rPr>
      </w:pPr>
    </w:p>
    <w:p>
      <w:pPr>
        <w:ind w:right="140" w:firstLine="599"/>
        <w:spacing w:after="0" w:line="265" w:lineRule="auto"/>
        <w:rPr>
          <w:sz w:val="20"/>
          <w:szCs w:val="20"/>
          <w:color w:val="auto"/>
        </w:rPr>
      </w:pPr>
      <w:r>
        <w:rPr>
          <w:rFonts w:ascii="Arial" w:cs="Arial" w:eastAsia="Arial" w:hAnsi="Arial"/>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w:t>
      </w:r>
      <w:r>
        <w:rPr>
          <w:rFonts w:ascii="Arial" w:cs="Arial" w:eastAsia="Arial" w:hAnsi="Arial"/>
          <w:sz w:val="13"/>
          <w:szCs w:val="13"/>
          <w:color w:val="auto"/>
        </w:rPr>
        <w:t>&amp;</w:t>
      </w:r>
      <w:r>
        <w:rPr>
          <w:rFonts w:ascii="Arial" w:cs="Arial" w:eastAsia="Arial" w:hAnsi="Arial"/>
          <w:sz w:val="14"/>
          <w:szCs w:val="14"/>
          <w:color w:val="auto"/>
        </w:rPr>
        <w:t>T Bank Corporation and will be retained by M</w:t>
      </w:r>
      <w:r>
        <w:rPr>
          <w:rFonts w:ascii="Arial" w:cs="Arial" w:eastAsia="Arial" w:hAnsi="Arial"/>
          <w:sz w:val="13"/>
          <w:szCs w:val="13"/>
          <w:color w:val="auto"/>
        </w:rPr>
        <w:t>&amp;</w:t>
      </w:r>
      <w:r>
        <w:rPr>
          <w:rFonts w:ascii="Arial" w:cs="Arial" w:eastAsia="Arial" w:hAnsi="Arial"/>
          <w:sz w:val="14"/>
          <w:szCs w:val="14"/>
          <w:color w:val="auto"/>
        </w:rPr>
        <w:t>T Bank Corporation and furnished to the Securities and Exchange Commission or its staff upon request.</w:t>
      </w:r>
    </w:p>
    <w:sectPr>
      <w:pgSz w:w="11900" w:h="16838" w:orient="portrait"/>
      <w:cols w:equalWidth="0" w:num="1">
        <w:col w:w="9980"/>
      </w:cols>
      <w:pgMar w:left="900" w:top="713"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upperLetter"/>
      <w:start w:val="9"/>
    </w:lvl>
  </w:abstractNum>
  <w:abstractNum w:abstractNumId="1">
    <w:nsid w:val="2901D82"/>
    <w:multiLevelType w:val="hybridMultilevel"/>
    <w:lvl w:ilvl="0">
      <w:lvlJc w:val="left"/>
      <w:lvlText w:val="%1."/>
      <w:numFmt w:val="upperLetter"/>
      <w:start w:val="61"/>
    </w:lvl>
  </w:abstractNum>
  <w:abstractNum w:abstractNumId="2">
    <w:nsid w:val="3A95F874"/>
    <w:multiLevelType w:val="hybridMultilevel"/>
    <w:lvl w:ilvl="0">
      <w:lvlJc w:val="left"/>
      <w:lvlText w:val="%1."/>
      <w:numFmt w:val="upperLetter"/>
      <w:start w:val="22"/>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1)"/>
      <w:numFmt w:val="lowerRoman"/>
      <w:start w:val="1"/>
    </w:lvl>
  </w:abstractNum>
  <w:abstractNum w:abstractNumId="7">
    <w:nsid w:val="6CEAF087"/>
    <w:multiLevelType w:val="hybridMultilevel"/>
    <w:lvl w:ilvl="0">
      <w:lvlJc w:val="left"/>
      <w:lvlText w:val="(%1)"/>
      <w:numFmt w:val="lowerRoman"/>
      <w:start w:val="5"/>
    </w:lvl>
  </w:abstractNum>
  <w:abstractNum w:abstractNumId="8">
    <w:nsid w:val="22221A70"/>
    <w:multiLevelType w:val="hybridMultilevel"/>
    <w:lvl w:ilvl="0">
      <w:lvlJc w:val="left"/>
      <w:lvlText w:val="(%1)"/>
      <w:numFmt w:val="lowerLetter"/>
      <w:start w:val="1"/>
    </w:lvl>
  </w:abstractNum>
  <w:abstractNum w:abstractNumId="9">
    <w:nsid w:val="4516DDE9"/>
    <w:multiLevelType w:val="hybridMultilevel"/>
    <w:lvl w:ilvl="0">
      <w:lvlJc w:val="left"/>
      <w:lvlText w:val="(%1)"/>
      <w:numFmt w:val="decimal"/>
      <w:start w:val="1"/>
    </w:lvl>
  </w:abstractNum>
  <w:abstractNum w:abstractNumId="10">
    <w:nsid w:val="3006C83E"/>
    <w:multiLevelType w:val="hybridMultilevel"/>
    <w:lvl w:ilvl="0">
      <w:lvlJc w:val="left"/>
      <w:lvlText w:val="(%1)"/>
      <w:numFmt w:val="decimal"/>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1)"/>
      <w:numFmt w:val="lowerLetter"/>
      <w:start w:val="1"/>
    </w:lvl>
  </w:abstractNum>
  <w:abstractNum w:abstractNumId="14">
    <w:nsid w:val="440BADFC"/>
    <w:multiLevelType w:val="hybridMultilevel"/>
    <w:lvl w:ilvl="0">
      <w:lvlJc w:val="left"/>
      <w:lvlText w:val="(%1)"/>
      <w:numFmt w:val="lowerLetter"/>
      <w:start w:val="1"/>
    </w:lvl>
  </w:abstractNum>
  <w:abstractNum w:abstractNumId="15">
    <w:nsid w:val="5072367"/>
    <w:multiLevelType w:val="hybridMultilevel"/>
    <w:lvl w:ilvl="0">
      <w:lvlJc w:val="left"/>
      <w:lvlText w:val="(%1)"/>
      <w:numFmt w:val="lowerLetter"/>
      <w:start w:val="1"/>
    </w:lvl>
  </w:abstractNum>
  <w:abstractNum w:abstractNumId="16">
    <w:nsid w:val="3804823E"/>
    <w:multiLevelType w:val="hybridMultilevel"/>
    <w:lvl w:ilvl="0">
      <w:lvlJc w:val="left"/>
      <w:lvlText w:val="(%1)"/>
      <w:numFmt w:val="lowerLetter"/>
      <w:start w:val="1"/>
    </w:lvl>
  </w:abstractNum>
  <w:abstractNum w:abstractNumId="17">
    <w:nsid w:val="77465F01"/>
    <w:multiLevelType w:val="hybridMultilevel"/>
    <w:lvl w:ilvl="0">
      <w:lvlJc w:val="left"/>
      <w:lvlText w:val="(%1)"/>
      <w:numFmt w:val="lowerLetter"/>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1)"/>
      <w:numFmt w:val="lowerLetter"/>
      <w:start w:val="1"/>
    </w:lvl>
  </w:abstractNum>
  <w:abstractNum w:abstractNumId="21">
    <w:nsid w:val="5E884ADC"/>
    <w:multiLevelType w:val="hybridMultilevel"/>
    <w:lvl w:ilvl="0">
      <w:lvlJc w:val="left"/>
      <w:lvlText w:val="(%1)"/>
      <w:numFmt w:val="lowerLetter"/>
      <w:start w:val="1"/>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1."/>
      <w:numFmt w:val="decimal"/>
      <w:start w:val="2"/>
    </w:lvl>
  </w:abstractNum>
  <w:abstractNum w:abstractNumId="24">
    <w:nsid w:val="580BD78F"/>
    <w:multiLevelType w:val="hybridMultilevel"/>
    <w:lvl w:ilvl="0">
      <w:lvlJc w:val="left"/>
      <w:lvlText w:val="%1."/>
      <w:numFmt w:val="decimal"/>
      <w:start w:val="3"/>
    </w:lvl>
  </w:abstractNum>
  <w:abstractNum w:abstractNumId="25">
    <w:nsid w:val="153EA438"/>
    <w:multiLevelType w:val="hybridMultilevel"/>
    <w:lvl w:ilvl="0">
      <w:lvlJc w:val="left"/>
      <w:lvlText w:val="%1."/>
      <w:numFmt w:val="decimal"/>
      <w:start w:val="4"/>
    </w:lvl>
  </w:abstractNum>
  <w:abstractNum w:abstractNumId="26">
    <w:nsid w:val="3855585C"/>
    <w:multiLevelType w:val="hybridMultilevel"/>
    <w:lvl w:ilvl="0">
      <w:lvlJc w:val="left"/>
      <w:lvlText w:val="%1."/>
      <w:numFmt w:val="decimal"/>
      <w:start w:val="7"/>
    </w:lvl>
  </w:abstractNum>
  <w:abstractNum w:abstractNumId="27">
    <w:nsid w:val="70A64E2A"/>
    <w:multiLevelType w:val="hybridMultilevel"/>
    <w:lvl w:ilvl="0">
      <w:lvlJc w:val="left"/>
      <w:lvlText w:val="%1."/>
      <w:numFmt w:val="decimal"/>
      <w:start w:val="8"/>
    </w:lvl>
  </w:abstractNum>
  <w:abstractNum w:abstractNumId="28">
    <w:nsid w:val="6A2342EC"/>
    <w:multiLevelType w:val="hybridMultilevel"/>
    <w:lvl w:ilvl="0">
      <w:lvlJc w:val="left"/>
      <w:lvlText w:val="(%1)"/>
      <w:numFmt w:val="lowerRoman"/>
      <w:start w:val="2"/>
    </w:lvl>
  </w:abstractNum>
  <w:abstractNum w:abstractNumId="29">
    <w:nsid w:val="2A487CB0"/>
    <w:multiLevelType w:val="hybridMultilevel"/>
    <w:lvl w:ilvl="0">
      <w:lvlJc w:val="left"/>
      <w:lvlText w:val="%1."/>
      <w:numFmt w:val="decimal"/>
      <w:start w:val="10"/>
    </w:lvl>
  </w:abstractNum>
  <w:abstractNum w:abstractNumId="30">
    <w:nsid w:val="1D4ED43B"/>
    <w:multiLevelType w:val="hybridMultilevel"/>
    <w:lvl w:ilvl="0">
      <w:lvlJc w:val="left"/>
      <w:lvlText w:val="%1."/>
      <w:numFmt w:val="decimal"/>
      <w:start w:val="11"/>
    </w:lvl>
  </w:abstractNum>
  <w:abstractNum w:abstractNumId="31">
    <w:nsid w:val="725A06FB"/>
    <w:multiLevelType w:val="hybridMultilevel"/>
    <w:lvl w:ilvl="0">
      <w:lvlJc w:val="left"/>
      <w:lvlText w:val="%1."/>
      <w:numFmt w:val="decimal"/>
      <w:start w:val="12"/>
    </w:lvl>
  </w:abstractNum>
  <w:abstractNum w:abstractNumId="32">
    <w:nsid w:val="2CD89A32"/>
    <w:multiLevelType w:val="hybridMultilevel"/>
    <w:lvl w:ilvl="0">
      <w:lvlJc w:val="left"/>
      <w:lvlText w:val="%1."/>
      <w:numFmt w:val="decimal"/>
      <w:start w:val="13"/>
    </w:lvl>
  </w:abstractNum>
  <w:abstractNum w:abstractNumId="33">
    <w:nsid w:val="57E4CCAF"/>
    <w:multiLevelType w:val="hybridMultilevel"/>
    <w:lvl w:ilvl="0">
      <w:lvlJc w:val="left"/>
      <w:lvlText w:val="%1."/>
      <w:numFmt w:val="decimal"/>
      <w:start w:val="15"/>
    </w:lvl>
  </w:abstractNum>
  <w:abstractNum w:abstractNumId="34">
    <w:nsid w:val="7A6D8D3C"/>
    <w:multiLevelType w:val="hybridMultilevel"/>
    <w:lvl w:ilvl="0">
      <w:lvlJc w:val="left"/>
      <w:lvlText w:val="%1."/>
      <w:numFmt w:val="decimal"/>
      <w:start w:val="16"/>
    </w:lvl>
  </w:abstractNum>
  <w:abstractNum w:abstractNumId="35">
    <w:nsid w:val="4B588F54"/>
    <w:multiLevelType w:val="hybridMultilevel"/>
    <w:lvl w:ilvl="0">
      <w:lvlJc w:val="left"/>
      <w:lvlText w:val="%1."/>
      <w:numFmt w:val="decimal"/>
      <w:start w:val="17"/>
    </w:lvl>
  </w:abstractNum>
  <w:abstractNum w:abstractNumId="36">
    <w:nsid w:val="542289EC"/>
    <w:multiLevelType w:val="hybridMultilevel"/>
    <w:lvl w:ilvl="0">
      <w:lvlJc w:val="left"/>
      <w:lvlText w:val="%1."/>
      <w:numFmt w:val="decimal"/>
      <w:start w:val="18"/>
    </w:lvl>
  </w:abstractNum>
  <w:abstractNum w:abstractNumId="37">
    <w:nsid w:val="6DE91B18"/>
    <w:multiLevelType w:val="hybridMultilevel"/>
    <w:lvl w:ilvl="0">
      <w:lvlJc w:val="left"/>
      <w:lvlText w:val="%1."/>
      <w:numFmt w:val="decimal"/>
      <w:start w:val="19"/>
    </w:lvl>
  </w:abstractNum>
  <w:abstractNum w:abstractNumId="38">
    <w:nsid w:val="38437FDB"/>
    <w:multiLevelType w:val="hybridMultilevel"/>
    <w:lvl w:ilvl="0">
      <w:lvlJc w:val="left"/>
      <w:lvlText w:val="%1."/>
      <w:numFmt w:val="decimal"/>
      <w:start w:val="20"/>
    </w:lvl>
  </w:abstractNum>
  <w:abstractNum w:abstractNumId="39">
    <w:nsid w:val="7644A45C"/>
    <w:multiLevelType w:val="hybridMultilevel"/>
    <w:lvl w:ilvl="0">
      <w:lvlJc w:val="left"/>
      <w:lvlText w:val="%1."/>
      <w:numFmt w:val="decimal"/>
      <w:start w:val="21"/>
    </w:lvl>
  </w:abstractNum>
  <w:abstractNum w:abstractNumId="40">
    <w:nsid w:val="32FFF902"/>
    <w:multiLevelType w:val="hybridMultilevel"/>
    <w:lvl w:ilvl="0">
      <w:lvlJc w:val="left"/>
      <w:lvlText w:val="(%1)"/>
      <w:numFmt w:val="lowerLetter"/>
      <w:start w:val="1"/>
    </w:lvl>
  </w:abstractNum>
  <w:abstractNum w:abstractNumId="41">
    <w:nsid w:val="684A481A"/>
    <w:multiLevelType w:val="hybridMultilevel"/>
    <w:lvl w:ilvl="0">
      <w:lvlJc w:val="left"/>
      <w:lvlText w:val="%1."/>
      <w:numFmt w:val="decimal"/>
      <w:start w:val="22"/>
    </w:lvl>
  </w:abstractNum>
  <w:abstractNum w:abstractNumId="42">
    <w:nsid w:val="579478FE"/>
    <w:multiLevelType w:val="hybridMultilevel"/>
    <w:lvl w:ilvl="0">
      <w:lvlJc w:val="left"/>
      <w:lvlText w:val="(%1)"/>
      <w:numFmt w:val="lowerLetter"/>
      <w:start w:val="1"/>
    </w:lvl>
  </w:abstractNum>
  <w:abstractNum w:abstractNumId="43">
    <w:nsid w:val="749ABB43"/>
    <w:multiLevelType w:val="hybridMultilevel"/>
    <w:lvl w:ilvl="0">
      <w:lvlJc w:val="left"/>
      <w:lvlText w:val="%1."/>
      <w:numFmt w:val="decimal"/>
      <w:start w:val="23"/>
    </w:lvl>
  </w:abstractNum>
  <w:abstractNum w:abstractNumId="44">
    <w:nsid w:val="3DC240FB"/>
    <w:multiLevelType w:val="hybridMultilevel"/>
    <w:lvl w:ilvl="0">
      <w:lvlJc w:val="left"/>
      <w:lvlText w:val="(%1)"/>
      <w:numFmt w:val="lowerLetter"/>
      <w:start w:val="1"/>
    </w:lvl>
  </w:abstractNum>
  <w:abstractNum w:abstractNumId="45">
    <w:nsid w:val="1BA026FA"/>
    <w:multiLevelType w:val="hybridMultilevel"/>
    <w:lvl w:ilvl="0">
      <w:lvlJc w:val="left"/>
      <w:lvlText w:val="(%1)"/>
      <w:numFmt w:val="lowerLetter"/>
      <w:start w:val="1"/>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lowerLetter"/>
      <w:start w:val="1"/>
    </w:lvl>
  </w:abstractNum>
  <w:abstractNum w:abstractNumId="48">
    <w:nsid w:val="12E685FB"/>
    <w:multiLevelType w:val="hybridMultilevel"/>
    <w:lvl w:ilvl="0">
      <w:lvlJc w:val="left"/>
      <w:lvlText w:val="%1."/>
      <w:numFmt w:val="decimal"/>
      <w:start w:val="5"/>
    </w:lvl>
  </w:abstractNum>
  <w:abstractNum w:abstractNumId="49">
    <w:nsid w:val="70C6A529"/>
    <w:multiLevelType w:val="hybridMultilevel"/>
    <w:lvl w:ilvl="0">
      <w:lvlJc w:val="left"/>
      <w:lvlText w:val="%1)"/>
      <w:numFmt w:val="lowerLetter"/>
      <w:start w:val="1"/>
    </w:lvl>
  </w:abstractNum>
  <w:abstractNum w:abstractNumId="50">
    <w:nsid w:val="520EEDD1"/>
    <w:multiLevelType w:val="hybridMultilevel"/>
    <w:lvl w:ilvl="0">
      <w:lvlJc w:val="left"/>
      <w:lvlText w:val="%1."/>
      <w:numFmt w:val="decimal"/>
      <w:start w:val="1"/>
    </w:lvl>
  </w:abstractNum>
  <w:abstractNum w:abstractNumId="51">
    <w:nsid w:val="374A3FE6"/>
    <w:multiLevelType w:val="hybridMultilevel"/>
    <w:lvl w:ilvl="0">
      <w:lvlJc w:val="left"/>
      <w:lvlText w:val="%1)"/>
      <w:numFmt w:val="lowerLetter"/>
      <w:start w:val="1"/>
    </w:lvl>
  </w:abstractNum>
  <w:abstractNum w:abstractNumId="52">
    <w:nsid w:val="4F4EF005"/>
    <w:multiLevelType w:val="hybridMultilevel"/>
    <w:lvl w:ilvl="0">
      <w:lvlJc w:val="left"/>
      <w:lvlText w:val="%1."/>
      <w:numFmt w:val="decimal"/>
      <w:start w:val="5"/>
    </w:lvl>
  </w:abstractNum>
  <w:abstractNum w:abstractNumId="53">
    <w:nsid w:val="23F9C13C"/>
    <w:multiLevelType w:val="hybridMultilevel"/>
    <w:lvl w:ilvl="0">
      <w:lvlJc w:val="left"/>
      <w:lvlText w:val="%1)"/>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2019-12-13T01:20:57Z</dcterms:created>
  <dcterms:modified xsi:type="dcterms:W3CDTF">2019-12-13T01:20:57Z</dcterms:modified>
</cp:coreProperties>
</file>