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280" w:type="dxa"/>
        <w:tblCellMar>
          <w:top w:w="0" w:type="dxa"/>
          <w:left w:w="0" w:type="dxa"/>
          <w:bottom w:w="0" w:type="dxa"/>
          <w:right w:w="0" w:type="dxa"/>
        </w:tblCellMar>
      </w:tblPr>
      <w:tr>
        <w:trPr>
          <w:trHeight w:val="222"/>
        </w:trPr>
        <w:tc>
          <w:tcPr>
            <w:tcW w:w="2220" w:type="dxa"/>
            <w:vAlign w:val="bottom"/>
          </w:tcPr>
          <w:p>
            <w:pPr>
              <w:spacing w:after="0"/>
              <w:rPr>
                <w:sz w:val="19"/>
                <w:szCs w:val="19"/>
                <w:color w:val="auto"/>
              </w:rPr>
            </w:pPr>
          </w:p>
        </w:tc>
        <w:tc>
          <w:tcPr>
            <w:tcW w:w="6360" w:type="dxa"/>
            <w:vAlign w:val="bottom"/>
          </w:tcPr>
          <w:p>
            <w:pPr>
              <w:jc w:val="center"/>
              <w:ind w:right="2016"/>
              <w:spacing w:after="0"/>
              <w:rPr>
                <w:sz w:val="20"/>
                <w:szCs w:val="20"/>
                <w:color w:val="auto"/>
              </w:rPr>
            </w:pPr>
            <w:r>
              <w:rPr>
                <w:rFonts w:ascii="Times New Roman" w:cs="Times New Roman" w:eastAsia="Times New Roman" w:hAnsi="Times New Roman"/>
                <w:sz w:val="17"/>
                <w:szCs w:val="17"/>
                <w:b w:val="1"/>
                <w:bCs w:val="1"/>
                <w:color w:val="auto"/>
                <w:w w:val="97"/>
              </w:rPr>
              <w:t>UNITED STATES</w:t>
            </w:r>
          </w:p>
        </w:tc>
      </w:tr>
      <w:tr>
        <w:trPr>
          <w:trHeight w:val="234"/>
        </w:trPr>
        <w:tc>
          <w:tcPr>
            <w:tcW w:w="2220" w:type="dxa"/>
            <w:vAlign w:val="bottom"/>
          </w:tcPr>
          <w:p>
            <w:pPr>
              <w:spacing w:after="0"/>
              <w:rPr>
                <w:sz w:val="20"/>
                <w:szCs w:val="20"/>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7"/>
                <w:szCs w:val="17"/>
                <w:b w:val="1"/>
                <w:bCs w:val="1"/>
                <w:color w:val="auto"/>
                <w:w w:val="98"/>
              </w:rPr>
              <w:t>SECURITIES AND EXCHANGE COMMISSION</w:t>
            </w:r>
          </w:p>
        </w:tc>
      </w:tr>
      <w:tr>
        <w:trPr>
          <w:trHeight w:val="175"/>
        </w:trPr>
        <w:tc>
          <w:tcPr>
            <w:tcW w:w="2220" w:type="dxa"/>
            <w:vAlign w:val="bottom"/>
          </w:tcPr>
          <w:p>
            <w:pPr>
              <w:spacing w:after="0"/>
              <w:rPr>
                <w:sz w:val="15"/>
                <w:szCs w:val="15"/>
                <w:color w:val="auto"/>
              </w:rPr>
            </w:pPr>
          </w:p>
        </w:tc>
        <w:tc>
          <w:tcPr>
            <w:tcW w:w="6360" w:type="dxa"/>
            <w:vAlign w:val="bottom"/>
          </w:tcPr>
          <w:p>
            <w:pPr>
              <w:jc w:val="center"/>
              <w:ind w:right="2016"/>
              <w:spacing w:after="0"/>
              <w:rPr>
                <w:sz w:val="20"/>
                <w:szCs w:val="20"/>
                <w:color w:val="auto"/>
              </w:rPr>
            </w:pPr>
            <w:r>
              <w:rPr>
                <w:rFonts w:ascii="Times New Roman" w:cs="Times New Roman" w:eastAsia="Times New Roman" w:hAnsi="Times New Roman"/>
                <w:sz w:val="12"/>
                <w:szCs w:val="12"/>
                <w:b w:val="1"/>
                <w:bCs w:val="1"/>
                <w:color w:val="auto"/>
                <w:w w:val="99"/>
              </w:rPr>
              <w:t>Washington, D.C. 20549</w:t>
            </w:r>
          </w:p>
        </w:tc>
      </w:tr>
      <w:tr>
        <w:trPr>
          <w:trHeight w:val="171"/>
        </w:trPr>
        <w:tc>
          <w:tcPr>
            <w:tcW w:w="2220" w:type="dxa"/>
            <w:vAlign w:val="bottom"/>
          </w:tcPr>
          <w:p>
            <w:pPr>
              <w:spacing w:after="0"/>
              <w:rPr>
                <w:sz w:val="14"/>
                <w:szCs w:val="14"/>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264"/>
        </w:trPr>
        <w:tc>
          <w:tcPr>
            <w:tcW w:w="2220" w:type="dxa"/>
            <w:vAlign w:val="bottom"/>
          </w:tcPr>
          <w:p>
            <w:pPr>
              <w:spacing w:after="0"/>
              <w:rPr>
                <w:sz w:val="22"/>
                <w:szCs w:val="22"/>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7"/>
                <w:szCs w:val="17"/>
                <w:b w:val="1"/>
                <w:bCs w:val="1"/>
                <w:color w:val="auto"/>
                <w:w w:val="98"/>
              </w:rPr>
              <w:t>FORM 8-K</w:t>
            </w:r>
          </w:p>
        </w:tc>
      </w:tr>
      <w:tr>
        <w:trPr>
          <w:trHeight w:val="159"/>
        </w:trPr>
        <w:tc>
          <w:tcPr>
            <w:tcW w:w="2220" w:type="dxa"/>
            <w:vAlign w:val="bottom"/>
          </w:tcPr>
          <w:p>
            <w:pPr>
              <w:spacing w:after="0"/>
              <w:rPr>
                <w:sz w:val="13"/>
                <w:szCs w:val="13"/>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156"/>
        </w:trPr>
        <w:tc>
          <w:tcPr>
            <w:tcW w:w="2220" w:type="dxa"/>
            <w:vAlign w:val="bottom"/>
          </w:tcPr>
          <w:p>
            <w:pPr>
              <w:spacing w:after="0"/>
              <w:rPr>
                <w:sz w:val="13"/>
                <w:szCs w:val="13"/>
                <w:color w:val="auto"/>
              </w:rPr>
            </w:pPr>
          </w:p>
        </w:tc>
        <w:tc>
          <w:tcPr>
            <w:tcW w:w="6360" w:type="dxa"/>
            <w:vAlign w:val="bottom"/>
          </w:tcPr>
          <w:p>
            <w:pPr>
              <w:jc w:val="center"/>
              <w:ind w:right="2016"/>
              <w:spacing w:after="0"/>
              <w:rPr>
                <w:sz w:val="20"/>
                <w:szCs w:val="20"/>
                <w:color w:val="auto"/>
              </w:rPr>
            </w:pPr>
            <w:r>
              <w:rPr>
                <w:rFonts w:ascii="Times New Roman" w:cs="Times New Roman" w:eastAsia="Times New Roman" w:hAnsi="Times New Roman"/>
                <w:sz w:val="12"/>
                <w:szCs w:val="12"/>
                <w:b w:val="1"/>
                <w:bCs w:val="1"/>
                <w:color w:val="auto"/>
                <w:w w:val="99"/>
              </w:rPr>
              <w:t>CURRENT REPORT</w:t>
            </w:r>
          </w:p>
        </w:tc>
      </w:tr>
      <w:tr>
        <w:trPr>
          <w:trHeight w:val="144"/>
        </w:trPr>
        <w:tc>
          <w:tcPr>
            <w:tcW w:w="2220" w:type="dxa"/>
            <w:vAlign w:val="bottom"/>
          </w:tcPr>
          <w:p>
            <w:pPr>
              <w:spacing w:after="0"/>
              <w:rPr>
                <w:sz w:val="12"/>
                <w:szCs w:val="12"/>
                <w:color w:val="auto"/>
              </w:rPr>
            </w:pPr>
          </w:p>
        </w:tc>
        <w:tc>
          <w:tcPr>
            <w:tcW w:w="6360" w:type="dxa"/>
            <w:vAlign w:val="bottom"/>
          </w:tcPr>
          <w:p>
            <w:pPr>
              <w:jc w:val="center"/>
              <w:ind w:right="2016"/>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tc>
      </w:tr>
      <w:tr>
        <w:trPr>
          <w:trHeight w:val="159"/>
        </w:trPr>
        <w:tc>
          <w:tcPr>
            <w:tcW w:w="2220" w:type="dxa"/>
            <w:vAlign w:val="bottom"/>
          </w:tcPr>
          <w:p>
            <w:pPr>
              <w:spacing w:after="0"/>
              <w:rPr>
                <w:sz w:val="13"/>
                <w:szCs w:val="13"/>
                <w:color w:val="auto"/>
              </w:rPr>
            </w:pPr>
          </w:p>
        </w:tc>
        <w:tc>
          <w:tcPr>
            <w:tcW w:w="6360" w:type="dxa"/>
            <w:vAlign w:val="bottom"/>
          </w:tcPr>
          <w:p>
            <w:pPr>
              <w:jc w:val="center"/>
              <w:ind w:right="2016"/>
              <w:spacing w:after="0"/>
              <w:rPr>
                <w:sz w:val="20"/>
                <w:szCs w:val="20"/>
                <w:color w:val="auto"/>
              </w:rPr>
            </w:pPr>
            <w:r>
              <w:rPr>
                <w:rFonts w:ascii="Times New Roman" w:cs="Times New Roman" w:eastAsia="Times New Roman" w:hAnsi="Times New Roman"/>
                <w:sz w:val="12"/>
                <w:szCs w:val="12"/>
                <w:b w:val="1"/>
                <w:bCs w:val="1"/>
                <w:color w:val="auto"/>
                <w:w w:val="99"/>
              </w:rPr>
              <w:t>of the Securities Exchange Act of 1934</w:t>
            </w:r>
          </w:p>
        </w:tc>
      </w:tr>
      <w:tr>
        <w:trPr>
          <w:trHeight w:val="306"/>
        </w:trPr>
        <w:tc>
          <w:tcPr>
            <w:tcW w:w="2220" w:type="dxa"/>
            <w:vAlign w:val="bottom"/>
          </w:tcPr>
          <w:p>
            <w:pPr>
              <w:spacing w:after="0"/>
              <w:rPr>
                <w:sz w:val="24"/>
                <w:szCs w:val="24"/>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2"/>
                <w:szCs w:val="12"/>
                <w:b w:val="1"/>
                <w:bCs w:val="1"/>
                <w:color w:val="auto"/>
                <w:w w:val="99"/>
              </w:rPr>
              <w:t>Date of Report (date of earliest event reported): October 17, 2024</w:t>
            </w:r>
          </w:p>
        </w:tc>
      </w:tr>
      <w:tr>
        <w:trPr>
          <w:trHeight w:val="180"/>
        </w:trPr>
        <w:tc>
          <w:tcPr>
            <w:tcW w:w="2220" w:type="dxa"/>
            <w:vAlign w:val="bottom"/>
          </w:tcPr>
          <w:p>
            <w:pPr>
              <w:spacing w:after="0"/>
              <w:rPr>
                <w:sz w:val="15"/>
                <w:szCs w:val="15"/>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256"/>
        </w:trPr>
        <w:tc>
          <w:tcPr>
            <w:tcW w:w="2220" w:type="dxa"/>
            <w:vAlign w:val="bottom"/>
          </w:tcPr>
          <w:p>
            <w:pPr>
              <w:spacing w:after="0"/>
              <w:rPr>
                <w:sz w:val="22"/>
                <w:szCs w:val="22"/>
                <w:color w:val="auto"/>
              </w:rPr>
            </w:pPr>
          </w:p>
        </w:tc>
        <w:tc>
          <w:tcPr>
            <w:tcW w:w="6360" w:type="dxa"/>
            <w:vAlign w:val="bottom"/>
          </w:tcPr>
          <w:p>
            <w:pPr>
              <w:jc w:val="center"/>
              <w:ind w:right="2016"/>
              <w:spacing w:after="0"/>
              <w:rPr>
                <w:sz w:val="20"/>
                <w:szCs w:val="20"/>
                <w:color w:val="auto"/>
              </w:rPr>
            </w:pPr>
            <w:r>
              <w:rPr>
                <w:rFonts w:ascii="Times New Roman" w:cs="Times New Roman" w:eastAsia="Times New Roman" w:hAnsi="Times New Roman"/>
                <w:sz w:val="19"/>
                <w:szCs w:val="19"/>
                <w:b w:val="1"/>
                <w:bCs w:val="1"/>
                <w:color w:val="auto"/>
              </w:rPr>
              <w:t>M&amp;T BANK CORPORATION</w:t>
            </w:r>
          </w:p>
        </w:tc>
      </w:tr>
      <w:tr>
        <w:trPr>
          <w:trHeight w:val="185"/>
        </w:trPr>
        <w:tc>
          <w:tcPr>
            <w:tcW w:w="2220" w:type="dxa"/>
            <w:vAlign w:val="bottom"/>
          </w:tcPr>
          <w:p>
            <w:pPr>
              <w:spacing w:after="0"/>
              <w:rPr>
                <w:sz w:val="16"/>
                <w:szCs w:val="16"/>
                <w:color w:val="auto"/>
              </w:rPr>
            </w:pPr>
          </w:p>
        </w:tc>
        <w:tc>
          <w:tcPr>
            <w:tcW w:w="6360" w:type="dxa"/>
            <w:vAlign w:val="bottom"/>
          </w:tcPr>
          <w:p>
            <w:pPr>
              <w:jc w:val="center"/>
              <w:ind w:right="2016"/>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r>
      <w:tr>
        <w:trPr>
          <w:trHeight w:val="171"/>
        </w:trPr>
        <w:tc>
          <w:tcPr>
            <w:tcW w:w="2220" w:type="dxa"/>
            <w:vAlign w:val="bottom"/>
          </w:tcPr>
          <w:p>
            <w:pPr>
              <w:spacing w:after="0"/>
              <w:rPr>
                <w:sz w:val="14"/>
                <w:szCs w:val="14"/>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r>
        <w:trPr>
          <w:trHeight w:val="342"/>
        </w:trPr>
        <w:tc>
          <w:tcPr>
            <w:tcW w:w="2220" w:type="dxa"/>
            <w:vAlign w:val="bottom"/>
          </w:tcPr>
          <w:p>
            <w:pPr>
              <w:spacing w:after="0"/>
              <w:rPr>
                <w:sz w:val="24"/>
                <w:szCs w:val="24"/>
                <w:color w:val="auto"/>
              </w:rPr>
            </w:pPr>
          </w:p>
        </w:tc>
        <w:tc>
          <w:tcPr>
            <w:tcW w:w="6360" w:type="dxa"/>
            <w:vAlign w:val="bottom"/>
          </w:tcPr>
          <w:p>
            <w:pPr>
              <w:jc w:val="center"/>
              <w:ind w:right="2176"/>
              <w:spacing w:after="0"/>
              <w:rPr>
                <w:sz w:val="20"/>
                <w:szCs w:val="20"/>
                <w:color w:val="auto"/>
              </w:rPr>
            </w:pPr>
            <w:r>
              <w:rPr>
                <w:rFonts w:ascii="Times New Roman" w:cs="Times New Roman" w:eastAsia="Times New Roman" w:hAnsi="Times New Roman"/>
                <w:sz w:val="12"/>
                <w:szCs w:val="12"/>
                <w:b w:val="1"/>
                <w:bCs w:val="1"/>
                <w:color w:val="auto"/>
                <w:w w:val="99"/>
              </w:rPr>
              <w:t>New York</w:t>
            </w:r>
          </w:p>
        </w:tc>
      </w:tr>
      <w:tr>
        <w:trPr>
          <w:trHeight w:val="176"/>
        </w:trPr>
        <w:tc>
          <w:tcPr>
            <w:tcW w:w="2220" w:type="dxa"/>
            <w:vAlign w:val="bottom"/>
          </w:tcPr>
          <w:p>
            <w:pPr>
              <w:spacing w:after="0"/>
              <w:rPr>
                <w:sz w:val="15"/>
                <w:szCs w:val="15"/>
                <w:color w:val="auto"/>
              </w:rPr>
            </w:pPr>
          </w:p>
        </w:tc>
        <w:tc>
          <w:tcPr>
            <w:tcW w:w="6360" w:type="dxa"/>
            <w:vAlign w:val="bottom"/>
          </w:tcPr>
          <w:p>
            <w:pPr>
              <w:jc w:val="center"/>
              <w:ind w:right="2156"/>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 incorporation)</w:t>
            </w:r>
          </w:p>
        </w:tc>
      </w:tr>
      <w:tr>
        <w:trPr>
          <w:trHeight w:val="173"/>
        </w:trPr>
        <w:tc>
          <w:tcPr>
            <w:tcW w:w="2220" w:type="dxa"/>
            <w:vAlign w:val="bottom"/>
          </w:tcPr>
          <w:p>
            <w:pPr>
              <w:jc w:val="center"/>
              <w:ind w:right="303"/>
              <w:spacing w:after="0"/>
              <w:rPr>
                <w:sz w:val="20"/>
                <w:szCs w:val="20"/>
                <w:color w:val="auto"/>
              </w:rPr>
            </w:pPr>
            <w:r>
              <w:rPr>
                <w:rFonts w:ascii="Times New Roman" w:cs="Times New Roman" w:eastAsia="Times New Roman" w:hAnsi="Times New Roman"/>
                <w:sz w:val="12"/>
                <w:szCs w:val="12"/>
                <w:b w:val="1"/>
                <w:bCs w:val="1"/>
                <w:color w:val="auto"/>
                <w:w w:val="99"/>
              </w:rPr>
              <w:t>1-9861</w:t>
            </w:r>
          </w:p>
        </w:tc>
        <w:tc>
          <w:tcPr>
            <w:tcW w:w="6360" w:type="dxa"/>
            <w:vAlign w:val="bottom"/>
          </w:tcPr>
          <w:p>
            <w:pPr>
              <w:jc w:val="right"/>
              <w:ind w:right="596"/>
              <w:spacing w:after="0"/>
              <w:rPr>
                <w:sz w:val="20"/>
                <w:szCs w:val="20"/>
                <w:color w:val="auto"/>
              </w:rPr>
            </w:pPr>
            <w:r>
              <w:rPr>
                <w:rFonts w:ascii="Times New Roman" w:cs="Times New Roman" w:eastAsia="Times New Roman" w:hAnsi="Times New Roman"/>
                <w:sz w:val="12"/>
                <w:szCs w:val="12"/>
                <w:b w:val="1"/>
                <w:bCs w:val="1"/>
                <w:color w:val="auto"/>
              </w:rPr>
              <w:t>16-0968385</w:t>
            </w:r>
          </w:p>
        </w:tc>
      </w:tr>
      <w:tr>
        <w:trPr>
          <w:trHeight w:val="142"/>
        </w:trPr>
        <w:tc>
          <w:tcPr>
            <w:tcW w:w="2220" w:type="dxa"/>
            <w:vAlign w:val="bottom"/>
          </w:tcPr>
          <w:p>
            <w:pPr>
              <w:jc w:val="center"/>
              <w:ind w:right="283"/>
              <w:spacing w:after="0"/>
              <w:rPr>
                <w:sz w:val="20"/>
                <w:szCs w:val="20"/>
                <w:color w:val="auto"/>
              </w:rPr>
            </w:pPr>
            <w:r>
              <w:rPr>
                <w:rFonts w:ascii="Times New Roman" w:cs="Times New Roman" w:eastAsia="Times New Roman" w:hAnsi="Times New Roman"/>
                <w:sz w:val="11"/>
                <w:szCs w:val="11"/>
                <w:b w:val="1"/>
                <w:bCs w:val="1"/>
                <w:color w:val="auto"/>
                <w:w w:val="97"/>
              </w:rPr>
              <w:t>(Commission File Number)</w:t>
            </w:r>
          </w:p>
        </w:tc>
        <w:tc>
          <w:tcPr>
            <w:tcW w:w="6360" w:type="dxa"/>
            <w:vAlign w:val="bottom"/>
          </w:tcPr>
          <w:p>
            <w:pPr>
              <w:jc w:val="center"/>
              <w:ind w:left="4416"/>
              <w:spacing w:after="0"/>
              <w:rPr>
                <w:sz w:val="20"/>
                <w:szCs w:val="20"/>
                <w:color w:val="auto"/>
              </w:rPr>
            </w:pPr>
            <w:r>
              <w:rPr>
                <w:rFonts w:ascii="Times New Roman" w:cs="Times New Roman" w:eastAsia="Times New Roman" w:hAnsi="Times New Roman"/>
                <w:sz w:val="11"/>
                <w:szCs w:val="11"/>
                <w:b w:val="1"/>
                <w:bCs w:val="1"/>
                <w:color w:val="auto"/>
                <w:w w:val="98"/>
              </w:rPr>
              <w:t>(I.R.S. Employer Identification Number)</w:t>
            </w:r>
          </w:p>
        </w:tc>
      </w:tr>
      <w:tr>
        <w:trPr>
          <w:trHeight w:val="363"/>
        </w:trPr>
        <w:tc>
          <w:tcPr>
            <w:tcW w:w="2220" w:type="dxa"/>
            <w:vAlign w:val="bottom"/>
          </w:tcPr>
          <w:p>
            <w:pPr>
              <w:jc w:val="center"/>
              <w:ind w:right="283"/>
              <w:spacing w:after="0"/>
              <w:rPr>
                <w:sz w:val="20"/>
                <w:szCs w:val="20"/>
                <w:color w:val="auto"/>
              </w:rPr>
            </w:pPr>
            <w:r>
              <w:rPr>
                <w:rFonts w:ascii="Times New Roman" w:cs="Times New Roman" w:eastAsia="Times New Roman" w:hAnsi="Times New Roman"/>
                <w:sz w:val="12"/>
                <w:szCs w:val="12"/>
                <w:b w:val="1"/>
                <w:bCs w:val="1"/>
                <w:color w:val="auto"/>
              </w:rPr>
              <w:t>One M&amp;T Plaza</w:t>
            </w:r>
            <w:r>
              <w:rPr>
                <w:rFonts w:ascii="Arial" w:cs="Arial" w:eastAsia="Arial" w:hAnsi="Arial"/>
                <w:sz w:val="12"/>
                <w:szCs w:val="12"/>
                <w:b w:val="1"/>
                <w:bCs w:val="1"/>
                <w:color w:val="3051F2"/>
              </w:rPr>
              <w:t>,</w:t>
            </w:r>
            <w:r>
              <w:rPr>
                <w:rFonts w:ascii="Times New Roman" w:cs="Times New Roman" w:eastAsia="Times New Roman" w:hAnsi="Times New Roman"/>
                <w:sz w:val="12"/>
                <w:szCs w:val="12"/>
                <w:b w:val="1"/>
                <w:bCs w:val="1"/>
                <w:color w:val="auto"/>
              </w:rPr>
              <w:t xml:space="preserve"> Buffalo, New York</w:t>
            </w:r>
          </w:p>
        </w:tc>
        <w:tc>
          <w:tcPr>
            <w:tcW w:w="6360" w:type="dxa"/>
            <w:vAlign w:val="bottom"/>
          </w:tcPr>
          <w:p>
            <w:pPr>
              <w:jc w:val="right"/>
              <w:ind w:right="736"/>
              <w:spacing w:after="0"/>
              <w:rPr>
                <w:sz w:val="20"/>
                <w:szCs w:val="20"/>
                <w:color w:val="auto"/>
              </w:rPr>
            </w:pPr>
            <w:r>
              <w:rPr>
                <w:rFonts w:ascii="Times New Roman" w:cs="Times New Roman" w:eastAsia="Times New Roman" w:hAnsi="Times New Roman"/>
                <w:sz w:val="12"/>
                <w:szCs w:val="12"/>
                <w:b w:val="1"/>
                <w:bCs w:val="1"/>
                <w:color w:val="auto"/>
              </w:rPr>
              <w:t>14203</w:t>
            </w:r>
          </w:p>
        </w:tc>
      </w:tr>
      <w:tr>
        <w:trPr>
          <w:trHeight w:val="159"/>
        </w:trPr>
        <w:tc>
          <w:tcPr>
            <w:tcW w:w="2220" w:type="dxa"/>
            <w:vAlign w:val="bottom"/>
          </w:tcPr>
          <w:p>
            <w:pPr>
              <w:jc w:val="center"/>
              <w:ind w:right="283"/>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6360" w:type="dxa"/>
            <w:vAlign w:val="bottom"/>
          </w:tcPr>
          <w:p>
            <w:pPr>
              <w:jc w:val="center"/>
              <w:ind w:left="439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355"/>
        </w:trPr>
        <w:tc>
          <w:tcPr>
            <w:tcW w:w="2220" w:type="dxa"/>
            <w:vAlign w:val="bottom"/>
          </w:tcPr>
          <w:p>
            <w:pPr>
              <w:spacing w:after="0"/>
              <w:rPr>
                <w:sz w:val="24"/>
                <w:szCs w:val="24"/>
                <w:color w:val="auto"/>
              </w:rPr>
            </w:pPr>
          </w:p>
        </w:tc>
        <w:tc>
          <w:tcPr>
            <w:tcW w:w="6360" w:type="dxa"/>
            <w:vAlign w:val="bottom"/>
          </w:tcPr>
          <w:p>
            <w:pPr>
              <w:jc w:val="center"/>
              <w:ind w:right="2156"/>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(716) 635-4000</w:t>
            </w:r>
          </w:p>
        </w:tc>
      </w:tr>
      <w:tr>
        <w:trPr>
          <w:trHeight w:val="297"/>
        </w:trPr>
        <w:tc>
          <w:tcPr>
            <w:tcW w:w="2220" w:type="dxa"/>
            <w:vAlign w:val="bottom"/>
          </w:tcPr>
          <w:p>
            <w:pPr>
              <w:spacing w:after="0"/>
              <w:rPr>
                <w:sz w:val="24"/>
                <w:szCs w:val="24"/>
                <w:color w:val="auto"/>
              </w:rPr>
            </w:pPr>
          </w:p>
        </w:tc>
        <w:tc>
          <w:tcPr>
            <w:tcW w:w="6360" w:type="dxa"/>
            <w:vAlign w:val="bottom"/>
          </w:tcPr>
          <w:p>
            <w:pPr>
              <w:jc w:val="center"/>
              <w:ind w:right="1996"/>
              <w:spacing w:after="0"/>
              <w:rPr>
                <w:sz w:val="20"/>
                <w:szCs w:val="20"/>
                <w:color w:val="auto"/>
              </w:rPr>
            </w:pPr>
            <w:r>
              <w:rPr>
                <w:rFonts w:ascii="Times New Roman" w:cs="Times New Roman" w:eastAsia="Times New Roman" w:hAnsi="Times New Roman"/>
                <w:sz w:val="12"/>
                <w:szCs w:val="12"/>
                <w:b w:val="1"/>
                <w:bCs w:val="1"/>
                <w:color w:val="auto"/>
                <w:w w:val="99"/>
              </w:rPr>
              <w:t>___________________________________</w:t>
            </w:r>
          </w:p>
        </w:tc>
      </w:tr>
    </w:tbl>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 (see General Instructions A.2. below):</w:t>
      </w:r>
    </w:p>
    <w:p>
      <w:pPr>
        <w:spacing w:after="0" w:line="126" w:lineRule="exact"/>
        <w:rPr>
          <w:sz w:val="24"/>
          <w:szCs w:val="24"/>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42" w:lineRule="exact"/>
        <w:rPr>
          <w:rFonts w:ascii="MS PGothic" w:cs="MS PGothic" w:eastAsia="MS PGothic" w:hAnsi="MS PGothic"/>
          <w:sz w:val="12"/>
          <w:szCs w:val="12"/>
          <w:color w:val="auto"/>
        </w:rPr>
      </w:pPr>
    </w:p>
    <w:p>
      <w:pPr>
        <w:ind w:left="680" w:hanging="405"/>
        <w:spacing w:after="0"/>
        <w:tabs>
          <w:tab w:leader="none" w:pos="68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ectPr>
          <w:pgSz w:w="11900" w:h="16838" w:orient="portrait"/>
          <w:cols w:equalWidth="0" w:num="1">
            <w:col w:w="11280"/>
          </w:cols>
          <w:pgMar w:left="300" w:top="877" w:right="319" w:bottom="1440" w:gutter="0" w:footer="0" w:header="0"/>
        </w:sectPr>
      </w:pPr>
    </w:p>
    <w:p>
      <w:pPr>
        <w:spacing w:after="0" w:line="351"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0"/>
          <w:szCs w:val="10"/>
          <w:b w:val="1"/>
          <w:bCs w:val="1"/>
          <w:u w:val="single" w:color="auto"/>
          <w:color w:val="auto"/>
        </w:rPr>
        <w:t>Title of Each Class</w:t>
      </w:r>
    </w:p>
    <w:p>
      <w:pPr>
        <w:spacing w:after="0" w:line="4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0"/>
          <w:szCs w:val="10"/>
          <w:color w:val="auto"/>
        </w:rPr>
        <w:t>Common Stock, $.50 par value</w:t>
      </w:r>
    </w:p>
    <w:p>
      <w:pPr>
        <w:spacing w:after="0" w:line="38"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0"/>
          <w:szCs w:val="10"/>
          <w:color w:val="auto"/>
        </w:rPr>
        <w:t>Perpetual Fixed-to-Floating Rate</w:t>
      </w:r>
    </w:p>
    <w:p>
      <w:pPr>
        <w:spacing w:after="0" w:line="8"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8"/>
          <w:szCs w:val="8"/>
          <w:color w:val="auto"/>
        </w:rPr>
        <w:t>Non-Cumulative Preferred Stock, Series H</w:t>
      </w:r>
    </w:p>
    <w:p>
      <w:pPr>
        <w:spacing w:after="0" w:line="6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0"/>
          <w:szCs w:val="10"/>
          <w:color w:val="auto"/>
        </w:rPr>
        <w:t>Perpetual 7.500% Non-Cumulative</w:t>
      </w:r>
    </w:p>
    <w:p>
      <w:pPr>
        <w:spacing w:after="0" w:line="8"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0"/>
          <w:szCs w:val="10"/>
          <w:color w:val="auto"/>
        </w:rPr>
        <w:t>Preferred Stock, Series J</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36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tc>
        <w:tc>
          <w:tcPr>
            <w:tcW w:w="1880" w:type="dxa"/>
            <w:vAlign w:val="bottom"/>
          </w:tcPr>
          <w:p>
            <w:pPr>
              <w:spacing w:after="0"/>
              <w:rPr>
                <w:sz w:val="10"/>
                <w:szCs w:val="10"/>
                <w:color w:val="auto"/>
              </w:rPr>
            </w:pPr>
          </w:p>
        </w:tc>
      </w:tr>
      <w:tr>
        <w:trPr>
          <w:trHeight w:val="134"/>
        </w:trPr>
        <w:tc>
          <w:tcPr>
            <w:tcW w:w="660" w:type="dxa"/>
            <w:vAlign w:val="bottom"/>
          </w:tcPr>
          <w:p>
            <w:pPr>
              <w:spacing w:after="0"/>
              <w:rPr>
                <w:sz w:val="11"/>
                <w:szCs w:val="11"/>
                <w:color w:val="auto"/>
              </w:rPr>
            </w:pPr>
          </w:p>
        </w:tc>
        <w:tc>
          <w:tcPr>
            <w:tcW w:w="2940" w:type="dxa"/>
            <w:vAlign w:val="bottom"/>
            <w:gridSpan w:val="2"/>
          </w:tcPr>
          <w:p>
            <w:pPr>
              <w:jc w:val="center"/>
              <w:ind w:right="2240"/>
              <w:spacing w:after="0"/>
              <w:rPr>
                <w:sz w:val="20"/>
                <w:szCs w:val="20"/>
                <w:color w:val="auto"/>
              </w:rPr>
            </w:pPr>
            <w:r>
              <w:rPr>
                <w:rFonts w:ascii="Times New Roman" w:cs="Times New Roman" w:eastAsia="Times New Roman" w:hAnsi="Times New Roman"/>
                <w:sz w:val="10"/>
                <w:szCs w:val="10"/>
                <w:b w:val="1"/>
                <w:bCs w:val="1"/>
                <w:color w:val="auto"/>
                <w:w w:val="95"/>
              </w:rPr>
              <w:t>Trading Symbols</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61"/>
        </w:trPr>
        <w:tc>
          <w:tcPr>
            <w:tcW w:w="660" w:type="dxa"/>
            <w:vAlign w:val="bottom"/>
          </w:tcPr>
          <w:p>
            <w:pPr>
              <w:spacing w:after="0"/>
              <w:rPr>
                <w:sz w:val="14"/>
                <w:szCs w:val="14"/>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MTB</w:t>
            </w:r>
          </w:p>
        </w:tc>
        <w:tc>
          <w:tcPr>
            <w:tcW w:w="2240" w:type="dxa"/>
            <w:vAlign w:val="bottom"/>
          </w:tcPr>
          <w:p>
            <w:pPr>
              <w:spacing w:after="0"/>
              <w:rPr>
                <w:sz w:val="14"/>
                <w:szCs w:val="14"/>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New York Stock Exchange</w:t>
            </w:r>
          </w:p>
        </w:tc>
      </w:tr>
      <w:tr>
        <w:trPr>
          <w:trHeight w:val="279"/>
        </w:trPr>
        <w:tc>
          <w:tcPr>
            <w:tcW w:w="660" w:type="dxa"/>
            <w:vAlign w:val="bottom"/>
          </w:tcPr>
          <w:p>
            <w:pPr>
              <w:spacing w:after="0"/>
              <w:rPr>
                <w:sz w:val="24"/>
                <w:szCs w:val="24"/>
                <w:color w:val="auto"/>
              </w:rPr>
            </w:pPr>
          </w:p>
        </w:tc>
        <w:tc>
          <w:tcPr>
            <w:tcW w:w="2940" w:type="dxa"/>
            <w:vAlign w:val="bottom"/>
            <w:gridSpan w:val="2"/>
          </w:tcPr>
          <w:p>
            <w:pPr>
              <w:jc w:val="center"/>
              <w:ind w:right="2240"/>
              <w:spacing w:after="0"/>
              <w:rPr>
                <w:sz w:val="20"/>
                <w:szCs w:val="20"/>
                <w:color w:val="auto"/>
              </w:rPr>
            </w:pPr>
            <w:r>
              <w:rPr>
                <w:rFonts w:ascii="Times New Roman" w:cs="Times New Roman" w:eastAsia="Times New Roman" w:hAnsi="Times New Roman"/>
                <w:sz w:val="10"/>
                <w:szCs w:val="10"/>
                <w:color w:val="auto"/>
              </w:rPr>
              <w:t>MTBPrH</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New York Stock Exchange</w:t>
            </w:r>
          </w:p>
        </w:tc>
      </w:tr>
      <w:tr>
        <w:trPr>
          <w:trHeight w:val="279"/>
        </w:trPr>
        <w:tc>
          <w:tcPr>
            <w:tcW w:w="660" w:type="dxa"/>
            <w:vAlign w:val="bottom"/>
          </w:tcPr>
          <w:p>
            <w:pPr>
              <w:spacing w:after="0"/>
              <w:rPr>
                <w:sz w:val="24"/>
                <w:szCs w:val="24"/>
                <w:color w:val="auto"/>
              </w:rPr>
            </w:pPr>
          </w:p>
        </w:tc>
        <w:tc>
          <w:tcPr>
            <w:tcW w:w="2940" w:type="dxa"/>
            <w:vAlign w:val="bottom"/>
            <w:gridSpan w:val="2"/>
          </w:tcPr>
          <w:p>
            <w:pPr>
              <w:jc w:val="center"/>
              <w:ind w:right="2240"/>
              <w:spacing w:after="0"/>
              <w:rPr>
                <w:sz w:val="20"/>
                <w:szCs w:val="20"/>
                <w:color w:val="auto"/>
              </w:rPr>
            </w:pPr>
            <w:r>
              <w:rPr>
                <w:rFonts w:ascii="Times New Roman" w:cs="Times New Roman" w:eastAsia="Times New Roman" w:hAnsi="Times New Roman"/>
                <w:sz w:val="10"/>
                <w:szCs w:val="10"/>
                <w:color w:val="auto"/>
                <w:w w:val="98"/>
              </w:rPr>
              <w:t>MTBPrJ</w:t>
            </w:r>
          </w:p>
        </w:tc>
        <w:tc>
          <w:tcPr>
            <w:tcW w:w="1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New York Stock Exchange</w:t>
            </w:r>
          </w:p>
        </w:tc>
      </w:tr>
    </w:tbl>
    <w:p>
      <w:pPr>
        <w:spacing w:after="0" w:line="132" w:lineRule="exact"/>
        <w:rPr>
          <w:sz w:val="24"/>
          <w:szCs w:val="24"/>
          <w:color w:val="auto"/>
        </w:rPr>
      </w:pPr>
    </w:p>
    <w:p>
      <w:pPr>
        <w:sectPr>
          <w:pgSz w:w="11900" w:h="16838" w:orient="portrait"/>
          <w:cols w:equalWidth="0" w:num="2">
            <w:col w:w="3760" w:space="720"/>
            <w:col w:w="6800"/>
          </w:cols>
          <w:pgMar w:left="300" w:top="877" w:right="319" w:bottom="1440" w:gutter="0" w:footer="0" w:header="0"/>
          <w:type w:val="continuous"/>
        </w:sect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 w:lineRule="exact"/>
        <w:rPr>
          <w:sz w:val="24"/>
          <w:szCs w:val="24"/>
          <w:color w:val="auto"/>
        </w:rPr>
      </w:pPr>
    </w:p>
    <w:p>
      <w:pPr>
        <w:spacing w:after="0" w:line="138" w:lineRule="exact"/>
        <w:tabs>
          <w:tab w:leader="none" w:pos="140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97"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77"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2.02. Results of Operations and Financial Condition</w:t>
      </w:r>
    </w:p>
    <w:p>
      <w:pPr>
        <w:spacing w:after="0" w:line="21"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2"/>
          <w:szCs w:val="12"/>
          <w:color w:val="auto"/>
        </w:rPr>
        <w:t>On October 17, 2024, M&amp;T Bank Corporation (“M&amp;T”) announced its results of operations for the quarter ended September 30, 2024. The public announcement was made by means of a news release, the text of which is set forth in Exhibit 99.1 hereto.</w:t>
      </w:r>
    </w:p>
    <w:p>
      <w:pPr>
        <w:spacing w:after="0" w:line="1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2"/>
          <w:szCs w:val="12"/>
          <w:color w:val="auto"/>
        </w:rPr>
        <w:t>The information in Item 2.02 of this Form 8-K, including Exhibit 99.1 attached hereto, is being furnished and shall not be deemed to be “filed” for purposes of Section 18 of the Securities Exchange Act of 1934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October 17, 2024, M&amp;T posted an investor presentation to its website. A copy of the presentation is attached as Exhibit 99.2 hereto. From time to time, M&amp;T may use this presentation in conversations with investors and analysts.</w:t>
      </w:r>
    </w:p>
    <w:p>
      <w:pPr>
        <w:spacing w:after="0"/>
        <w:rPr>
          <w:sz w:val="20"/>
          <w:szCs w:val="20"/>
          <w:color w:val="auto"/>
        </w:rPr>
      </w:pPr>
      <w:r>
        <w:rPr>
          <w:rFonts w:ascii="Times New Roman" w:cs="Times New Roman" w:eastAsia="Times New Roman" w:hAnsi="Times New Roman"/>
          <w:sz w:val="12"/>
          <w:szCs w:val="12"/>
          <w:color w:val="auto"/>
        </w:rPr>
        <w:t xml:space="preserve">The presentation can be found on the Investor Relations page of M&amp;T’s website at </w:t>
      </w:r>
      <w:r>
        <w:rPr>
          <w:rFonts w:ascii="Times New Roman" w:cs="Times New Roman" w:eastAsia="Times New Roman" w:hAnsi="Times New Roman"/>
          <w:sz w:val="12"/>
          <w:szCs w:val="12"/>
          <w:u w:val="single" w:color="auto"/>
          <w:color w:val="auto"/>
        </w:rPr>
        <w:t>ir.mtb.com/events-presentations</w:t>
      </w:r>
      <w:r>
        <w:rPr>
          <w:rFonts w:ascii="Times New Roman" w:cs="Times New Roman" w:eastAsia="Times New Roman" w:hAnsi="Times New Roman"/>
          <w:sz w:val="12"/>
          <w:szCs w:val="12"/>
          <w:color w:val="auto"/>
        </w:rPr>
        <w:t>.</w:t>
      </w:r>
    </w:p>
    <w:p>
      <w:pPr>
        <w:spacing w:after="0" w:line="15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 99.2 attached hereto, is being furnished and shall not be deemed to be “filed” for purposes of Section 18 of the Exchange Act, or otherwise subject to the liability of such section, nor shall it be deemed incorporated by reference in any filing of M&amp;T under the Securities Act of 1933 or the Exchange Act, regardless of any general incorporation language in such filing, unless expressly incorporated by specific reference in such filing.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 Financial Statements and Exhibits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The following exhibits are being filed herewith:</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3"/>
              </w:rPr>
              <w:t>Exhibit No.</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Exhibit Description</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940" w:type="dxa"/>
            <w:vAlign w:val="bottom"/>
          </w:tcPr>
          <w:p>
            <w:pPr>
              <w:spacing w:after="0"/>
              <w:rPr>
                <w:sz w:val="13"/>
                <w:szCs w:val="13"/>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News Release dated October 17, 2024</w:t>
            </w:r>
          </w:p>
        </w:tc>
      </w:tr>
      <w:tr>
        <w:trPr>
          <w:trHeight w:val="20"/>
        </w:trPr>
        <w:tc>
          <w:tcPr>
            <w:tcW w:w="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69"/>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99.2</w:t>
            </w:r>
          </w:p>
        </w:tc>
        <w:tc>
          <w:tcPr>
            <w:tcW w:w="940" w:type="dxa"/>
            <w:vAlign w:val="bottom"/>
          </w:tcPr>
          <w:p>
            <w:pPr>
              <w:spacing w:after="0"/>
              <w:rPr>
                <w:sz w:val="14"/>
                <w:szCs w:val="14"/>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2"/>
                <w:szCs w:val="12"/>
                <w:color w:val="0000FF"/>
              </w:rPr>
              <w:t>M&amp;T Bank Corporation presentation dated October 17, 2024</w:t>
            </w:r>
          </w:p>
        </w:tc>
      </w:tr>
      <w:tr>
        <w:trPr>
          <w:trHeight w:val="20"/>
        </w:trPr>
        <w:tc>
          <w:tcPr>
            <w:tcW w:w="5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40" w:type="dxa"/>
            <w:vAlign w:val="bottom"/>
            <w:gridSpan w:val="4"/>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196"/>
        </w:trPr>
        <w:tc>
          <w:tcPr>
            <w:tcW w:w="5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104</w:t>
            </w:r>
          </w:p>
        </w:tc>
        <w:tc>
          <w:tcPr>
            <w:tcW w:w="940" w:type="dxa"/>
            <w:vAlign w:val="bottom"/>
          </w:tcPr>
          <w:p>
            <w:pPr>
              <w:spacing w:after="0"/>
              <w:rPr>
                <w:sz w:val="17"/>
                <w:szCs w:val="17"/>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873"/>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15"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3"/>
          <w:szCs w:val="13"/>
          <w:b w:val="1"/>
          <w:bCs w:val="1"/>
          <w:color w:val="auto"/>
        </w:rPr>
        <w:t>M&amp;T BANK CORPORATION</w:t>
      </w:r>
    </w:p>
    <w:p>
      <w:pPr>
        <w:spacing w:after="0" w:line="216" w:lineRule="exact"/>
        <w:rPr>
          <w:sz w:val="20"/>
          <w:szCs w:val="20"/>
          <w:color w:val="auto"/>
        </w:rPr>
      </w:pPr>
    </w:p>
    <w:p>
      <w:pPr>
        <w:ind w:left="240"/>
        <w:spacing w:after="0"/>
        <w:tabs>
          <w:tab w:leader="none" w:pos="1020" w:val="left"/>
          <w:tab w:leader="none" w:pos="7320" w:val="left"/>
          <w:tab w:leader="none" w:pos="812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October 17, 2024</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Daryl N. Bible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27940</wp:posOffset>
            </wp:positionV>
            <wp:extent cx="20231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5715"/>
                    </a:xfrm>
                    <a:prstGeom prst="rect">
                      <a:avLst/>
                    </a:prstGeom>
                    <a:noFill/>
                  </pic:spPr>
                </pic:pic>
              </a:graphicData>
            </a:graphic>
          </wp:anchor>
        </w:drawing>
      </w:r>
    </w:p>
    <w:p>
      <w:pPr>
        <w:spacing w:after="0" w:line="4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2"/>
          <w:szCs w:val="12"/>
          <w:color w:val="auto"/>
        </w:rPr>
        <w:t>Daryl N. Bible</w:t>
      </w:r>
    </w:p>
    <w:p>
      <w:pPr>
        <w:spacing w:after="0" w:line="51" w:lineRule="exact"/>
        <w:rPr>
          <w:sz w:val="20"/>
          <w:szCs w:val="20"/>
          <w:color w:val="auto"/>
        </w:rPr>
      </w:pPr>
    </w:p>
    <w:p>
      <w:pPr>
        <w:jc w:val="right"/>
        <w:ind w:right="479"/>
        <w:spacing w:after="0"/>
        <w:rPr>
          <w:sz w:val="20"/>
          <w:szCs w:val="20"/>
          <w:color w:val="auto"/>
        </w:rPr>
      </w:pPr>
      <w:r>
        <w:rPr>
          <w:rFonts w:ascii="Times New Roman" w:cs="Times New Roman" w:eastAsia="Times New Roman" w:hAnsi="Times New Roman"/>
          <w:sz w:val="12"/>
          <w:szCs w:val="12"/>
          <w:color w:val="auto"/>
        </w:rPr>
        <w:t>Senior Executive Vice President</w:t>
      </w:r>
    </w:p>
    <w:p>
      <w:pPr>
        <w:spacing w:after="0" w:line="1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2"/>
          <w:szCs w:val="12"/>
          <w:color w:val="auto"/>
        </w:rPr>
        <w:t>and Chief Financial Officer</w:t>
      </w:r>
    </w:p>
    <w:p>
      <w:pPr>
        <w:sectPr>
          <w:pgSz w:w="11900" w:h="16838" w:orient="portrait"/>
          <w:cols w:equalWidth="0" w:num="1">
            <w:col w:w="10159"/>
          </w:cols>
          <w:pgMar w:left="300" w:top="77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202565</wp:posOffset>
            </wp:positionV>
            <wp:extent cx="7178040" cy="542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4292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128"/>
        <w:spacing w:after="0"/>
        <w:rPr>
          <w:sz w:val="20"/>
          <w:szCs w:val="20"/>
          <w:color w:val="auto"/>
        </w:rPr>
      </w:pPr>
      <w:r>
        <w:rPr>
          <w:rFonts w:ascii="Times New Roman" w:cs="Times New Roman" w:eastAsia="Times New Roman" w:hAnsi="Times New Roman"/>
          <w:sz w:val="19"/>
          <w:szCs w:val="19"/>
          <w:color w:val="FFFFFF"/>
        </w:rPr>
        <w:t>News Release</w:t>
      </w:r>
    </w:p>
    <w:p>
      <w:pPr>
        <w:spacing w:after="0" w:line="172" w:lineRule="exact"/>
        <w:rPr>
          <w:sz w:val="20"/>
          <w:szCs w:val="20"/>
          <w:color w:val="auto"/>
        </w:rPr>
      </w:pPr>
    </w:p>
    <w:tbl>
      <w:tblPr>
        <w:tblLayout w:type="fixed"/>
        <w:tblInd w:w="48" w:type="dxa"/>
        <w:tblCellMar>
          <w:top w:w="0" w:type="dxa"/>
          <w:left w:w="0" w:type="dxa"/>
          <w:bottom w:w="0" w:type="dxa"/>
          <w:right w:w="0" w:type="dxa"/>
        </w:tblCellMar>
      </w:tblP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4"/>
                <w:szCs w:val="14"/>
                <w:color w:val="FFFFFF"/>
              </w:rPr>
              <w:t>One M&amp;T Plaza, Buffalo, NY 14203</w:t>
            </w:r>
          </w:p>
        </w:tc>
        <w:tc>
          <w:tcPr>
            <w:tcW w:w="5020" w:type="dxa"/>
            <w:vAlign w:val="bottom"/>
          </w:tcPr>
          <w:p>
            <w:pPr>
              <w:ind w:left="4000"/>
              <w:spacing w:after="0"/>
              <w:rPr>
                <w:sz w:val="20"/>
                <w:szCs w:val="20"/>
                <w:color w:val="auto"/>
              </w:rPr>
            </w:pPr>
            <w:r>
              <w:rPr>
                <w:rFonts w:ascii="Times New Roman" w:cs="Times New Roman" w:eastAsia="Times New Roman" w:hAnsi="Times New Roman"/>
                <w:sz w:val="14"/>
                <w:szCs w:val="14"/>
                <w:color w:val="FFFFFF"/>
              </w:rPr>
              <w:t>October 17, 2024</w:t>
            </w:r>
          </w:p>
        </w:tc>
      </w:tr>
    </w:tbl>
    <w:p>
      <w:pPr>
        <w:spacing w:after="0" w:line="71" w:lineRule="exact"/>
        <w:rPr>
          <w:sz w:val="20"/>
          <w:szCs w:val="20"/>
          <w:color w:val="auto"/>
        </w:rPr>
      </w:pPr>
    </w:p>
    <w:p>
      <w:pPr>
        <w:ind w:left="3008"/>
        <w:spacing w:after="0"/>
        <w:rPr>
          <w:sz w:val="20"/>
          <w:szCs w:val="20"/>
          <w:color w:val="auto"/>
        </w:rPr>
      </w:pPr>
      <w:r>
        <w:rPr>
          <w:rFonts w:ascii="Times New Roman" w:cs="Times New Roman" w:eastAsia="Times New Roman" w:hAnsi="Times New Roman"/>
          <w:sz w:val="16"/>
          <w:szCs w:val="16"/>
          <w:b w:val="1"/>
          <w:bCs w:val="1"/>
          <w:color w:val="auto"/>
        </w:rPr>
        <w:t>M&amp;T Bank Corporation (NYSE:MTB) announces third quarter 2024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18375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755" cy="137160"/>
                    </a:xfrm>
                    <a:prstGeom prst="rect">
                      <a:avLst/>
                    </a:prstGeom>
                    <a:noFill/>
                  </pic:spPr>
                </pic:pic>
              </a:graphicData>
            </a:graphic>
          </wp:anchor>
        </w:drawing>
      </w:r>
    </w:p>
    <w:p>
      <w:pPr>
        <w:spacing w:after="0" w:line="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M&amp;T Bank Corporation ("M&amp;T" or "the Company") reports quarterly net income of $721 million or $4.02 of diluted earnings per common share.</w:t>
      </w:r>
    </w:p>
    <w:p>
      <w:pPr>
        <w:spacing w:after="0" w:line="183"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(Dollars in millions, except per share data)</w:t>
            </w:r>
          </w:p>
        </w:tc>
        <w:tc>
          <w:tcPr>
            <w:tcW w:w="2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3Q24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2Q24</w:t>
            </w: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3Q23</w:t>
            </w:r>
          </w:p>
        </w:tc>
      </w:tr>
      <w:tr>
        <w:trPr>
          <w:trHeight w:val="178"/>
        </w:trPr>
        <w:tc>
          <w:tcPr>
            <w:tcW w:w="7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004B36"/>
              </w:rPr>
              <w:t>Earnings Highlights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4"/>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interest income</w:t>
            </w: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1,726</w:t>
            </w:r>
          </w:p>
        </w:tc>
        <w:tc>
          <w:tcPr>
            <w:tcW w:w="220" w:type="dxa"/>
            <w:vAlign w:val="bottom"/>
            <w:shd w:val="clear" w:color="auto" w:fill="E5F1EE"/>
          </w:tcPr>
          <w:p>
            <w:pPr>
              <w:spacing w:after="0"/>
              <w:rPr>
                <w:sz w:val="10"/>
                <w:szCs w:val="10"/>
                <w:color w:val="auto"/>
              </w:rPr>
            </w:pPr>
          </w:p>
        </w:tc>
        <w:tc>
          <w:tcPr>
            <w:tcW w:w="680" w:type="dxa"/>
            <w:vAlign w:val="bottom"/>
            <w:shd w:val="clear" w:color="auto" w:fill="E5F1EE"/>
          </w:tcPr>
          <w:p>
            <w:pPr>
              <w:jc w:val="right"/>
              <w:ind w:right="5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1,718</w:t>
            </w:r>
          </w:p>
        </w:tc>
        <w:tc>
          <w:tcPr>
            <w:tcW w:w="220" w:type="dxa"/>
            <w:vAlign w:val="bottom"/>
            <w:shd w:val="clear" w:color="auto" w:fill="E5F1EE"/>
          </w:tcPr>
          <w:p>
            <w:pPr>
              <w:spacing w:after="0"/>
              <w:rPr>
                <w:sz w:val="10"/>
                <w:szCs w:val="10"/>
                <w:color w:val="auto"/>
              </w:rPr>
            </w:pPr>
          </w:p>
        </w:tc>
        <w:tc>
          <w:tcPr>
            <w:tcW w:w="260" w:type="dxa"/>
            <w:vAlign w:val="bottom"/>
            <w:shd w:val="clear" w:color="auto" w:fill="E5F1EE"/>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1,775</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Taxable-equivalent adjustment</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interest income - taxable-equivalent</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1,739</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1,731</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1,790</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Noninterest income</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606</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584</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560</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Noninterest expense</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1,303</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1,297</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1,278</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721</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655</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690</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 available to common shareholders - diluted</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674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626</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664</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Diluted earnings per common share</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4.02</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3.73</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3.98</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Return on average assets - annualized</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1.37 %</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1.24 %</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1.33 %</w:t>
            </w:r>
          </w:p>
        </w:tc>
      </w:tr>
      <w:tr>
        <w:trPr>
          <w:trHeight w:val="135"/>
        </w:trPr>
        <w:tc>
          <w:tcPr>
            <w:tcW w:w="7480" w:type="dxa"/>
            <w:vAlign w:val="bottom"/>
            <w:tcBorders>
              <w:bottom w:val="single" w:sz="8" w:color="auto"/>
            </w:tcBorders>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Return on average common shareholders' equity - annualized</w:t>
            </w:r>
          </w:p>
        </w:tc>
        <w:tc>
          <w:tcPr>
            <w:tcW w:w="240" w:type="dxa"/>
            <w:vAlign w:val="bottom"/>
            <w:tcBorders>
              <w:bottom w:val="single" w:sz="8" w:color="auto"/>
            </w:tcBorders>
            <w:shd w:val="clear" w:color="auto" w:fill="E5F1EE"/>
          </w:tcPr>
          <w:p>
            <w:pPr>
              <w:spacing w:after="0"/>
              <w:rPr>
                <w:sz w:val="11"/>
                <w:szCs w:val="11"/>
                <w:color w:val="auto"/>
              </w:rPr>
            </w:pPr>
          </w:p>
        </w:tc>
        <w:tc>
          <w:tcPr>
            <w:tcW w:w="880" w:type="dxa"/>
            <w:vAlign w:val="bottom"/>
            <w:tcBorders>
              <w:bottom w:val="single" w:sz="8" w:color="auto"/>
            </w:tcBorders>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10.26</w:t>
            </w:r>
          </w:p>
        </w:tc>
        <w:tc>
          <w:tcPr>
            <w:tcW w:w="220" w:type="dxa"/>
            <w:vAlign w:val="bottom"/>
            <w:tcBorders>
              <w:bottom w:val="single" w:sz="8" w:color="auto"/>
            </w:tcBorders>
            <w:shd w:val="clear" w:color="auto" w:fill="E5F1EE"/>
          </w:tcPr>
          <w:p>
            <w:pPr>
              <w:spacing w:after="0"/>
              <w:rPr>
                <w:sz w:val="11"/>
                <w:szCs w:val="11"/>
                <w:color w:val="auto"/>
              </w:rPr>
            </w:pPr>
          </w:p>
        </w:tc>
        <w:tc>
          <w:tcPr>
            <w:tcW w:w="680" w:type="dxa"/>
            <w:vAlign w:val="bottom"/>
            <w:tcBorders>
              <w:bottom w:val="single" w:sz="8" w:color="auto"/>
            </w:tcBorders>
            <w:shd w:val="clear" w:color="auto" w:fill="E5F1EE"/>
          </w:tcPr>
          <w:p>
            <w:pPr>
              <w:spacing w:after="0"/>
              <w:rPr>
                <w:sz w:val="11"/>
                <w:szCs w:val="11"/>
                <w:color w:val="auto"/>
              </w:rPr>
            </w:pPr>
          </w:p>
        </w:tc>
        <w:tc>
          <w:tcPr>
            <w:tcW w:w="440" w:type="dxa"/>
            <w:vAlign w:val="bottom"/>
            <w:tcBorders>
              <w:bottom w:val="single" w:sz="8" w:color="auto"/>
            </w:tcBorders>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9.95</w:t>
            </w:r>
          </w:p>
        </w:tc>
        <w:tc>
          <w:tcPr>
            <w:tcW w:w="220" w:type="dxa"/>
            <w:vAlign w:val="bottom"/>
            <w:tcBorders>
              <w:bottom w:val="single" w:sz="8" w:color="auto"/>
            </w:tcBorders>
            <w:shd w:val="clear" w:color="auto" w:fill="E5F1EE"/>
          </w:tcPr>
          <w:p>
            <w:pPr>
              <w:spacing w:after="0"/>
              <w:rPr>
                <w:sz w:val="11"/>
                <w:szCs w:val="11"/>
                <w:color w:val="auto"/>
              </w:rPr>
            </w:pPr>
          </w:p>
        </w:tc>
        <w:tc>
          <w:tcPr>
            <w:tcW w:w="260" w:type="dxa"/>
            <w:vAlign w:val="bottom"/>
            <w:tcBorders>
              <w:bottom w:val="single" w:sz="8" w:color="auto"/>
            </w:tcBorders>
            <w:shd w:val="clear" w:color="auto" w:fill="E5F1EE"/>
          </w:tcPr>
          <w:p>
            <w:pPr>
              <w:spacing w:after="0"/>
              <w:rPr>
                <w:sz w:val="11"/>
                <w:szCs w:val="11"/>
                <w:color w:val="auto"/>
              </w:rPr>
            </w:pPr>
          </w:p>
        </w:tc>
        <w:tc>
          <w:tcPr>
            <w:tcW w:w="880" w:type="dxa"/>
            <w:vAlign w:val="bottom"/>
            <w:tcBorders>
              <w:bottom w:val="single" w:sz="8" w:color="auto"/>
            </w:tcBorders>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10.99</w:t>
            </w:r>
          </w:p>
        </w:tc>
      </w:tr>
      <w:tr>
        <w:trPr>
          <w:trHeight w:val="175"/>
        </w:trPr>
        <w:tc>
          <w:tcPr>
            <w:tcW w:w="7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004B36"/>
              </w:rPr>
              <w:t>Average Balance Sheet</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4"/>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240" w:type="dxa"/>
            <w:vAlign w:val="bottom"/>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209,581</w:t>
            </w:r>
          </w:p>
        </w:tc>
        <w:tc>
          <w:tcPr>
            <w:tcW w:w="220" w:type="dxa"/>
            <w:vAlign w:val="bottom"/>
            <w:shd w:val="clear" w:color="auto" w:fill="E5F1EE"/>
          </w:tcPr>
          <w:p>
            <w:pPr>
              <w:spacing w:after="0"/>
              <w:rPr>
                <w:sz w:val="10"/>
                <w:szCs w:val="10"/>
                <w:color w:val="auto"/>
              </w:rPr>
            </w:pPr>
          </w:p>
        </w:tc>
        <w:tc>
          <w:tcPr>
            <w:tcW w:w="680" w:type="dxa"/>
            <w:vAlign w:val="bottom"/>
            <w:shd w:val="clear" w:color="auto" w:fill="E5F1EE"/>
          </w:tcPr>
          <w:p>
            <w:pPr>
              <w:jc w:val="right"/>
              <w:ind w:right="5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w w:val="92"/>
              </w:rPr>
              <w:t>211,981</w:t>
            </w:r>
          </w:p>
        </w:tc>
        <w:tc>
          <w:tcPr>
            <w:tcW w:w="220" w:type="dxa"/>
            <w:vAlign w:val="bottom"/>
            <w:shd w:val="clear" w:color="auto" w:fill="E5F1EE"/>
          </w:tcPr>
          <w:p>
            <w:pPr>
              <w:spacing w:after="0"/>
              <w:rPr>
                <w:sz w:val="10"/>
                <w:szCs w:val="10"/>
                <w:color w:val="auto"/>
              </w:rPr>
            </w:pPr>
          </w:p>
        </w:tc>
        <w:tc>
          <w:tcPr>
            <w:tcW w:w="260" w:type="dxa"/>
            <w:vAlign w:val="bottom"/>
            <w:shd w:val="clear" w:color="auto" w:fill="E5F1EE"/>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205,791</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Interest-bearing deposits at banks</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25,491</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29,294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26,657</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Investment securities</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31,023</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29,695</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27,993</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Loans and leases, net of unearned discount</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134,751</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2"/>
              </w:rPr>
              <w:t>134,588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132,617</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Deposits</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161,505</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w w:val="92"/>
              </w:rPr>
              <w:t>163,491</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162,688</w:t>
            </w:r>
          </w:p>
        </w:tc>
      </w:tr>
      <w:tr>
        <w:trPr>
          <w:trHeight w:val="129"/>
        </w:trPr>
        <w:tc>
          <w:tcPr>
            <w:tcW w:w="7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Borrowings</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15,428</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16,452</w:t>
            </w: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12,585</w:t>
            </w:r>
          </w:p>
        </w:tc>
      </w:tr>
      <w:tr>
        <w:trPr>
          <w:trHeight w:val="167"/>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4B36"/>
              </w:rPr>
              <w:t>Selected Ratios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34"/>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(Amounts expressed as a percent, except per share data)</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7260" w:type="dxa"/>
            <w:vAlign w:val="bottom"/>
            <w:tcBorders>
              <w:top w:val="single" w:sz="8" w:color="auto"/>
            </w:tcBorders>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interest margin</w:t>
            </w:r>
          </w:p>
        </w:tc>
        <w:tc>
          <w:tcPr>
            <w:tcW w:w="220" w:type="dxa"/>
            <w:vAlign w:val="bottom"/>
            <w:tcBorders>
              <w:top w:val="single" w:sz="8" w:color="E5F1EE"/>
            </w:tcBorders>
            <w:shd w:val="clear" w:color="auto" w:fill="E5F1EE"/>
          </w:tcPr>
          <w:p>
            <w:pPr>
              <w:spacing w:after="0"/>
              <w:rPr>
                <w:sz w:val="11"/>
                <w:szCs w:val="11"/>
                <w:color w:val="auto"/>
              </w:rPr>
            </w:pPr>
          </w:p>
        </w:tc>
        <w:tc>
          <w:tcPr>
            <w:tcW w:w="240" w:type="dxa"/>
            <w:vAlign w:val="bottom"/>
            <w:tcBorders>
              <w:top w:val="single" w:sz="8" w:color="auto"/>
            </w:tcBorders>
            <w:shd w:val="clear" w:color="auto" w:fill="E5F1EE"/>
          </w:tcPr>
          <w:p>
            <w:pPr>
              <w:spacing w:after="0"/>
              <w:rPr>
                <w:sz w:val="11"/>
                <w:szCs w:val="11"/>
                <w:color w:val="auto"/>
              </w:rPr>
            </w:pPr>
          </w:p>
        </w:tc>
        <w:tc>
          <w:tcPr>
            <w:tcW w:w="8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3.62 %</w:t>
            </w:r>
          </w:p>
        </w:tc>
        <w:tc>
          <w:tcPr>
            <w:tcW w:w="220" w:type="dxa"/>
            <w:vAlign w:val="bottom"/>
            <w:tcBorders>
              <w:top w:val="single" w:sz="8" w:color="E5F1EE"/>
            </w:tcBorders>
            <w:shd w:val="clear" w:color="auto" w:fill="E5F1EE"/>
          </w:tcPr>
          <w:p>
            <w:pPr>
              <w:spacing w:after="0"/>
              <w:rPr>
                <w:sz w:val="11"/>
                <w:szCs w:val="11"/>
                <w:color w:val="auto"/>
              </w:rPr>
            </w:pPr>
          </w:p>
        </w:tc>
        <w:tc>
          <w:tcPr>
            <w:tcW w:w="680" w:type="dxa"/>
            <w:vAlign w:val="bottom"/>
            <w:tcBorders>
              <w:top w:val="single" w:sz="8" w:color="auto"/>
            </w:tcBorders>
            <w:shd w:val="clear" w:color="auto" w:fill="E5F1EE"/>
          </w:tcPr>
          <w:p>
            <w:pPr>
              <w:spacing w:after="0"/>
              <w:rPr>
                <w:sz w:val="11"/>
                <w:szCs w:val="11"/>
                <w:color w:val="auto"/>
              </w:rPr>
            </w:pPr>
          </w:p>
        </w:tc>
        <w:tc>
          <w:tcPr>
            <w:tcW w:w="4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3.59 %</w:t>
            </w:r>
          </w:p>
        </w:tc>
        <w:tc>
          <w:tcPr>
            <w:tcW w:w="220" w:type="dxa"/>
            <w:vAlign w:val="bottom"/>
            <w:tcBorders>
              <w:top w:val="single" w:sz="8" w:color="E5F1EE"/>
            </w:tcBorders>
            <w:shd w:val="clear" w:color="auto" w:fill="E5F1EE"/>
          </w:tcPr>
          <w:p>
            <w:pPr>
              <w:spacing w:after="0"/>
              <w:rPr>
                <w:sz w:val="11"/>
                <w:szCs w:val="11"/>
                <w:color w:val="auto"/>
              </w:rPr>
            </w:pPr>
          </w:p>
        </w:tc>
        <w:tc>
          <w:tcPr>
            <w:tcW w:w="260" w:type="dxa"/>
            <w:vAlign w:val="bottom"/>
            <w:tcBorders>
              <w:top w:val="single" w:sz="8" w:color="auto"/>
            </w:tcBorders>
            <w:shd w:val="clear" w:color="auto" w:fill="E5F1EE"/>
          </w:tcPr>
          <w:p>
            <w:pPr>
              <w:spacing w:after="0"/>
              <w:rPr>
                <w:sz w:val="11"/>
                <w:szCs w:val="11"/>
                <w:color w:val="auto"/>
              </w:rPr>
            </w:pPr>
          </w:p>
        </w:tc>
        <w:tc>
          <w:tcPr>
            <w:tcW w:w="8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0"/>
                <w:szCs w:val="10"/>
                <w:color w:val="auto"/>
              </w:rPr>
              <w:t>3.79 %</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Efficiency ratio (1)</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55.0</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53.7</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Net charge-offs to average total loans - annualized</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.35</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.41</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.29</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Allowance for credit losses to total loans</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1.62</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w:t>
            </w:r>
          </w:p>
        </w:tc>
      </w:tr>
      <w:tr>
        <w:trPr>
          <w:trHeight w:val="141"/>
        </w:trPr>
        <w:tc>
          <w:tcPr>
            <w:tcW w:w="748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0"/>
                <w:szCs w:val="10"/>
                <w:color w:val="auto"/>
              </w:rPr>
              <w:t>Nonaccrual loans to total loans</w:t>
            </w:r>
          </w:p>
        </w:tc>
        <w:tc>
          <w:tcPr>
            <w:tcW w:w="24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1.42</w:t>
            </w:r>
          </w:p>
        </w:tc>
        <w:tc>
          <w:tcPr>
            <w:tcW w:w="220" w:type="dxa"/>
            <w:vAlign w:val="bottom"/>
            <w:shd w:val="clear" w:color="auto" w:fill="E5F1EE"/>
          </w:tcPr>
          <w:p>
            <w:pPr>
              <w:spacing w:after="0"/>
              <w:rPr>
                <w:sz w:val="12"/>
                <w:szCs w:val="12"/>
                <w:color w:val="auto"/>
              </w:rPr>
            </w:pPr>
          </w:p>
        </w:tc>
        <w:tc>
          <w:tcPr>
            <w:tcW w:w="680" w:type="dxa"/>
            <w:vAlign w:val="bottom"/>
            <w:shd w:val="clear" w:color="auto" w:fill="E5F1EE"/>
          </w:tcPr>
          <w:p>
            <w:pPr>
              <w:spacing w:after="0"/>
              <w:rPr>
                <w:sz w:val="12"/>
                <w:szCs w:val="12"/>
                <w:color w:val="auto"/>
              </w:rPr>
            </w:pPr>
          </w:p>
        </w:tc>
        <w:tc>
          <w:tcPr>
            <w:tcW w:w="44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c>
          <w:tcPr>
            <w:tcW w:w="220" w:type="dxa"/>
            <w:vAlign w:val="bottom"/>
            <w:shd w:val="clear" w:color="auto" w:fill="E5F1EE"/>
          </w:tcPr>
          <w:p>
            <w:pPr>
              <w:spacing w:after="0"/>
              <w:rPr>
                <w:sz w:val="12"/>
                <w:szCs w:val="12"/>
                <w:color w:val="auto"/>
              </w:rPr>
            </w:pPr>
          </w:p>
        </w:tc>
        <w:tc>
          <w:tcPr>
            <w:tcW w:w="260" w:type="dxa"/>
            <w:vAlign w:val="bottom"/>
            <w:shd w:val="clear" w:color="auto" w:fill="E5F1EE"/>
          </w:tcPr>
          <w:p>
            <w:pPr>
              <w:spacing w:after="0"/>
              <w:rPr>
                <w:sz w:val="12"/>
                <w:szCs w:val="12"/>
                <w:color w:val="auto"/>
              </w:rPr>
            </w:pPr>
          </w:p>
        </w:tc>
        <w:tc>
          <w:tcPr>
            <w:tcW w:w="880" w:type="dxa"/>
            <w:vAlign w:val="bottom"/>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1.77</w:t>
            </w:r>
          </w:p>
        </w:tc>
      </w:tr>
      <w:tr>
        <w:trPr>
          <w:trHeight w:val="129"/>
        </w:trPr>
        <w:tc>
          <w:tcPr>
            <w:tcW w:w="74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Common equity Tier 1 ("CET1") capital ratio (2)</w:t>
            </w:r>
          </w:p>
        </w:tc>
        <w:tc>
          <w:tcPr>
            <w:tcW w:w="24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11.54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11.45</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10.95</w:t>
            </w:r>
          </w:p>
        </w:tc>
      </w:tr>
      <w:tr>
        <w:trPr>
          <w:trHeight w:val="135"/>
        </w:trPr>
        <w:tc>
          <w:tcPr>
            <w:tcW w:w="7260" w:type="dxa"/>
            <w:vAlign w:val="bottom"/>
            <w:tcBorders>
              <w:bottom w:val="single" w:sz="8" w:color="auto"/>
            </w:tcBorders>
            <w:shd w:val="clear" w:color="auto" w:fill="E5F1EE"/>
          </w:tcPr>
          <w:p>
            <w:pPr>
              <w:spacing w:after="0"/>
              <w:rPr>
                <w:sz w:val="20"/>
                <w:szCs w:val="20"/>
                <w:color w:val="auto"/>
              </w:rPr>
            </w:pPr>
            <w:r>
              <w:rPr>
                <w:rFonts w:ascii="Times New Roman" w:cs="Times New Roman" w:eastAsia="Times New Roman" w:hAnsi="Times New Roman"/>
                <w:sz w:val="10"/>
                <w:szCs w:val="10"/>
                <w:color w:val="auto"/>
              </w:rPr>
              <w:t>Common shareholders' equity per share</w:t>
            </w:r>
          </w:p>
        </w:tc>
        <w:tc>
          <w:tcPr>
            <w:tcW w:w="220" w:type="dxa"/>
            <w:vAlign w:val="bottom"/>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159.38</w:t>
            </w:r>
          </w:p>
        </w:tc>
        <w:tc>
          <w:tcPr>
            <w:tcW w:w="220" w:type="dxa"/>
            <w:vAlign w:val="bottom"/>
            <w:shd w:val="clear" w:color="auto" w:fill="E5F1EE"/>
          </w:tcPr>
          <w:p>
            <w:pPr>
              <w:spacing w:after="0"/>
              <w:rPr>
                <w:sz w:val="11"/>
                <w:szCs w:val="11"/>
                <w:color w:val="auto"/>
              </w:rPr>
            </w:pPr>
          </w:p>
        </w:tc>
        <w:tc>
          <w:tcPr>
            <w:tcW w:w="680" w:type="dxa"/>
            <w:vAlign w:val="bottom"/>
            <w:tcBorders>
              <w:bottom w:val="single" w:sz="8" w:color="auto"/>
            </w:tcBorders>
            <w:shd w:val="clear" w:color="auto" w:fill="E5F1EE"/>
          </w:tcPr>
          <w:p>
            <w:pPr>
              <w:jc w:val="right"/>
              <w:ind w:right="5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153.57</w:t>
            </w:r>
          </w:p>
        </w:tc>
        <w:tc>
          <w:tcPr>
            <w:tcW w:w="220" w:type="dxa"/>
            <w:vAlign w:val="bottom"/>
            <w:shd w:val="clear" w:color="auto" w:fill="E5F1EE"/>
          </w:tcPr>
          <w:p>
            <w:pPr>
              <w:spacing w:after="0"/>
              <w:rPr>
                <w:sz w:val="11"/>
                <w:szCs w:val="11"/>
                <w:color w:val="auto"/>
              </w:rPr>
            </w:pPr>
          </w:p>
        </w:tc>
        <w:tc>
          <w:tcPr>
            <w:tcW w:w="260" w:type="dxa"/>
            <w:vAlign w:val="bottom"/>
            <w:tcBorders>
              <w:bottom w:val="single" w:sz="8" w:color="auto"/>
            </w:tcBorders>
            <w:shd w:val="clear" w:color="auto" w:fill="E5F1EE"/>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E5F1EE"/>
          </w:tcPr>
          <w:p>
            <w:pPr>
              <w:jc w:val="right"/>
              <w:ind w:right="72"/>
              <w:spacing w:after="0"/>
              <w:rPr>
                <w:sz w:val="20"/>
                <w:szCs w:val="20"/>
                <w:color w:val="auto"/>
              </w:rPr>
            </w:pPr>
            <w:r>
              <w:rPr>
                <w:rFonts w:ascii="Times New Roman" w:cs="Times New Roman" w:eastAsia="Times New Roman" w:hAnsi="Times New Roman"/>
                <w:sz w:val="10"/>
                <w:szCs w:val="10"/>
                <w:color w:val="auto"/>
              </w:rPr>
              <w:t>145.72</w:t>
            </w:r>
          </w:p>
        </w:tc>
      </w:tr>
    </w:tbl>
    <w:p>
      <w:pPr>
        <w:spacing w:after="0" w:line="203" w:lineRule="exact"/>
        <w:rPr>
          <w:sz w:val="20"/>
          <w:szCs w:val="20"/>
          <w:color w:val="auto"/>
        </w:rPr>
      </w:pPr>
    </w:p>
    <w:p>
      <w:pPr>
        <w:ind w:left="128" w:hanging="128"/>
        <w:spacing w:after="0"/>
        <w:tabs>
          <w:tab w:leader="none" w:pos="128"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 reconciliation of non-GAAP measures is included in the tables that accompany this release.</w:t>
      </w:r>
    </w:p>
    <w:p>
      <w:pPr>
        <w:ind w:left="128" w:hanging="128"/>
        <w:spacing w:after="0"/>
        <w:tabs>
          <w:tab w:leader="none" w:pos="128"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September 30, 2024 CET1 capital ratio is estimated.</w:t>
      </w:r>
    </w:p>
    <w:p>
      <w:pPr>
        <w:spacing w:after="0" w:line="3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208" w:lineRule="exact"/>
        <w:rPr>
          <w:sz w:val="20"/>
          <w:szCs w:val="20"/>
          <w:color w:val="auto"/>
        </w:rPr>
      </w:pPr>
    </w:p>
    <w:p>
      <w:pPr>
        <w:ind w:left="588" w:right="140" w:hanging="295"/>
        <w:spacing w:after="0" w:line="235" w:lineRule="auto"/>
        <w:tabs>
          <w:tab w:leader="none" w:pos="584"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M&amp;T's capital position continues to strengthen as the CET1 capital ratio rose for the sixth consecutive quarter to an estimated 11.54% at September 30, 2024, representing a 9 basis point increase from 11.45% at June 30, 2024. M&amp;T repurchased shares of its common stock for a total cost of $200 million, including the share repurchase excise tax, in the third quarter of 2024.</w:t>
      </w:r>
    </w:p>
    <w:p>
      <w:pPr>
        <w:spacing w:after="0" w:line="4" w:lineRule="exact"/>
        <w:rPr>
          <w:rFonts w:ascii="Times New Roman" w:cs="Times New Roman" w:eastAsia="Times New Roman" w:hAnsi="Times New Roman"/>
          <w:sz w:val="11"/>
          <w:szCs w:val="11"/>
          <w:color w:val="auto"/>
        </w:rPr>
      </w:pPr>
    </w:p>
    <w:p>
      <w:pPr>
        <w:ind w:left="588" w:hanging="295"/>
        <w:spacing w:after="0"/>
        <w:tabs>
          <w:tab w:leader="none" w:pos="58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interest margin of 3.62% in the recent quarter widened from 3.59% in the second quarter of 2024 reflecting higher yields on investment securities and lower funding costs led by a decline in brokered time deposits.</w:t>
      </w:r>
    </w:p>
    <w:p>
      <w:pPr>
        <w:spacing w:after="0" w:line="17" w:lineRule="exact"/>
        <w:rPr>
          <w:rFonts w:ascii="Times New Roman" w:cs="Times New Roman" w:eastAsia="Times New Roman" w:hAnsi="Times New Roman"/>
          <w:sz w:val="11"/>
          <w:szCs w:val="11"/>
          <w:color w:val="auto"/>
        </w:rPr>
      </w:pPr>
    </w:p>
    <w:p>
      <w:pPr>
        <w:ind w:left="588" w:hanging="295"/>
        <w:spacing w:after="0"/>
        <w:tabs>
          <w:tab w:leader="none" w:pos="58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Growth in average commercial and industrial loans and average consumer loans in the recent quarter was largely offset by a decline in average commercial real estate loans.</w:t>
      </w:r>
    </w:p>
    <w:p>
      <w:pPr>
        <w:spacing w:after="0" w:line="17" w:lineRule="exact"/>
        <w:rPr>
          <w:rFonts w:ascii="Times New Roman" w:cs="Times New Roman" w:eastAsia="Times New Roman" w:hAnsi="Times New Roman"/>
          <w:sz w:val="11"/>
          <w:szCs w:val="11"/>
          <w:color w:val="auto"/>
        </w:rPr>
      </w:pPr>
    </w:p>
    <w:p>
      <w:pPr>
        <w:ind w:left="588" w:right="380" w:hanging="295"/>
        <w:spacing w:after="0" w:line="235" w:lineRule="auto"/>
        <w:tabs>
          <w:tab w:leader="none" w:pos="584"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decline in average deposits in the third quarter of 2024 as compared with the second quarter of 2024 reflects lower average brokered time deposits. The decrease in average borrowings in the recent quarter from the second quarter of 2024 primarily reflects lower average short-term borrowings from the Federal Home Loan Bank ("FHLB") of New York.</w:t>
      </w:r>
    </w:p>
    <w:p>
      <w:pPr>
        <w:spacing w:after="0" w:line="4" w:lineRule="exact"/>
        <w:rPr>
          <w:rFonts w:ascii="Times New Roman" w:cs="Times New Roman" w:eastAsia="Times New Roman" w:hAnsi="Times New Roman"/>
          <w:sz w:val="11"/>
          <w:szCs w:val="11"/>
          <w:color w:val="auto"/>
        </w:rPr>
      </w:pPr>
    </w:p>
    <w:p>
      <w:pPr>
        <w:ind w:left="588" w:right="20" w:hanging="295"/>
        <w:spacing w:after="0" w:line="235" w:lineRule="auto"/>
        <w:tabs>
          <w:tab w:leader="none" w:pos="584"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decline in provision for credit losses in the recent quarter from the second quarter of 2024 reflects lower levels of criticized commercial real estate and commercial and industrial loans, partially offset by commercial and industrial and consumer loan growth.</w:t>
      </w:r>
    </w:p>
    <w:p>
      <w:pPr>
        <w:spacing w:after="0" w:line="4" w:lineRule="exact"/>
        <w:rPr>
          <w:rFonts w:ascii="Times New Roman" w:cs="Times New Roman" w:eastAsia="Times New Roman" w:hAnsi="Times New Roman"/>
          <w:sz w:val="11"/>
          <w:szCs w:val="11"/>
          <w:color w:val="auto"/>
        </w:rPr>
      </w:pPr>
    </w:p>
    <w:p>
      <w:pPr>
        <w:ind w:left="588" w:hanging="295"/>
        <w:spacing w:after="0"/>
        <w:tabs>
          <w:tab w:leader="none" w:pos="588"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level of nonaccrual loans improved to 1.42% of loans outstanding at September 30, 2024 from 1.50% at June 30, 2024.</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Chief Financial Officer 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55" w:lineRule="exact"/>
        <w:rPr>
          <w:sz w:val="20"/>
          <w:szCs w:val="20"/>
          <w:color w:val="auto"/>
        </w:rPr>
      </w:pPr>
    </w:p>
    <w:p>
      <w:pPr>
        <w:ind w:left="8" w:right="200"/>
        <w:spacing w:after="0" w:line="265" w:lineRule="auto"/>
        <w:rPr>
          <w:sz w:val="20"/>
          <w:szCs w:val="20"/>
          <w:color w:val="auto"/>
        </w:rPr>
      </w:pPr>
      <w:r>
        <w:rPr>
          <w:rFonts w:ascii="Times New Roman" w:cs="Times New Roman" w:eastAsia="Times New Roman" w:hAnsi="Times New Roman"/>
          <w:sz w:val="11"/>
          <w:szCs w:val="11"/>
          <w:color w:val="auto"/>
        </w:rPr>
        <w:t>"M&amp;T’s positive earnings momentum, strong capital position and unyielding focus on delivering for our customers and the communities we serve have positioned the franchise for a strong finish to 2024. I am proud of how our employees have exhibited our core values as we execute on our strategic priorities."</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i w:val="1"/>
          <w:iCs w:val="1"/>
          <w:color w:val="auto"/>
        </w:rPr>
        <w:t>- Daryl N. Bible, M&amp;T's Chief Financial Officer</w:t>
      </w:r>
    </w:p>
    <w:p>
      <w:pPr>
        <w:spacing w:after="0" w:line="2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Contact:</w:t>
      </w:r>
    </w:p>
    <w:p>
      <w:pPr>
        <w:ind w:left="8"/>
        <w:spacing w:after="0" w:line="187" w:lineRule="auto"/>
        <w:rPr>
          <w:sz w:val="20"/>
          <w:szCs w:val="20"/>
          <w:color w:val="auto"/>
        </w:rPr>
      </w:pPr>
      <w:r>
        <w:rPr>
          <w:rFonts w:ascii="Times New Roman" w:cs="Times New Roman" w:eastAsia="Times New Roman" w:hAnsi="Times New Roman"/>
          <w:sz w:val="10"/>
          <w:szCs w:val="10"/>
          <w:color w:val="auto"/>
        </w:rPr>
        <w:t>Investor Relations: Brian Klock 716.842.5138</w:t>
      </w:r>
    </w:p>
    <w:p>
      <w:pPr>
        <w:ind w:left="8"/>
        <w:spacing w:after="0" w:line="237" w:lineRule="auto"/>
        <w:rPr>
          <w:sz w:val="20"/>
          <w:szCs w:val="20"/>
          <w:color w:val="auto"/>
        </w:rPr>
      </w:pPr>
      <w:r>
        <w:rPr>
          <w:rFonts w:ascii="Times New Roman" w:cs="Times New Roman" w:eastAsia="Times New Roman" w:hAnsi="Times New Roman"/>
          <w:sz w:val="10"/>
          <w:szCs w:val="10"/>
          <w:color w:val="auto"/>
        </w:rPr>
        <w:t>Media Relations: Frank Lentini 929.651.0447</w:t>
      </w:r>
    </w:p>
    <w:p>
      <w:pPr>
        <w:sectPr>
          <w:pgSz w:w="11900" w:h="16838" w:orient="portrait"/>
          <w:cols w:equalWidth="0" w:num="1">
            <w:col w:w="11308"/>
          </w:cols>
          <w:pgMar w:left="292" w:top="110" w:right="299" w:bottom="1440" w:gutter="0" w:footer="0" w:header="0"/>
        </w:sectPr>
      </w:pPr>
    </w:p>
    <w:bookmarkStart w:id="4" w:name="page5"/>
    <w:bookmarkEnd w:id="4"/>
    <w:p>
      <w:pPr>
        <w:jc w:val="right"/>
        <w:ind w:right="10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4"/>
          <w:szCs w:val="14"/>
          <w:b w:val="1"/>
          <w:bCs w:val="1"/>
          <w:color w:val="FFFFFF"/>
        </w:rPr>
        <w:t>Non-GAAP Measures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38035"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14300"/>
                    </a:xfrm>
                    <a:prstGeom prst="rect">
                      <a:avLst/>
                    </a:prstGeom>
                    <a:noFill/>
                  </pic:spPr>
                </pic:pic>
              </a:graphicData>
            </a:graphic>
          </wp:anchor>
        </w:drawing>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4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 except per share data)</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Change 3Q24 vs.</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Change 3Q24 vs.</w:t>
            </w:r>
          </w:p>
        </w:tc>
        <w:tc>
          <w:tcPr>
            <w:tcW w:w="0" w:type="dxa"/>
            <w:vAlign w:val="bottom"/>
          </w:tcPr>
          <w:p>
            <w:pPr>
              <w:spacing w:after="0"/>
              <w:rPr>
                <w:sz w:val="1"/>
                <w:szCs w:val="1"/>
                <w:color w:val="auto"/>
              </w:rPr>
            </w:pPr>
          </w:p>
        </w:tc>
      </w:tr>
      <w:tr>
        <w:trPr>
          <w:trHeight w:val="155"/>
        </w:trPr>
        <w:tc>
          <w:tcPr>
            <w:tcW w:w="44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3Q24</w:t>
            </w:r>
          </w:p>
        </w:tc>
        <w:tc>
          <w:tcPr>
            <w:tcW w:w="30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2Q24</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7"/>
              </w:rPr>
              <w:t>2Q24</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3Q23</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3Q23</w:t>
            </w:r>
          </w:p>
        </w:tc>
        <w:tc>
          <w:tcPr>
            <w:tcW w:w="0" w:type="dxa"/>
            <w:vAlign w:val="bottom"/>
          </w:tcPr>
          <w:p>
            <w:pPr>
              <w:spacing w:after="0"/>
              <w:rPr>
                <w:sz w:val="1"/>
                <w:szCs w:val="1"/>
                <w:color w:val="auto"/>
              </w:rPr>
            </w:pPr>
          </w:p>
        </w:tc>
      </w:tr>
      <w:tr>
        <w:trPr>
          <w:trHeight w:val="142"/>
        </w:trPr>
        <w:tc>
          <w:tcPr>
            <w:tcW w:w="442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operating income</w:t>
            </w:r>
          </w:p>
        </w:tc>
        <w:tc>
          <w:tcPr>
            <w:tcW w:w="300" w:type="dxa"/>
            <w:vAlign w:val="bottom"/>
            <w:tcBorders>
              <w:top w:val="single" w:sz="8" w:color="auto"/>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731</w:t>
            </w:r>
          </w:p>
        </w:tc>
        <w:tc>
          <w:tcPr>
            <w:tcW w:w="60" w:type="dxa"/>
            <w:vAlign w:val="bottom"/>
            <w:tcBorders>
              <w:top w:val="single" w:sz="8" w:color="E5F1EE"/>
            </w:tcBorders>
            <w:shd w:val="clear" w:color="auto" w:fill="E5F1EE"/>
          </w:tcPr>
          <w:p>
            <w:pPr>
              <w:spacing w:after="0"/>
              <w:rPr>
                <w:sz w:val="12"/>
                <w:szCs w:val="12"/>
                <w:color w:val="auto"/>
              </w:rPr>
            </w:pPr>
          </w:p>
        </w:tc>
        <w:tc>
          <w:tcPr>
            <w:tcW w:w="300" w:type="dxa"/>
            <w:vAlign w:val="bottom"/>
            <w:tcBorders>
              <w:top w:val="single" w:sz="8" w:color="auto"/>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665</w:t>
            </w:r>
          </w:p>
        </w:tc>
        <w:tc>
          <w:tcPr>
            <w:tcW w:w="60" w:type="dxa"/>
            <w:vAlign w:val="bottom"/>
            <w:tcBorders>
              <w:top w:val="single" w:sz="8" w:color="E5F1EE"/>
            </w:tcBorders>
            <w:shd w:val="clear" w:color="auto" w:fill="E5F1EE"/>
          </w:tcPr>
          <w:p>
            <w:pPr>
              <w:spacing w:after="0"/>
              <w:rPr>
                <w:sz w:val="12"/>
                <w:szCs w:val="12"/>
                <w:color w:val="auto"/>
              </w:rPr>
            </w:pPr>
          </w:p>
        </w:tc>
        <w:tc>
          <w:tcPr>
            <w:tcW w:w="13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80" w:type="dxa"/>
            <w:vAlign w:val="bottom"/>
            <w:tcBorders>
              <w:top w:val="single" w:sz="8" w:color="E5F1EE"/>
            </w:tcBorders>
            <w:shd w:val="clear" w:color="auto" w:fill="E5F1EE"/>
          </w:tcPr>
          <w:p>
            <w:pPr>
              <w:spacing w:after="0"/>
              <w:rPr>
                <w:sz w:val="12"/>
                <w:szCs w:val="12"/>
                <w:color w:val="auto"/>
              </w:rPr>
            </w:pPr>
          </w:p>
        </w:tc>
        <w:tc>
          <w:tcPr>
            <w:tcW w:w="820" w:type="dxa"/>
            <w:vAlign w:val="bottom"/>
            <w:tcBorders>
              <w:top w:val="single" w:sz="8" w:color="auto"/>
            </w:tcBorders>
            <w:shd w:val="clear" w:color="auto" w:fill="E5F1EE"/>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702</w:t>
            </w:r>
          </w:p>
        </w:tc>
        <w:tc>
          <w:tcPr>
            <w:tcW w:w="60" w:type="dxa"/>
            <w:vAlign w:val="bottom"/>
            <w:tcBorders>
              <w:top w:val="single" w:sz="8" w:color="E5F1EE"/>
            </w:tcBorders>
            <w:shd w:val="clear" w:color="auto" w:fill="E5F1EE"/>
          </w:tcPr>
          <w:p>
            <w:pPr>
              <w:spacing w:after="0"/>
              <w:rPr>
                <w:sz w:val="12"/>
                <w:szCs w:val="12"/>
                <w:color w:val="auto"/>
              </w:rPr>
            </w:pPr>
          </w:p>
        </w:tc>
        <w:tc>
          <w:tcPr>
            <w:tcW w:w="13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Diluted net operating earnings per common share</w:t>
            </w:r>
          </w:p>
        </w:tc>
        <w:tc>
          <w:tcPr>
            <w:tcW w:w="3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4.08</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3.79</w:t>
            </w:r>
          </w:p>
        </w:tc>
        <w:tc>
          <w:tcPr>
            <w:tcW w:w="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4.05</w:t>
            </w:r>
          </w:p>
        </w:tc>
        <w:tc>
          <w:tcPr>
            <w:tcW w:w="60" w:type="dxa"/>
            <w:vAlign w:val="bottom"/>
          </w:tcPr>
          <w:p>
            <w:pPr>
              <w:spacing w:after="0"/>
              <w:rPr>
                <w:sz w:val="13"/>
                <w:szCs w:val="13"/>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3"/>
        </w:trPr>
        <w:tc>
          <w:tcPr>
            <w:tcW w:w="44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Annualized return on average tangible assets</w:t>
            </w: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1.45 %</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1.31 %</w:t>
            </w:r>
          </w:p>
        </w:tc>
        <w:tc>
          <w:tcPr>
            <w:tcW w:w="60" w:type="dxa"/>
            <w:vAlign w:val="bottom"/>
            <w:shd w:val="clear" w:color="auto" w:fill="E5F1EE"/>
          </w:tcPr>
          <w:p>
            <w:pPr>
              <w:spacing w:after="0"/>
              <w:rPr>
                <w:sz w:val="13"/>
                <w:szCs w:val="13"/>
                <w:color w:val="auto"/>
              </w:rPr>
            </w:pPr>
          </w:p>
        </w:tc>
        <w:tc>
          <w:tcPr>
            <w:tcW w:w="130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820" w:type="dxa"/>
            <w:vAlign w:val="bottom"/>
            <w:shd w:val="clear" w:color="auto" w:fill="E5F1EE"/>
          </w:tcPr>
          <w:p>
            <w:pPr>
              <w:spacing w:after="0"/>
              <w:rPr>
                <w:sz w:val="13"/>
                <w:szCs w:val="13"/>
                <w:color w:val="auto"/>
              </w:rPr>
            </w:pPr>
          </w:p>
        </w:tc>
        <w:tc>
          <w:tcPr>
            <w:tcW w:w="4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1.41 %</w:t>
            </w:r>
          </w:p>
        </w:tc>
        <w:tc>
          <w:tcPr>
            <w:tcW w:w="60" w:type="dxa"/>
            <w:vAlign w:val="bottom"/>
            <w:shd w:val="clear" w:color="auto" w:fill="E5F1EE"/>
          </w:tcPr>
          <w:p>
            <w:pPr>
              <w:spacing w:after="0"/>
              <w:rPr>
                <w:sz w:val="13"/>
                <w:szCs w:val="13"/>
                <w:color w:val="auto"/>
              </w:rPr>
            </w:pPr>
          </w:p>
        </w:tc>
        <w:tc>
          <w:tcPr>
            <w:tcW w:w="13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Annualized return on average tangible common equity</w:t>
            </w:r>
          </w:p>
        </w:tc>
        <w:tc>
          <w:tcPr>
            <w:tcW w:w="3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15.47</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15.27</w:t>
            </w: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17.41</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Efficiency ratio</w:t>
            </w: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55.0</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55.3</w:t>
            </w:r>
          </w:p>
        </w:tc>
        <w:tc>
          <w:tcPr>
            <w:tcW w:w="60" w:type="dxa"/>
            <w:vAlign w:val="bottom"/>
            <w:shd w:val="clear" w:color="auto" w:fill="E5F1EE"/>
          </w:tcPr>
          <w:p>
            <w:pPr>
              <w:spacing w:after="0"/>
              <w:rPr>
                <w:sz w:val="13"/>
                <w:szCs w:val="13"/>
                <w:color w:val="auto"/>
              </w:rPr>
            </w:pPr>
          </w:p>
        </w:tc>
        <w:tc>
          <w:tcPr>
            <w:tcW w:w="1300" w:type="dxa"/>
            <w:vAlign w:val="bottom"/>
            <w:shd w:val="clear" w:color="auto" w:fill="E5F1EE"/>
          </w:tcPr>
          <w:p>
            <w:pPr>
              <w:spacing w:after="0"/>
              <w:rPr>
                <w:sz w:val="13"/>
                <w:szCs w:val="13"/>
                <w:color w:val="auto"/>
              </w:rPr>
            </w:pPr>
          </w:p>
        </w:tc>
        <w:tc>
          <w:tcPr>
            <w:tcW w:w="80" w:type="dxa"/>
            <w:vAlign w:val="bottom"/>
            <w:shd w:val="clear" w:color="auto" w:fill="E5F1EE"/>
          </w:tcPr>
          <w:p>
            <w:pPr>
              <w:spacing w:after="0"/>
              <w:rPr>
                <w:sz w:val="13"/>
                <w:szCs w:val="13"/>
                <w:color w:val="auto"/>
              </w:rPr>
            </w:pPr>
          </w:p>
        </w:tc>
        <w:tc>
          <w:tcPr>
            <w:tcW w:w="820" w:type="dxa"/>
            <w:vAlign w:val="bottom"/>
            <w:shd w:val="clear" w:color="auto" w:fill="E5F1EE"/>
          </w:tcPr>
          <w:p>
            <w:pPr>
              <w:spacing w:after="0"/>
              <w:rPr>
                <w:sz w:val="13"/>
                <w:szCs w:val="13"/>
                <w:color w:val="auto"/>
              </w:rPr>
            </w:pPr>
          </w:p>
        </w:tc>
        <w:tc>
          <w:tcPr>
            <w:tcW w:w="48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53.7</w:t>
            </w:r>
          </w:p>
        </w:tc>
        <w:tc>
          <w:tcPr>
            <w:tcW w:w="60" w:type="dxa"/>
            <w:vAlign w:val="bottom"/>
            <w:shd w:val="clear" w:color="auto" w:fill="E5F1EE"/>
          </w:tcPr>
          <w:p>
            <w:pPr>
              <w:spacing w:after="0"/>
              <w:rPr>
                <w:sz w:val="13"/>
                <w:szCs w:val="13"/>
                <w:color w:val="auto"/>
              </w:rPr>
            </w:pPr>
          </w:p>
        </w:tc>
        <w:tc>
          <w:tcPr>
            <w:tcW w:w="132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Tangible equity per common share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107.97</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102.42</w:t>
            </w:r>
          </w:p>
        </w:tc>
        <w:tc>
          <w:tcPr>
            <w:tcW w:w="6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3"/>
                <w:szCs w:val="13"/>
                <w:color w:val="auto"/>
              </w:rPr>
            </w:pPr>
          </w:p>
        </w:tc>
        <w:tc>
          <w:tcPr>
            <w:tcW w:w="82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93.99</w:t>
            </w:r>
          </w:p>
        </w:tc>
        <w:tc>
          <w:tcPr>
            <w:tcW w:w="60" w:type="dxa"/>
            <w:vAlign w:val="bottom"/>
          </w:tcPr>
          <w:p>
            <w:pPr>
              <w:spacing w:after="0"/>
              <w:rPr>
                <w:sz w:val="13"/>
                <w:szCs w:val="13"/>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36290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64" w:lineRule="exact"/>
        <w:rPr>
          <w:sz w:val="20"/>
          <w:szCs w:val="20"/>
          <w:color w:val="auto"/>
        </w:rPr>
      </w:pPr>
    </w:p>
    <w:p>
      <w:pPr>
        <w:ind w:left="288" w:hanging="288"/>
        <w:spacing w:after="0"/>
        <w:tabs>
          <w:tab w:leader="none" w:pos="28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reconciliation of non-GAAP measures is included in the tables that accompany this release.</w:t>
      </w:r>
    </w:p>
    <w:p>
      <w:pPr>
        <w:spacing w:after="0" w:line="134" w:lineRule="exact"/>
        <w:rPr>
          <w:sz w:val="20"/>
          <w:szCs w:val="20"/>
          <w:color w:val="auto"/>
        </w:rPr>
      </w:pPr>
    </w:p>
    <w:p>
      <w:pPr>
        <w:jc w:val="both"/>
        <w:ind w:left="8" w:right="140"/>
        <w:spacing w:after="0" w:line="236" w:lineRule="auto"/>
        <w:rPr>
          <w:sz w:val="20"/>
          <w:szCs w:val="20"/>
          <w:color w:val="auto"/>
        </w:rPr>
      </w:pPr>
      <w:r>
        <w:rPr>
          <w:rFonts w:ascii="Times New Roman" w:cs="Times New Roman" w:eastAsia="Times New Roman" w:hAnsi="Times New Roman"/>
          <w:sz w:val="14"/>
          <w:szCs w:val="14"/>
          <w:color w:val="auto"/>
        </w:rPr>
        <w:t>M&amp;T consistently provides supplemental reporting of its results on a “net operating” or “tangible” basis, from which M&amp;T excludes the after-tax effect of amortization of core deposit and other intangible assets (and the related goodwill and core deposit and other intangible asset balances, net of applicable deferred tax amounts) and expenses associated with merging acquired operations into M&amp;T (when incurred), since such items are considered by management to be “nonoperating” in nature.</w:t>
      </w:r>
    </w:p>
    <w:p>
      <w:pPr>
        <w:spacing w:after="0" w:line="135"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4"/>
          <w:szCs w:val="14"/>
          <w:b w:val="1"/>
          <w:bCs w:val="1"/>
          <w:color w:val="FFFFFF"/>
        </w:rPr>
        <w:t>Taxable-equivalent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8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4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color w:val="auto"/>
                <w:w w:val="98"/>
              </w:rPr>
              <w:t>Change 3Q24 vs.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Change 3Q24 vs.</w:t>
            </w:r>
          </w:p>
        </w:tc>
        <w:tc>
          <w:tcPr>
            <w:tcW w:w="0" w:type="dxa"/>
            <w:vAlign w:val="bottom"/>
          </w:tcPr>
          <w:p>
            <w:pPr>
              <w:spacing w:after="0"/>
              <w:rPr>
                <w:sz w:val="1"/>
                <w:szCs w:val="1"/>
                <w:color w:val="auto"/>
              </w:rPr>
            </w:pPr>
          </w:p>
        </w:tc>
      </w:tr>
      <w:tr>
        <w:trPr>
          <w:trHeight w:val="155"/>
        </w:trPr>
        <w:tc>
          <w:tcPr>
            <w:tcW w:w="44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3Q24</w:t>
            </w:r>
          </w:p>
        </w:tc>
        <w:tc>
          <w:tcPr>
            <w:tcW w:w="30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2Q24</w:t>
            </w:r>
          </w:p>
        </w:tc>
        <w:tc>
          <w:tcPr>
            <w:tcW w:w="166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color w:val="auto"/>
                <w:w w:val="97"/>
              </w:rPr>
              <w:t>2Q24</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3Q23</w:t>
            </w:r>
          </w:p>
        </w:tc>
        <w:tc>
          <w:tcPr>
            <w:tcW w:w="130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3Q23</w:t>
            </w:r>
          </w:p>
        </w:tc>
        <w:tc>
          <w:tcPr>
            <w:tcW w:w="0" w:type="dxa"/>
            <w:vAlign w:val="bottom"/>
          </w:tcPr>
          <w:p>
            <w:pPr>
              <w:spacing w:after="0"/>
              <w:rPr>
                <w:sz w:val="1"/>
                <w:szCs w:val="1"/>
                <w:color w:val="auto"/>
              </w:rPr>
            </w:pPr>
          </w:p>
        </w:tc>
      </w:tr>
      <w:tr>
        <w:trPr>
          <w:trHeight w:val="142"/>
        </w:trPr>
        <w:tc>
          <w:tcPr>
            <w:tcW w:w="448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Average earning assets</w:t>
            </w:r>
          </w:p>
        </w:tc>
        <w:tc>
          <w:tcPr>
            <w:tcW w:w="300" w:type="dxa"/>
            <w:vAlign w:val="bottom"/>
            <w:tcBorders>
              <w:top w:val="single" w:sz="8" w:color="auto"/>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191,366</w:t>
            </w:r>
          </w:p>
        </w:tc>
        <w:tc>
          <w:tcPr>
            <w:tcW w:w="80" w:type="dxa"/>
            <w:vAlign w:val="bottom"/>
            <w:tcBorders>
              <w:top w:val="single" w:sz="8" w:color="E5F1EE"/>
            </w:tcBorders>
            <w:shd w:val="clear" w:color="auto" w:fill="E5F1EE"/>
          </w:tcPr>
          <w:p>
            <w:pPr>
              <w:spacing w:after="0"/>
              <w:rPr>
                <w:sz w:val="12"/>
                <w:szCs w:val="12"/>
                <w:color w:val="auto"/>
              </w:rPr>
            </w:pPr>
          </w:p>
        </w:tc>
        <w:tc>
          <w:tcPr>
            <w:tcW w:w="300" w:type="dxa"/>
            <w:vAlign w:val="bottom"/>
            <w:tcBorders>
              <w:top w:val="single" w:sz="8" w:color="auto"/>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193,676</w:t>
            </w:r>
          </w:p>
        </w:tc>
        <w:tc>
          <w:tcPr>
            <w:tcW w:w="80" w:type="dxa"/>
            <w:vAlign w:val="bottom"/>
            <w:tcBorders>
              <w:top w:val="single" w:sz="8" w:color="E5F1EE"/>
            </w:tcBorders>
            <w:shd w:val="clear" w:color="auto" w:fill="E5F1EE"/>
          </w:tcPr>
          <w:p>
            <w:pPr>
              <w:spacing w:after="0"/>
              <w:rPr>
                <w:sz w:val="12"/>
                <w:szCs w:val="12"/>
                <w:color w:val="auto"/>
              </w:rPr>
            </w:pPr>
          </w:p>
        </w:tc>
        <w:tc>
          <w:tcPr>
            <w:tcW w:w="13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60" w:type="dxa"/>
            <w:vAlign w:val="bottom"/>
            <w:tcBorders>
              <w:top w:val="single" w:sz="8" w:color="E5F1EE"/>
            </w:tcBorders>
            <w:shd w:val="clear" w:color="auto" w:fill="E5F1EE"/>
          </w:tcPr>
          <w:p>
            <w:pPr>
              <w:spacing w:after="0"/>
              <w:rPr>
                <w:sz w:val="12"/>
                <w:szCs w:val="12"/>
                <w:color w:val="auto"/>
              </w:rPr>
            </w:pPr>
          </w:p>
        </w:tc>
        <w:tc>
          <w:tcPr>
            <w:tcW w:w="300" w:type="dxa"/>
            <w:vAlign w:val="bottom"/>
            <w:tcBorders>
              <w:top w:val="single" w:sz="8" w:color="auto"/>
            </w:tcBorders>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187,403</w:t>
            </w:r>
          </w:p>
        </w:tc>
        <w:tc>
          <w:tcPr>
            <w:tcW w:w="80" w:type="dxa"/>
            <w:vAlign w:val="bottom"/>
            <w:tcBorders>
              <w:top w:val="single" w:sz="8" w:color="E5F1EE"/>
            </w:tcBorders>
            <w:shd w:val="clear" w:color="auto" w:fill="E5F1EE"/>
          </w:tcPr>
          <w:p>
            <w:pPr>
              <w:spacing w:after="0"/>
              <w:rPr>
                <w:sz w:val="12"/>
                <w:szCs w:val="12"/>
                <w:color w:val="auto"/>
              </w:rPr>
            </w:pPr>
          </w:p>
        </w:tc>
        <w:tc>
          <w:tcPr>
            <w:tcW w:w="13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0" w:type="dxa"/>
            <w:vAlign w:val="bottom"/>
          </w:tcPr>
          <w:p>
            <w:pPr>
              <w:spacing w:after="0"/>
              <w:rPr>
                <w:sz w:val="1"/>
                <w:szCs w:val="1"/>
                <w:color w:val="auto"/>
              </w:rPr>
            </w:pP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Average interest-bearing liabilities</w:t>
            </w:r>
          </w:p>
        </w:tc>
        <w:tc>
          <w:tcPr>
            <w:tcW w:w="30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130,775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132,209</w:t>
            </w:r>
          </w:p>
        </w:tc>
        <w:tc>
          <w:tcPr>
            <w:tcW w:w="8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121,388</w:t>
            </w:r>
          </w:p>
        </w:tc>
        <w:tc>
          <w:tcPr>
            <w:tcW w:w="80" w:type="dxa"/>
            <w:vAlign w:val="bottom"/>
          </w:tcPr>
          <w:p>
            <w:pPr>
              <w:spacing w:after="0"/>
              <w:rPr>
                <w:sz w:val="13"/>
                <w:szCs w:val="13"/>
                <w:color w:val="auto"/>
              </w:rPr>
            </w:pPr>
          </w:p>
        </w:tc>
        <w:tc>
          <w:tcPr>
            <w:tcW w:w="13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3"/>
        </w:trPr>
        <w:tc>
          <w:tcPr>
            <w:tcW w:w="44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interest income - taxable-equivalent</w:t>
            </w: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1,739</w:t>
            </w:r>
          </w:p>
        </w:tc>
        <w:tc>
          <w:tcPr>
            <w:tcW w:w="8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1,731</w:t>
            </w:r>
          </w:p>
        </w:tc>
        <w:tc>
          <w:tcPr>
            <w:tcW w:w="80" w:type="dxa"/>
            <w:vAlign w:val="bottom"/>
            <w:shd w:val="clear" w:color="auto" w:fill="E5F1EE"/>
          </w:tcPr>
          <w:p>
            <w:pPr>
              <w:spacing w:after="0"/>
              <w:rPr>
                <w:sz w:val="13"/>
                <w:szCs w:val="13"/>
                <w:color w:val="auto"/>
              </w:rPr>
            </w:pPr>
          </w:p>
        </w:tc>
        <w:tc>
          <w:tcPr>
            <w:tcW w:w="130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1,790</w:t>
            </w:r>
          </w:p>
        </w:tc>
        <w:tc>
          <w:tcPr>
            <w:tcW w:w="80" w:type="dxa"/>
            <w:vAlign w:val="bottom"/>
            <w:shd w:val="clear" w:color="auto" w:fill="E5F1EE"/>
          </w:tcPr>
          <w:p>
            <w:pPr>
              <w:spacing w:after="0"/>
              <w:rPr>
                <w:sz w:val="13"/>
                <w:szCs w:val="13"/>
                <w:color w:val="auto"/>
              </w:rPr>
            </w:pPr>
          </w:p>
        </w:tc>
        <w:tc>
          <w:tcPr>
            <w:tcW w:w="130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Yield on average earning assets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5.82 %</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5.62 %</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Cost of interest-bearing liabilities</w:t>
            </w: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3.22</w:t>
            </w:r>
          </w:p>
        </w:tc>
        <w:tc>
          <w:tcPr>
            <w:tcW w:w="8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3.26</w:t>
            </w:r>
          </w:p>
        </w:tc>
        <w:tc>
          <w:tcPr>
            <w:tcW w:w="80" w:type="dxa"/>
            <w:vAlign w:val="bottom"/>
            <w:shd w:val="clear" w:color="auto" w:fill="E5F1EE"/>
          </w:tcPr>
          <w:p>
            <w:pPr>
              <w:spacing w:after="0"/>
              <w:rPr>
                <w:sz w:val="13"/>
                <w:szCs w:val="13"/>
                <w:color w:val="auto"/>
              </w:rPr>
            </w:pPr>
          </w:p>
        </w:tc>
        <w:tc>
          <w:tcPr>
            <w:tcW w:w="130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2.83</w:t>
            </w:r>
          </w:p>
        </w:tc>
        <w:tc>
          <w:tcPr>
            <w:tcW w:w="80" w:type="dxa"/>
            <w:vAlign w:val="bottom"/>
            <w:shd w:val="clear" w:color="auto" w:fill="E5F1EE"/>
          </w:tcPr>
          <w:p>
            <w:pPr>
              <w:spacing w:after="0"/>
              <w:rPr>
                <w:sz w:val="13"/>
                <w:szCs w:val="13"/>
                <w:color w:val="auto"/>
              </w:rPr>
            </w:pPr>
          </w:p>
        </w:tc>
        <w:tc>
          <w:tcPr>
            <w:tcW w:w="130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tcPr>
          <w:p>
            <w:pPr>
              <w:spacing w:after="0"/>
              <w:rPr>
                <w:sz w:val="20"/>
                <w:szCs w:val="20"/>
                <w:color w:val="auto"/>
              </w:rPr>
            </w:pPr>
            <w:r>
              <w:rPr>
                <w:rFonts w:ascii="Times New Roman" w:cs="Times New Roman" w:eastAsia="Times New Roman" w:hAnsi="Times New Roman"/>
                <w:sz w:val="12"/>
                <w:szCs w:val="12"/>
                <w:color w:val="auto"/>
              </w:rPr>
              <w:t>Net interest spread</w:t>
            </w:r>
          </w:p>
        </w:tc>
        <w:tc>
          <w:tcPr>
            <w:tcW w:w="30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2.56</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interest margin</w:t>
            </w: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0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3.59</w:t>
            </w:r>
          </w:p>
        </w:tc>
        <w:tc>
          <w:tcPr>
            <w:tcW w:w="80" w:type="dxa"/>
            <w:vAlign w:val="bottom"/>
            <w:shd w:val="clear" w:color="auto" w:fill="E5F1EE"/>
          </w:tcPr>
          <w:p>
            <w:pPr>
              <w:spacing w:after="0"/>
              <w:rPr>
                <w:sz w:val="13"/>
                <w:szCs w:val="13"/>
                <w:color w:val="auto"/>
              </w:rPr>
            </w:pPr>
          </w:p>
        </w:tc>
        <w:tc>
          <w:tcPr>
            <w:tcW w:w="130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3.79</w:t>
            </w:r>
          </w:p>
        </w:tc>
        <w:tc>
          <w:tcPr>
            <w:tcW w:w="80" w:type="dxa"/>
            <w:vAlign w:val="bottom"/>
            <w:shd w:val="clear" w:color="auto" w:fill="E5F1EE"/>
          </w:tcPr>
          <w:p>
            <w:pPr>
              <w:spacing w:after="0"/>
              <w:rPr>
                <w:sz w:val="13"/>
                <w:szCs w:val="13"/>
                <w:color w:val="auto"/>
              </w:rPr>
            </w:pPr>
          </w:p>
        </w:tc>
        <w:tc>
          <w:tcPr>
            <w:tcW w:w="130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Taxable-equivalent net interest income increased $8 million, or 1%, from the second quarter of 2024.</w:t>
      </w:r>
    </w:p>
    <w:p>
      <w:pPr>
        <w:spacing w:after="0" w:line="27" w:lineRule="exact"/>
        <w:rPr>
          <w:sz w:val="20"/>
          <w:szCs w:val="20"/>
          <w:color w:val="auto"/>
        </w:rPr>
      </w:pPr>
    </w:p>
    <w:p>
      <w:pPr>
        <w:ind w:left="588" w:hanging="295"/>
        <w:spacing w:after="0"/>
        <w:tabs>
          <w:tab w:leader="none" w:pos="58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and leases increased $163 million and the yield on those loans and leases was unchanged.</w:t>
      </w:r>
    </w:p>
    <w:p>
      <w:pPr>
        <w:spacing w:after="0" w:line="19" w:lineRule="exact"/>
        <w:rPr>
          <w:rFonts w:ascii="Times New Roman" w:cs="Times New Roman" w:eastAsia="Times New Roman" w:hAnsi="Times New Roman"/>
          <w:sz w:val="14"/>
          <w:szCs w:val="14"/>
          <w:color w:val="auto"/>
        </w:rPr>
      </w:pPr>
    </w:p>
    <w:p>
      <w:pPr>
        <w:ind w:left="588" w:hanging="295"/>
        <w:spacing w:after="0"/>
        <w:tabs>
          <w:tab w:leader="none" w:pos="58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investment securities increased $1.3 billion and the rates earned on those securities increased 9 basis points.</w:t>
      </w:r>
    </w:p>
    <w:p>
      <w:pPr>
        <w:spacing w:after="0" w:line="19" w:lineRule="exact"/>
        <w:rPr>
          <w:rFonts w:ascii="Times New Roman" w:cs="Times New Roman" w:eastAsia="Times New Roman" w:hAnsi="Times New Roman"/>
          <w:sz w:val="14"/>
          <w:szCs w:val="14"/>
          <w:color w:val="auto"/>
        </w:rPr>
      </w:pPr>
    </w:p>
    <w:p>
      <w:pPr>
        <w:ind w:left="588" w:right="460" w:hanging="295"/>
        <w:spacing w:after="0" w:line="241" w:lineRule="auto"/>
        <w:tabs>
          <w:tab w:leader="none" w:pos="58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interest-bearing deposits decreased $410 million and the rates paid on such deposits declined 2 basis points. Average brokered deposits declined $1.1 billion in the recent quarter.</w:t>
      </w:r>
    </w:p>
    <w:p>
      <w:pPr>
        <w:ind w:left="588" w:hanging="295"/>
        <w:spacing w:after="0"/>
        <w:tabs>
          <w:tab w:leader="none" w:pos="58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borrowings declined $1.0 billion and the rates paid on such borrowings were flat.</w:t>
      </w:r>
    </w:p>
    <w:p>
      <w:pPr>
        <w:spacing w:after="0" w:line="19" w:lineRule="exact"/>
        <w:rPr>
          <w:rFonts w:ascii="Times New Roman" w:cs="Times New Roman" w:eastAsia="Times New Roman" w:hAnsi="Times New Roman"/>
          <w:sz w:val="14"/>
          <w:szCs w:val="14"/>
          <w:color w:val="auto"/>
        </w:rPr>
      </w:pPr>
    </w:p>
    <w:p>
      <w:pPr>
        <w:ind w:left="588" w:hanging="295"/>
        <w:spacing w:after="0"/>
        <w:tabs>
          <w:tab w:leader="none" w:pos="58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interest-bearing deposits at banks decreased $3.8 billion.</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Taxable-equivalent net interest income decreased $51 million, or 3%, compared with the year-earlier third quarter.</w:t>
      </w:r>
    </w:p>
    <w:p>
      <w:pPr>
        <w:spacing w:after="0" w:line="27" w:lineRule="exact"/>
        <w:rPr>
          <w:sz w:val="20"/>
          <w:szCs w:val="20"/>
          <w:color w:val="auto"/>
        </w:rPr>
      </w:pPr>
    </w:p>
    <w:p>
      <w:pPr>
        <w:ind w:left="588" w:hanging="295"/>
        <w:spacing w:after="0"/>
        <w:tabs>
          <w:tab w:leader="none" w:pos="58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interest-bearing deposits rose $6.5 billion and the rates paid on those deposits increased 34 basis points. Average brokered deposits declined $2.0 billion.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332" w:right="299" w:bottom="1440" w:gutter="0" w:footer="0" w:header="0"/>
        </w:sectPr>
      </w:pPr>
    </w:p>
    <w:bookmarkStart w:id="5" w:name="page6"/>
    <w:bookmarkEnd w:id="5"/>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borrowings increased $2.8 billion and rates paid on such borrowings increased 40 basis points.</w:t>
      </w:r>
    </w:p>
    <w:p>
      <w:pPr>
        <w:spacing w:after="0" w:line="27"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 bearing deposits at banks decreased $1.2 billion.</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investment securities and average loans and leases increased $3.0 billion and $2.1 billion, respectively.</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yields earned on average investment securities and average loans and leases increased 56 basis points and 19 basis points, respectively.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FFFFFF"/>
        </w:rPr>
        <w:t>Average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5518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Change 3Q24 vs.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Change 3Q24 vs.</w:t>
            </w:r>
          </w:p>
        </w:tc>
        <w:tc>
          <w:tcPr>
            <w:tcW w:w="0" w:type="dxa"/>
            <w:vAlign w:val="bottom"/>
          </w:tcPr>
          <w:p>
            <w:pPr>
              <w:spacing w:after="0"/>
              <w:rPr>
                <w:sz w:val="1"/>
                <w:szCs w:val="1"/>
                <w:color w:val="auto"/>
              </w:rPr>
            </w:pPr>
          </w:p>
        </w:tc>
      </w:tr>
      <w:tr>
        <w:trPr>
          <w:trHeight w:val="155"/>
        </w:trPr>
        <w:tc>
          <w:tcPr>
            <w:tcW w:w="4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3Q24</w:t>
            </w:r>
          </w:p>
        </w:tc>
        <w:tc>
          <w:tcPr>
            <w:tcW w:w="240" w:type="dxa"/>
            <w:vAlign w:val="bottom"/>
          </w:tcPr>
          <w:p>
            <w:pPr>
              <w:spacing w:after="0"/>
              <w:rPr>
                <w:sz w:val="13"/>
                <w:szCs w:val="13"/>
                <w:color w:val="auto"/>
              </w:rPr>
            </w:pP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2Q24</w:t>
            </w:r>
          </w:p>
        </w:tc>
        <w:tc>
          <w:tcPr>
            <w:tcW w:w="24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2Q24</w:t>
            </w:r>
          </w:p>
        </w:tc>
        <w:tc>
          <w:tcPr>
            <w:tcW w:w="260" w:type="dxa"/>
            <w:vAlign w:val="bottom"/>
          </w:tcPr>
          <w:p>
            <w:pPr>
              <w:spacing w:after="0"/>
              <w:rPr>
                <w:sz w:val="13"/>
                <w:szCs w:val="13"/>
                <w:color w:val="auto"/>
              </w:rPr>
            </w:pPr>
          </w:p>
        </w:tc>
        <w:tc>
          <w:tcPr>
            <w:tcW w:w="8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3Q23</w:t>
            </w:r>
          </w:p>
        </w:tc>
        <w:tc>
          <w:tcPr>
            <w:tcW w:w="240" w:type="dxa"/>
            <w:vAlign w:val="bottom"/>
          </w:tcPr>
          <w:p>
            <w:pPr>
              <w:spacing w:after="0"/>
              <w:rPr>
                <w:sz w:val="13"/>
                <w:szCs w:val="13"/>
                <w:color w:val="auto"/>
              </w:rPr>
            </w:pPr>
          </w:p>
        </w:tc>
        <w:tc>
          <w:tcPr>
            <w:tcW w:w="1180" w:type="dxa"/>
            <w:vAlign w:val="bottom"/>
          </w:tcPr>
          <w:p>
            <w:pPr>
              <w:jc w:val="right"/>
              <w:ind w:right="400"/>
              <w:spacing w:after="0"/>
              <w:rPr>
                <w:sz w:val="20"/>
                <w:szCs w:val="20"/>
                <w:color w:val="auto"/>
              </w:rPr>
            </w:pPr>
            <w:r>
              <w:rPr>
                <w:rFonts w:ascii="Times New Roman" w:cs="Times New Roman" w:eastAsia="Times New Roman" w:hAnsi="Times New Roman"/>
                <w:sz w:val="12"/>
                <w:szCs w:val="12"/>
                <w:color w:val="auto"/>
              </w:rPr>
              <w:t>3Q23</w:t>
            </w:r>
          </w:p>
        </w:tc>
        <w:tc>
          <w:tcPr>
            <w:tcW w:w="0" w:type="dxa"/>
            <w:vAlign w:val="bottom"/>
          </w:tcPr>
          <w:p>
            <w:pPr>
              <w:spacing w:after="0"/>
              <w:rPr>
                <w:sz w:val="1"/>
                <w:szCs w:val="1"/>
                <w:color w:val="auto"/>
              </w:rPr>
            </w:pPr>
          </w:p>
        </w:tc>
      </w:tr>
      <w:tr>
        <w:trPr>
          <w:trHeight w:val="142"/>
        </w:trPr>
        <w:tc>
          <w:tcPr>
            <w:tcW w:w="468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Interest-bearing deposits at banks</w:t>
            </w:r>
          </w:p>
        </w:tc>
        <w:tc>
          <w:tcPr>
            <w:tcW w:w="24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25,491</w:t>
            </w:r>
          </w:p>
        </w:tc>
        <w:tc>
          <w:tcPr>
            <w:tcW w:w="240" w:type="dxa"/>
            <w:vAlign w:val="bottom"/>
            <w:tcBorders>
              <w:top w:val="single" w:sz="8" w:color="E5F1EE"/>
            </w:tcBorders>
            <w:shd w:val="clear" w:color="auto" w:fill="E5F1EE"/>
          </w:tcPr>
          <w:p>
            <w:pPr>
              <w:spacing w:after="0"/>
              <w:rPr>
                <w:sz w:val="12"/>
                <w:szCs w:val="12"/>
                <w:color w:val="auto"/>
              </w:rPr>
            </w:pPr>
          </w:p>
        </w:tc>
        <w:tc>
          <w:tcPr>
            <w:tcW w:w="24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29,294</w:t>
            </w:r>
          </w:p>
        </w:tc>
        <w:tc>
          <w:tcPr>
            <w:tcW w:w="240" w:type="dxa"/>
            <w:vAlign w:val="bottom"/>
            <w:tcBorders>
              <w:top w:val="single" w:sz="8" w:color="E5F1EE"/>
            </w:tcBorders>
            <w:shd w:val="clear" w:color="auto" w:fill="E5F1EE"/>
          </w:tcPr>
          <w:p>
            <w:pPr>
              <w:spacing w:after="0"/>
              <w:rPr>
                <w:sz w:val="12"/>
                <w:szCs w:val="12"/>
                <w:color w:val="auto"/>
              </w:rPr>
            </w:pPr>
          </w:p>
        </w:tc>
        <w:tc>
          <w:tcPr>
            <w:tcW w:w="11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-13 %</w:t>
            </w:r>
          </w:p>
        </w:tc>
        <w:tc>
          <w:tcPr>
            <w:tcW w:w="240" w:type="dxa"/>
            <w:vAlign w:val="bottom"/>
            <w:tcBorders>
              <w:top w:val="single" w:sz="8" w:color="E5F1EE"/>
            </w:tcBorders>
            <w:shd w:val="clear" w:color="auto" w:fill="E5F1EE"/>
          </w:tcPr>
          <w:p>
            <w:pPr>
              <w:spacing w:after="0"/>
              <w:rPr>
                <w:sz w:val="12"/>
                <w:szCs w:val="12"/>
                <w:color w:val="auto"/>
              </w:rPr>
            </w:pPr>
          </w:p>
        </w:tc>
        <w:tc>
          <w:tcPr>
            <w:tcW w:w="260" w:type="dxa"/>
            <w:vAlign w:val="bottom"/>
            <w:tcBorders>
              <w:top w:val="single" w:sz="8" w:color="auto"/>
            </w:tcBorders>
            <w:shd w:val="clear" w:color="auto" w:fill="E5F1EE"/>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26,657</w:t>
            </w:r>
          </w:p>
        </w:tc>
        <w:tc>
          <w:tcPr>
            <w:tcW w:w="240" w:type="dxa"/>
            <w:vAlign w:val="bottom"/>
            <w:tcBorders>
              <w:top w:val="single" w:sz="8" w:color="E5F1EE"/>
            </w:tcBorders>
            <w:shd w:val="clear" w:color="auto" w:fill="E5F1EE"/>
          </w:tcPr>
          <w:p>
            <w:pPr>
              <w:spacing w:after="0"/>
              <w:rPr>
                <w:sz w:val="12"/>
                <w:szCs w:val="12"/>
                <w:color w:val="auto"/>
              </w:rPr>
            </w:pPr>
          </w:p>
        </w:tc>
        <w:tc>
          <w:tcPr>
            <w:tcW w:w="11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Trading account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53"/>
        </w:trPr>
        <w:tc>
          <w:tcPr>
            <w:tcW w:w="46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Investment securities</w:t>
            </w:r>
          </w:p>
        </w:tc>
        <w:tc>
          <w:tcPr>
            <w:tcW w:w="24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31,023</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29,695</w:t>
            </w:r>
          </w:p>
        </w:tc>
        <w:tc>
          <w:tcPr>
            <w:tcW w:w="142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27,993</w:t>
            </w:r>
          </w:p>
        </w:tc>
        <w:tc>
          <w:tcPr>
            <w:tcW w:w="142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3"/>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Loans and leases, net of unearned discount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80" w:type="dxa"/>
            <w:vAlign w:val="bottom"/>
            <w:shd w:val="clear" w:color="auto" w:fill="E5F1EE"/>
          </w:tcPr>
          <w:p>
            <w:pPr>
              <w:ind w:left="8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4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59,779</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58,152</w:t>
            </w:r>
          </w:p>
        </w:tc>
        <w:tc>
          <w:tcPr>
            <w:tcW w:w="142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E5F1EE"/>
          </w:tcPr>
          <w:p>
            <w:pPr>
              <w:spacing w:after="0"/>
              <w:rPr>
                <w:sz w:val="13"/>
                <w:szCs w:val="13"/>
                <w:color w:val="auto"/>
              </w:rPr>
            </w:pPr>
          </w:p>
        </w:tc>
        <w:tc>
          <w:tcPr>
            <w:tcW w:w="26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54,567</w:t>
            </w:r>
          </w:p>
        </w:tc>
        <w:tc>
          <w:tcPr>
            <w:tcW w:w="142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3"/>
        </w:trPr>
        <w:tc>
          <w:tcPr>
            <w:tcW w:w="46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Real estate - commercial</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29,075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31,458</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34,288</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53"/>
        </w:trPr>
        <w:tc>
          <w:tcPr>
            <w:tcW w:w="4680" w:type="dxa"/>
            <w:vAlign w:val="bottom"/>
            <w:shd w:val="clear" w:color="auto" w:fill="E5F1EE"/>
          </w:tcPr>
          <w:p>
            <w:pPr>
              <w:ind w:left="80"/>
              <w:spacing w:after="0"/>
              <w:rPr>
                <w:sz w:val="20"/>
                <w:szCs w:val="20"/>
                <w:color w:val="auto"/>
              </w:rPr>
            </w:pPr>
            <w:r>
              <w:rPr>
                <w:rFonts w:ascii="Times New Roman" w:cs="Times New Roman" w:eastAsia="Times New Roman" w:hAnsi="Times New Roman"/>
                <w:sz w:val="12"/>
                <w:szCs w:val="12"/>
                <w:color w:val="auto"/>
              </w:rPr>
              <w:t>Real estate - consumer</w:t>
            </w:r>
          </w:p>
        </w:tc>
        <w:tc>
          <w:tcPr>
            <w:tcW w:w="24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22,994</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23,006</w:t>
            </w:r>
          </w:p>
        </w:tc>
        <w:tc>
          <w:tcPr>
            <w:tcW w:w="240" w:type="dxa"/>
            <w:vAlign w:val="bottom"/>
            <w:shd w:val="clear" w:color="auto" w:fill="E5F1EE"/>
          </w:tcPr>
          <w:p>
            <w:pPr>
              <w:spacing w:after="0"/>
              <w:rPr>
                <w:sz w:val="13"/>
                <w:szCs w:val="13"/>
                <w:color w:val="auto"/>
              </w:rPr>
            </w:pPr>
          </w:p>
        </w:tc>
        <w:tc>
          <w:tcPr>
            <w:tcW w:w="1420" w:type="dxa"/>
            <w:vAlign w:val="bottom"/>
            <w:gridSpan w:val="2"/>
            <w:shd w:val="clear" w:color="auto" w:fill="E5F1EE"/>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E5F1EE"/>
          </w:tcPr>
          <w:p>
            <w:pPr>
              <w:spacing w:after="0"/>
              <w:rPr>
                <w:sz w:val="13"/>
                <w:szCs w:val="13"/>
                <w:color w:val="auto"/>
              </w:rPr>
            </w:pPr>
          </w:p>
        </w:tc>
        <w:tc>
          <w:tcPr>
            <w:tcW w:w="8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23,573</w:t>
            </w:r>
          </w:p>
        </w:tc>
        <w:tc>
          <w:tcPr>
            <w:tcW w:w="142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3"/>
        </w:trPr>
        <w:tc>
          <w:tcPr>
            <w:tcW w:w="4680" w:type="dxa"/>
            <w:vAlign w:val="bottom"/>
            <w:tcBorders>
              <w:bottom w:val="single" w:sz="8" w:color="E5F1EE"/>
            </w:tcBorders>
          </w:tcPr>
          <w:p>
            <w:pPr>
              <w:ind w:left="80"/>
              <w:spacing w:after="0"/>
              <w:rPr>
                <w:sz w:val="20"/>
                <w:szCs w:val="20"/>
                <w:color w:val="auto"/>
              </w:rPr>
            </w:pPr>
            <w:r>
              <w:rPr>
                <w:rFonts w:ascii="Times New Roman" w:cs="Times New Roman" w:eastAsia="Times New Roman" w:hAnsi="Times New Roman"/>
                <w:sz w:val="12"/>
                <w:szCs w:val="12"/>
                <w:color w:val="auto"/>
              </w:rPr>
              <w:t>Consumer</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22,903</w:t>
            </w:r>
          </w:p>
        </w:tc>
        <w:tc>
          <w:tcPr>
            <w:tcW w:w="24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21,972</w:t>
            </w:r>
          </w:p>
        </w:tc>
        <w:tc>
          <w:tcPr>
            <w:tcW w:w="1420" w:type="dxa"/>
            <w:vAlign w:val="bottom"/>
            <w:tcBorders>
              <w:bottom w:val="single" w:sz="8" w:color="E5F1EE"/>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Borders>
              <w:bottom w:val="single" w:sz="8" w:color="E5F1EE"/>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20,189</w:t>
            </w:r>
          </w:p>
        </w:tc>
        <w:tc>
          <w:tcPr>
            <w:tcW w:w="1420" w:type="dxa"/>
            <w:vAlign w:val="bottom"/>
            <w:tcBorders>
              <w:bottom w:val="single" w:sz="8" w:color="E5F1EE"/>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2"/>
        </w:trPr>
        <w:tc>
          <w:tcPr>
            <w:tcW w:w="46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loans and leases, net</w:t>
            </w:r>
          </w:p>
        </w:tc>
        <w:tc>
          <w:tcPr>
            <w:tcW w:w="240" w:type="dxa"/>
            <w:vAlign w:val="bottom"/>
            <w:tcBorders>
              <w:bottom w:val="single" w:sz="8" w:color="auto"/>
            </w:tcBorders>
            <w:shd w:val="clear" w:color="auto" w:fill="E5F1EE"/>
          </w:tcPr>
          <w:p>
            <w:pPr>
              <w:spacing w:after="0"/>
              <w:rPr>
                <w:sz w:val="12"/>
                <w:szCs w:val="12"/>
                <w:color w:val="auto"/>
              </w:rPr>
            </w:pPr>
          </w:p>
        </w:tc>
        <w:tc>
          <w:tcPr>
            <w:tcW w:w="8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134,751</w:t>
            </w:r>
          </w:p>
        </w:tc>
        <w:tc>
          <w:tcPr>
            <w:tcW w:w="240" w:type="dxa"/>
            <w:vAlign w:val="bottom"/>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8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134,588</w:t>
            </w:r>
          </w:p>
        </w:tc>
        <w:tc>
          <w:tcPr>
            <w:tcW w:w="240" w:type="dxa"/>
            <w:vAlign w:val="bottom"/>
            <w:shd w:val="clear" w:color="auto" w:fill="E5F1EE"/>
          </w:tcPr>
          <w:p>
            <w:pPr>
              <w:spacing w:after="0"/>
              <w:rPr>
                <w:sz w:val="12"/>
                <w:szCs w:val="12"/>
                <w:color w:val="auto"/>
              </w:rPr>
            </w:pPr>
          </w:p>
        </w:tc>
        <w:tc>
          <w:tcPr>
            <w:tcW w:w="1420" w:type="dxa"/>
            <w:vAlign w:val="bottom"/>
            <w:gridSpan w:val="2"/>
            <w:shd w:val="clear" w:color="auto" w:fill="E5F1EE"/>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E5F1EE"/>
          </w:tcPr>
          <w:p>
            <w:pPr>
              <w:spacing w:after="0"/>
              <w:rPr>
                <w:sz w:val="12"/>
                <w:szCs w:val="12"/>
                <w:color w:val="auto"/>
              </w:rPr>
            </w:pPr>
          </w:p>
        </w:tc>
        <w:tc>
          <w:tcPr>
            <w:tcW w:w="84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132,617</w:t>
            </w:r>
          </w:p>
        </w:tc>
        <w:tc>
          <w:tcPr>
            <w:tcW w:w="142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20"/>
                <w:szCs w:val="20"/>
                <w:color w:val="auto"/>
              </w:rPr>
            </w:pPr>
            <w:r>
              <w:rPr>
                <w:rFonts w:ascii="Times New Roman" w:cs="Times New Roman" w:eastAsia="Times New Roman" w:hAnsi="Times New Roman"/>
                <w:sz w:val="12"/>
                <w:szCs w:val="12"/>
                <w:color w:val="auto"/>
              </w:rPr>
              <w:t>Total earning assets</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191,366</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193,676</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187,403</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earning assets decreased $2.3 billion, or 1%, from the second quarter of 2024.</w:t>
      </w:r>
    </w:p>
    <w:p>
      <w:pPr>
        <w:spacing w:after="0" w:line="28" w:lineRule="exact"/>
        <w:rPr>
          <w:sz w:val="20"/>
          <w:szCs w:val="20"/>
          <w:color w:val="auto"/>
        </w:rPr>
      </w:pPr>
    </w:p>
    <w:p>
      <w:pPr>
        <w:ind w:left="580" w:hanging="295"/>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interest-bearing deposits at banks decreased $3.8 billion reflecting purchases of investment securities and the run-off of brokered time deposits and short-term FHLB advances.</w:t>
      </w:r>
    </w:p>
    <w:p>
      <w:pPr>
        <w:spacing w:after="0" w:line="27"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investment securities increased $1.3 billion primarily due to purchases of fixed rate agency mortgage-backed and U.S. Treasury securities during the third quarter of 2024.</w:t>
      </w:r>
    </w:p>
    <w:p>
      <w:pPr>
        <w:spacing w:after="0" w:line="19" w:lineRule="exact"/>
        <w:rPr>
          <w:rFonts w:ascii="Times New Roman" w:cs="Times New Roman" w:eastAsia="Times New Roman" w:hAnsi="Times New Roman"/>
          <w:sz w:val="14"/>
          <w:szCs w:val="14"/>
          <w:color w:val="auto"/>
        </w:rPr>
      </w:pPr>
    </w:p>
    <w:p>
      <w:pPr>
        <w:ind w:left="580" w:hanging="295"/>
        <w:spacing w:after="0" w:line="243" w:lineRule="auto"/>
        <w:tabs>
          <w:tab w:leader="none" w:pos="579"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and leases increased $163 million primarily reflective of growth in average commercial and industrial loans and leases of $1.6 billion and consumer loans of $931 million, partially offset by a decline in average commercial real estate loans of $2.4 billion. The growth in commercial and industrial loans spanned most industry types.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earning assets increased $4.0 billion, or 2%, from the year-earlier third quarter.</w:t>
      </w:r>
    </w:p>
    <w:p>
      <w:pPr>
        <w:spacing w:after="0" w:line="64" w:lineRule="exact"/>
        <w:rPr>
          <w:sz w:val="20"/>
          <w:szCs w:val="20"/>
          <w:color w:val="auto"/>
        </w:rPr>
      </w:pPr>
    </w:p>
    <w:p>
      <w:pPr>
        <w:ind w:left="580" w:right="140" w:hanging="295"/>
        <w:spacing w:after="0" w:line="247" w:lineRule="auto"/>
        <w:tabs>
          <w:tab w:leader="none" w:pos="57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interest-bearing deposits at banks decreased $1.2 billion reflecting purchases of investment securities, loan growth and a decline in average deposits, partially offset by higher levels of average borrowings.</w:t>
      </w:r>
    </w:p>
    <w:p>
      <w:pPr>
        <w:ind w:left="580" w:hanging="295"/>
        <w:spacing w:after="0"/>
        <w:tabs>
          <w:tab w:leader="none" w:pos="5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investment securities increased $3.0 billion reflecting purchases of fixed rate agency mortgage-backed and U.S. Treasury securities over the past nine months.</w:t>
      </w:r>
    </w:p>
    <w:p>
      <w:pPr>
        <w:spacing w:after="0" w:line="19" w:lineRule="exact"/>
        <w:rPr>
          <w:rFonts w:ascii="Times New Roman" w:cs="Times New Roman" w:eastAsia="Times New Roman" w:hAnsi="Times New Roman"/>
          <w:sz w:val="14"/>
          <w:szCs w:val="14"/>
          <w:color w:val="auto"/>
        </w:rPr>
      </w:pPr>
    </w:p>
    <w:p>
      <w:pPr>
        <w:ind w:left="580" w:right="100" w:hanging="295"/>
        <w:spacing w:after="0" w:line="232" w:lineRule="auto"/>
        <w:tabs>
          <w:tab w:leader="none" w:pos="57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loans and leases increased $2.1 billion predominantly due to higher average commercial and industrial loans and leases of $5.2 billion, reflecting lending activities to financial and insurance industry customers, motor vehicle and recreational finance dealers and to the services industry, and consumer loans of $2.7 billion reflecting higher average recreational finance and automobile loans, partially offset by a $5.2 billion and a $579 million decline in average commercial real estate loans and residential real estate loans,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33"/>
        </w:trPr>
        <w:tc>
          <w:tcPr>
            <w:tcW w:w="3980" w:type="dxa"/>
            <w:vAlign w:val="bottom"/>
            <w:shd w:val="clear" w:color="auto" w:fill="007856"/>
          </w:tcPr>
          <w:p>
            <w:pPr>
              <w:spacing w:after="0"/>
              <w:rPr>
                <w:sz w:val="24"/>
                <w:szCs w:val="24"/>
                <w:color w:val="auto"/>
              </w:rPr>
            </w:pPr>
          </w:p>
        </w:tc>
        <w:tc>
          <w:tcPr>
            <w:tcW w:w="300" w:type="dxa"/>
            <w:vAlign w:val="bottom"/>
            <w:shd w:val="clear" w:color="auto" w:fill="007856"/>
          </w:tcPr>
          <w:p>
            <w:pPr>
              <w:spacing w:after="0"/>
              <w:rPr>
                <w:sz w:val="24"/>
                <w:szCs w:val="24"/>
                <w:color w:val="auto"/>
              </w:rPr>
            </w:pPr>
          </w:p>
        </w:tc>
        <w:tc>
          <w:tcPr>
            <w:tcW w:w="100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300" w:type="dxa"/>
            <w:vAlign w:val="bottom"/>
            <w:shd w:val="clear" w:color="auto" w:fill="007856"/>
          </w:tcPr>
          <w:p>
            <w:pPr>
              <w:spacing w:after="0"/>
              <w:rPr>
                <w:sz w:val="24"/>
                <w:szCs w:val="24"/>
                <w:color w:val="auto"/>
              </w:rPr>
            </w:pPr>
          </w:p>
        </w:tc>
        <w:tc>
          <w:tcPr>
            <w:tcW w:w="100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122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300" w:type="dxa"/>
            <w:vAlign w:val="bottom"/>
            <w:shd w:val="clear" w:color="auto" w:fill="007856"/>
          </w:tcPr>
          <w:p>
            <w:pPr>
              <w:spacing w:after="0"/>
              <w:rPr>
                <w:sz w:val="24"/>
                <w:szCs w:val="24"/>
                <w:color w:val="auto"/>
              </w:rPr>
            </w:pPr>
          </w:p>
        </w:tc>
        <w:tc>
          <w:tcPr>
            <w:tcW w:w="960" w:type="dxa"/>
            <w:vAlign w:val="bottom"/>
            <w:shd w:val="clear" w:color="auto" w:fill="007856"/>
          </w:tcPr>
          <w:p>
            <w:pPr>
              <w:spacing w:after="0"/>
              <w:rPr>
                <w:sz w:val="24"/>
                <w:szCs w:val="24"/>
                <w:color w:val="auto"/>
              </w:rPr>
            </w:pPr>
          </w:p>
        </w:tc>
        <w:tc>
          <w:tcPr>
            <w:tcW w:w="1520" w:type="dxa"/>
            <w:vAlign w:val="bottom"/>
            <w:gridSpan w:val="3"/>
            <w:shd w:val="clear" w:color="auto" w:fill="007856"/>
          </w:tcPr>
          <w:p>
            <w:pPr>
              <w:jc w:val="right"/>
              <w:ind w:right="40"/>
              <w:spacing w:after="0"/>
              <w:rPr>
                <w:sz w:val="20"/>
                <w:szCs w:val="20"/>
                <w:color w:val="auto"/>
              </w:rPr>
            </w:pPr>
            <w:r>
              <w:rPr>
                <w:rFonts w:ascii="Times New Roman" w:cs="Times New Roman" w:eastAsia="Times New Roman" w:hAnsi="Times New Roman"/>
                <w:sz w:val="12"/>
                <w:szCs w:val="12"/>
                <w:b w:val="1"/>
                <w:bCs w:val="1"/>
                <w:color w:val="FFFFFF"/>
                <w:w w:val="98"/>
              </w:rPr>
              <w:t>Third Quarter 2024 Results</w:t>
            </w:r>
          </w:p>
        </w:tc>
        <w:tc>
          <w:tcPr>
            <w:tcW w:w="0" w:type="dxa"/>
            <w:vAlign w:val="bottom"/>
          </w:tcPr>
          <w:p>
            <w:pPr>
              <w:spacing w:after="0"/>
              <w:rPr>
                <w:sz w:val="1"/>
                <w:szCs w:val="1"/>
                <w:color w:val="auto"/>
              </w:rPr>
            </w:pPr>
          </w:p>
        </w:tc>
      </w:tr>
      <w:tr>
        <w:trPr>
          <w:trHeight w:val="621"/>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007856"/>
          </w:tcPr>
          <w:p>
            <w:pPr>
              <w:ind w:left="40"/>
              <w:spacing w:after="0"/>
              <w:rPr>
                <w:sz w:val="20"/>
                <w:szCs w:val="20"/>
                <w:color w:val="auto"/>
              </w:rPr>
            </w:pPr>
            <w:r>
              <w:rPr>
                <w:rFonts w:ascii="Times New Roman" w:cs="Times New Roman" w:eastAsia="Times New Roman" w:hAnsi="Times New Roman"/>
                <w:sz w:val="14"/>
                <w:szCs w:val="14"/>
                <w:b w:val="1"/>
                <w:bCs w:val="1"/>
                <w:color w:val="FFFFFF"/>
              </w:rPr>
              <w:t>Average Interest-bearing Liabilities</w:t>
            </w:r>
          </w:p>
        </w:tc>
        <w:tc>
          <w:tcPr>
            <w:tcW w:w="300" w:type="dxa"/>
            <w:vAlign w:val="bottom"/>
            <w:shd w:val="clear" w:color="auto" w:fill="007856"/>
          </w:tcPr>
          <w:p>
            <w:pPr>
              <w:spacing w:after="0"/>
              <w:rPr>
                <w:sz w:val="15"/>
                <w:szCs w:val="15"/>
                <w:color w:val="auto"/>
              </w:rPr>
            </w:pPr>
          </w:p>
        </w:tc>
        <w:tc>
          <w:tcPr>
            <w:tcW w:w="100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300" w:type="dxa"/>
            <w:vAlign w:val="bottom"/>
            <w:shd w:val="clear" w:color="auto" w:fill="007856"/>
          </w:tcPr>
          <w:p>
            <w:pPr>
              <w:spacing w:after="0"/>
              <w:rPr>
                <w:sz w:val="15"/>
                <w:szCs w:val="15"/>
                <w:color w:val="auto"/>
              </w:rPr>
            </w:pPr>
          </w:p>
        </w:tc>
        <w:tc>
          <w:tcPr>
            <w:tcW w:w="100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122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300" w:type="dxa"/>
            <w:vAlign w:val="bottom"/>
            <w:shd w:val="clear" w:color="auto" w:fill="007856"/>
          </w:tcPr>
          <w:p>
            <w:pPr>
              <w:spacing w:after="0"/>
              <w:rPr>
                <w:sz w:val="15"/>
                <w:szCs w:val="15"/>
                <w:color w:val="auto"/>
              </w:rPr>
            </w:pPr>
          </w:p>
        </w:tc>
        <w:tc>
          <w:tcPr>
            <w:tcW w:w="960" w:type="dxa"/>
            <w:vAlign w:val="bottom"/>
            <w:shd w:val="clear" w:color="auto" w:fill="007856"/>
          </w:tcPr>
          <w:p>
            <w:pPr>
              <w:spacing w:after="0"/>
              <w:rPr>
                <w:sz w:val="15"/>
                <w:szCs w:val="15"/>
                <w:color w:val="auto"/>
              </w:rPr>
            </w:pPr>
          </w:p>
        </w:tc>
        <w:tc>
          <w:tcPr>
            <w:tcW w:w="4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1240" w:type="dxa"/>
            <w:vAlign w:val="bottom"/>
            <w:shd w:val="clear" w:color="auto" w:fill="007856"/>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39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Change 3Q24 vs.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Change 3Q24 vs.</w:t>
            </w:r>
          </w:p>
        </w:tc>
        <w:tc>
          <w:tcPr>
            <w:tcW w:w="0" w:type="dxa"/>
            <w:vAlign w:val="bottom"/>
          </w:tcPr>
          <w:p>
            <w:pPr>
              <w:spacing w:after="0"/>
              <w:rPr>
                <w:sz w:val="1"/>
                <w:szCs w:val="1"/>
                <w:color w:val="auto"/>
              </w:rPr>
            </w:pPr>
          </w:p>
        </w:tc>
      </w:tr>
      <w:tr>
        <w:trPr>
          <w:trHeight w:val="155"/>
        </w:trPr>
        <w:tc>
          <w:tcPr>
            <w:tcW w:w="39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3Q24</w:t>
            </w:r>
          </w:p>
        </w:tc>
        <w:tc>
          <w:tcPr>
            <w:tcW w:w="300" w:type="dxa"/>
            <w:vAlign w:val="bottom"/>
          </w:tcPr>
          <w:p>
            <w:pPr>
              <w:spacing w:after="0"/>
              <w:rPr>
                <w:sz w:val="13"/>
                <w:szCs w:val="13"/>
                <w:color w:val="auto"/>
              </w:rPr>
            </w:pPr>
          </w:p>
        </w:tc>
        <w:tc>
          <w:tcPr>
            <w:tcW w:w="100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2Q24</w:t>
            </w:r>
          </w:p>
        </w:tc>
        <w:tc>
          <w:tcPr>
            <w:tcW w:w="2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2Q24</w:t>
            </w:r>
          </w:p>
        </w:tc>
        <w:tc>
          <w:tcPr>
            <w:tcW w:w="300" w:type="dxa"/>
            <w:vAlign w:val="bottom"/>
          </w:tcPr>
          <w:p>
            <w:pPr>
              <w:spacing w:after="0"/>
              <w:rPr>
                <w:sz w:val="13"/>
                <w:szCs w:val="13"/>
                <w:color w:val="auto"/>
              </w:rPr>
            </w:pPr>
          </w:p>
        </w:tc>
        <w:tc>
          <w:tcPr>
            <w:tcW w:w="9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3Q23</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3Q23</w:t>
            </w:r>
          </w:p>
        </w:tc>
        <w:tc>
          <w:tcPr>
            <w:tcW w:w="0" w:type="dxa"/>
            <w:vAlign w:val="bottom"/>
          </w:tcPr>
          <w:p>
            <w:pPr>
              <w:spacing w:after="0"/>
              <w:rPr>
                <w:sz w:val="1"/>
                <w:szCs w:val="1"/>
                <w:color w:val="auto"/>
              </w:rPr>
            </w:pPr>
          </w:p>
        </w:tc>
      </w:tr>
      <w:tr>
        <w:trPr>
          <w:trHeight w:val="133"/>
        </w:trPr>
        <w:tc>
          <w:tcPr>
            <w:tcW w:w="3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Interest-bearing deposits</w:t>
            </w: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80" w:type="dxa"/>
            <w:vAlign w:val="bottom"/>
            <w:shd w:val="clear" w:color="auto" w:fill="E5F1EE"/>
          </w:tcPr>
          <w:p>
            <w:pPr>
              <w:ind w:left="80"/>
              <w:spacing w:after="0"/>
              <w:rPr>
                <w:sz w:val="20"/>
                <w:szCs w:val="20"/>
                <w:color w:val="auto"/>
              </w:rPr>
            </w:pPr>
            <w:r>
              <w:rPr>
                <w:rFonts w:ascii="Times New Roman" w:cs="Times New Roman" w:eastAsia="Times New Roman" w:hAnsi="Times New Roman"/>
                <w:sz w:val="12"/>
                <w:szCs w:val="12"/>
                <w:color w:val="auto"/>
              </w:rPr>
              <w:t>Savings and interest-checking deposits</w:t>
            </w: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98,295</w:t>
            </w:r>
          </w:p>
        </w:tc>
        <w:tc>
          <w:tcPr>
            <w:tcW w:w="240" w:type="dxa"/>
            <w:vAlign w:val="bottom"/>
            <w:shd w:val="clear" w:color="auto" w:fill="E5F1EE"/>
          </w:tcPr>
          <w:p>
            <w:pPr>
              <w:spacing w:after="0"/>
              <w:rPr>
                <w:sz w:val="13"/>
                <w:szCs w:val="13"/>
                <w:color w:val="auto"/>
              </w:rPr>
            </w:pP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95,955</w:t>
            </w:r>
          </w:p>
        </w:tc>
        <w:tc>
          <w:tcPr>
            <w:tcW w:w="146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2 %</w:t>
            </w:r>
          </w:p>
        </w:tc>
        <w:tc>
          <w:tcPr>
            <w:tcW w:w="240" w:type="dxa"/>
            <w:vAlign w:val="bottom"/>
            <w:shd w:val="clear" w:color="auto" w:fill="E5F1EE"/>
          </w:tcPr>
          <w:p>
            <w:pPr>
              <w:spacing w:after="0"/>
              <w:rPr>
                <w:sz w:val="13"/>
                <w:szCs w:val="13"/>
                <w:color w:val="auto"/>
              </w:rPr>
            </w:pP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89,274</w:t>
            </w:r>
          </w:p>
        </w:tc>
        <w:tc>
          <w:tcPr>
            <w:tcW w:w="1520" w:type="dxa"/>
            <w:vAlign w:val="bottom"/>
            <w:gridSpan w:val="3"/>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10 %</w:t>
            </w:r>
          </w:p>
        </w:tc>
        <w:tc>
          <w:tcPr>
            <w:tcW w:w="0" w:type="dxa"/>
            <w:vAlign w:val="bottom"/>
          </w:tcPr>
          <w:p>
            <w:pPr>
              <w:spacing w:after="0"/>
              <w:rPr>
                <w:sz w:val="1"/>
                <w:szCs w:val="1"/>
                <w:color w:val="auto"/>
              </w:rPr>
            </w:pPr>
          </w:p>
        </w:tc>
      </w:tr>
      <w:tr>
        <w:trPr>
          <w:trHeight w:val="153"/>
        </w:trPr>
        <w:tc>
          <w:tcPr>
            <w:tcW w:w="3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Time deposits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17,052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19,802</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19,528</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42"/>
        </w:trPr>
        <w:tc>
          <w:tcPr>
            <w:tcW w:w="398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interest-bearing deposits</w:t>
            </w:r>
          </w:p>
        </w:tc>
        <w:tc>
          <w:tcPr>
            <w:tcW w:w="300" w:type="dxa"/>
            <w:vAlign w:val="bottom"/>
            <w:tcBorders>
              <w:top w:val="single" w:sz="8" w:color="auto"/>
            </w:tcBorders>
            <w:shd w:val="clear" w:color="auto" w:fill="E5F1EE"/>
          </w:tcPr>
          <w:p>
            <w:pPr>
              <w:spacing w:after="0"/>
              <w:rPr>
                <w:sz w:val="12"/>
                <w:szCs w:val="12"/>
                <w:color w:val="auto"/>
              </w:rPr>
            </w:pPr>
          </w:p>
        </w:tc>
        <w:tc>
          <w:tcPr>
            <w:tcW w:w="10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115,347</w:t>
            </w:r>
          </w:p>
        </w:tc>
        <w:tc>
          <w:tcPr>
            <w:tcW w:w="240" w:type="dxa"/>
            <w:vAlign w:val="bottom"/>
            <w:tcBorders>
              <w:top w:val="single" w:sz="8" w:color="E5F1EE"/>
            </w:tcBorders>
            <w:shd w:val="clear" w:color="auto" w:fill="E5F1EE"/>
          </w:tcPr>
          <w:p>
            <w:pPr>
              <w:spacing w:after="0"/>
              <w:rPr>
                <w:sz w:val="12"/>
                <w:szCs w:val="12"/>
                <w:color w:val="auto"/>
              </w:rPr>
            </w:pPr>
          </w:p>
        </w:tc>
        <w:tc>
          <w:tcPr>
            <w:tcW w:w="300" w:type="dxa"/>
            <w:vAlign w:val="bottom"/>
            <w:tcBorders>
              <w:top w:val="single" w:sz="8" w:color="auto"/>
            </w:tcBorders>
            <w:shd w:val="clear" w:color="auto" w:fill="E5F1EE"/>
          </w:tcPr>
          <w:p>
            <w:pPr>
              <w:spacing w:after="0"/>
              <w:rPr>
                <w:sz w:val="12"/>
                <w:szCs w:val="12"/>
                <w:color w:val="auto"/>
              </w:rPr>
            </w:pPr>
          </w:p>
        </w:tc>
        <w:tc>
          <w:tcPr>
            <w:tcW w:w="10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115,757</w:t>
            </w:r>
          </w:p>
        </w:tc>
        <w:tc>
          <w:tcPr>
            <w:tcW w:w="240" w:type="dxa"/>
            <w:vAlign w:val="bottom"/>
            <w:tcBorders>
              <w:top w:val="single" w:sz="8" w:color="E5F1EE"/>
            </w:tcBorders>
            <w:shd w:val="clear" w:color="auto" w:fill="E5F1EE"/>
          </w:tcPr>
          <w:p>
            <w:pPr>
              <w:spacing w:after="0"/>
              <w:rPr>
                <w:sz w:val="12"/>
                <w:szCs w:val="12"/>
                <w:color w:val="auto"/>
              </w:rPr>
            </w:pPr>
          </w:p>
        </w:tc>
        <w:tc>
          <w:tcPr>
            <w:tcW w:w="1460" w:type="dxa"/>
            <w:vAlign w:val="bottom"/>
            <w:tcBorders>
              <w:top w:val="single" w:sz="8" w:color="E5F1EE"/>
            </w:tcBorders>
            <w:gridSpan w:val="2"/>
            <w:shd w:val="clear" w:color="auto" w:fill="E5F1EE"/>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tcBorders>
            <w:shd w:val="clear" w:color="auto" w:fill="E5F1EE"/>
          </w:tcPr>
          <w:p>
            <w:pPr>
              <w:spacing w:after="0"/>
              <w:rPr>
                <w:sz w:val="12"/>
                <w:szCs w:val="12"/>
                <w:color w:val="auto"/>
              </w:rPr>
            </w:pPr>
          </w:p>
        </w:tc>
        <w:tc>
          <w:tcPr>
            <w:tcW w:w="96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108,802</w:t>
            </w:r>
          </w:p>
        </w:tc>
        <w:tc>
          <w:tcPr>
            <w:tcW w:w="40" w:type="dxa"/>
            <w:vAlign w:val="bottom"/>
            <w:tcBorders>
              <w:top w:val="single" w:sz="8" w:color="auto"/>
            </w:tcBorders>
            <w:shd w:val="clear" w:color="auto" w:fill="E5F1EE"/>
          </w:tcPr>
          <w:p>
            <w:pPr>
              <w:spacing w:after="0"/>
              <w:rPr>
                <w:sz w:val="12"/>
                <w:szCs w:val="12"/>
                <w:color w:val="auto"/>
              </w:rPr>
            </w:pPr>
          </w:p>
        </w:tc>
        <w:tc>
          <w:tcPr>
            <w:tcW w:w="1480" w:type="dxa"/>
            <w:vAlign w:val="bottom"/>
            <w:tcBorders>
              <w:top w:val="single" w:sz="8" w:color="E5F1EE"/>
            </w:tcBorders>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53"/>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4,962</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5,346</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3"/>
        </w:trPr>
        <w:tc>
          <w:tcPr>
            <w:tcW w:w="39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Long-term borrowings</w:t>
            </w: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11,394</w:t>
            </w:r>
          </w:p>
        </w:tc>
        <w:tc>
          <w:tcPr>
            <w:tcW w:w="24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11,490</w:t>
            </w:r>
          </w:p>
        </w:tc>
        <w:tc>
          <w:tcPr>
            <w:tcW w:w="146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40" w:type="dxa"/>
            <w:vAlign w:val="bottom"/>
            <w:tcBorders>
              <w:bottom w:val="single" w:sz="8" w:color="auto"/>
            </w:tcBorders>
            <w:shd w:val="clear" w:color="auto" w:fill="E5F1EE"/>
          </w:tcPr>
          <w:p>
            <w:pPr>
              <w:spacing w:after="0"/>
              <w:rPr>
                <w:sz w:val="13"/>
                <w:szCs w:val="13"/>
                <w:color w:val="auto"/>
              </w:rPr>
            </w:pPr>
          </w:p>
        </w:tc>
        <w:tc>
          <w:tcPr>
            <w:tcW w:w="1480" w:type="dxa"/>
            <w:vAlign w:val="bottom"/>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58"/>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Total interest-bearing liabilities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130,775</w:t>
            </w:r>
          </w:p>
        </w:tc>
        <w:tc>
          <w:tcPr>
            <w:tcW w:w="24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132,209</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121,388</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3"/>
        </w:trPr>
        <w:tc>
          <w:tcPr>
            <w:tcW w:w="3980" w:type="dxa"/>
            <w:vAlign w:val="bottom"/>
            <w:tcBorders>
              <w:top w:val="single" w:sz="8" w:color="E5F1EE"/>
            </w:tcBorders>
            <w:shd w:val="clear" w:color="auto" w:fill="E5F1EE"/>
          </w:tcPr>
          <w:p>
            <w:pPr>
              <w:spacing w:after="0"/>
              <w:rPr>
                <w:sz w:val="13"/>
                <w:szCs w:val="13"/>
                <w:color w:val="auto"/>
              </w:rPr>
            </w:pPr>
          </w:p>
        </w:tc>
        <w:tc>
          <w:tcPr>
            <w:tcW w:w="300" w:type="dxa"/>
            <w:vAlign w:val="bottom"/>
            <w:tcBorders>
              <w:top w:val="single" w:sz="8" w:color="auto"/>
            </w:tcBorders>
            <w:shd w:val="clear" w:color="auto" w:fill="E5F1EE"/>
          </w:tcPr>
          <w:p>
            <w:pPr>
              <w:spacing w:after="0"/>
              <w:rPr>
                <w:sz w:val="13"/>
                <w:szCs w:val="13"/>
                <w:color w:val="auto"/>
              </w:rPr>
            </w:pPr>
          </w:p>
        </w:tc>
        <w:tc>
          <w:tcPr>
            <w:tcW w:w="1000" w:type="dxa"/>
            <w:vAlign w:val="bottom"/>
            <w:tcBorders>
              <w:top w:val="single" w:sz="8" w:color="auto"/>
            </w:tcBorders>
            <w:shd w:val="clear" w:color="auto" w:fill="E5F1EE"/>
          </w:tcPr>
          <w:p>
            <w:pPr>
              <w:spacing w:after="0"/>
              <w:rPr>
                <w:sz w:val="13"/>
                <w:szCs w:val="13"/>
                <w:color w:val="auto"/>
              </w:rPr>
            </w:pPr>
          </w:p>
        </w:tc>
        <w:tc>
          <w:tcPr>
            <w:tcW w:w="240" w:type="dxa"/>
            <w:vAlign w:val="bottom"/>
            <w:tcBorders>
              <w:top w:val="single" w:sz="8" w:color="E5F1EE"/>
            </w:tcBorders>
            <w:shd w:val="clear" w:color="auto" w:fill="E5F1EE"/>
          </w:tcPr>
          <w:p>
            <w:pPr>
              <w:spacing w:after="0"/>
              <w:rPr>
                <w:sz w:val="13"/>
                <w:szCs w:val="13"/>
                <w:color w:val="auto"/>
              </w:rPr>
            </w:pPr>
          </w:p>
        </w:tc>
        <w:tc>
          <w:tcPr>
            <w:tcW w:w="300" w:type="dxa"/>
            <w:vAlign w:val="bottom"/>
            <w:tcBorders>
              <w:top w:val="single" w:sz="8" w:color="auto"/>
            </w:tcBorders>
            <w:shd w:val="clear" w:color="auto" w:fill="E5F1EE"/>
          </w:tcPr>
          <w:p>
            <w:pPr>
              <w:spacing w:after="0"/>
              <w:rPr>
                <w:sz w:val="13"/>
                <w:szCs w:val="13"/>
                <w:color w:val="auto"/>
              </w:rPr>
            </w:pPr>
          </w:p>
        </w:tc>
        <w:tc>
          <w:tcPr>
            <w:tcW w:w="1000" w:type="dxa"/>
            <w:vAlign w:val="bottom"/>
            <w:tcBorders>
              <w:top w:val="single" w:sz="8" w:color="auto"/>
            </w:tcBorders>
            <w:shd w:val="clear" w:color="auto" w:fill="E5F1EE"/>
          </w:tcPr>
          <w:p>
            <w:pPr>
              <w:spacing w:after="0"/>
              <w:rPr>
                <w:sz w:val="13"/>
                <w:szCs w:val="13"/>
                <w:color w:val="auto"/>
              </w:rPr>
            </w:pPr>
          </w:p>
        </w:tc>
        <w:tc>
          <w:tcPr>
            <w:tcW w:w="240" w:type="dxa"/>
            <w:vAlign w:val="bottom"/>
            <w:tcBorders>
              <w:top w:val="single" w:sz="8" w:color="E5F1EE"/>
            </w:tcBorders>
            <w:shd w:val="clear" w:color="auto" w:fill="E5F1EE"/>
          </w:tcPr>
          <w:p>
            <w:pPr>
              <w:spacing w:after="0"/>
              <w:rPr>
                <w:sz w:val="13"/>
                <w:szCs w:val="13"/>
                <w:color w:val="auto"/>
              </w:rPr>
            </w:pPr>
          </w:p>
        </w:tc>
        <w:tc>
          <w:tcPr>
            <w:tcW w:w="1220" w:type="dxa"/>
            <w:vAlign w:val="bottom"/>
            <w:tcBorders>
              <w:top w:val="single" w:sz="8" w:color="E5F1EE"/>
            </w:tcBorders>
            <w:shd w:val="clear" w:color="auto" w:fill="E5F1EE"/>
          </w:tcPr>
          <w:p>
            <w:pPr>
              <w:spacing w:after="0"/>
              <w:rPr>
                <w:sz w:val="13"/>
                <w:szCs w:val="13"/>
                <w:color w:val="auto"/>
              </w:rPr>
            </w:pPr>
          </w:p>
        </w:tc>
        <w:tc>
          <w:tcPr>
            <w:tcW w:w="240" w:type="dxa"/>
            <w:vAlign w:val="bottom"/>
            <w:tcBorders>
              <w:top w:val="single" w:sz="8" w:color="E5F1EE"/>
            </w:tcBorders>
            <w:shd w:val="clear" w:color="auto" w:fill="E5F1EE"/>
          </w:tcPr>
          <w:p>
            <w:pPr>
              <w:spacing w:after="0"/>
              <w:rPr>
                <w:sz w:val="13"/>
                <w:szCs w:val="13"/>
                <w:color w:val="auto"/>
              </w:rPr>
            </w:pPr>
          </w:p>
        </w:tc>
        <w:tc>
          <w:tcPr>
            <w:tcW w:w="300" w:type="dxa"/>
            <w:vAlign w:val="bottom"/>
            <w:tcBorders>
              <w:top w:val="single" w:sz="8" w:color="auto"/>
            </w:tcBorders>
            <w:shd w:val="clear" w:color="auto" w:fill="E5F1EE"/>
          </w:tcPr>
          <w:p>
            <w:pPr>
              <w:spacing w:after="0"/>
              <w:rPr>
                <w:sz w:val="13"/>
                <w:szCs w:val="13"/>
                <w:color w:val="auto"/>
              </w:rPr>
            </w:pPr>
          </w:p>
        </w:tc>
        <w:tc>
          <w:tcPr>
            <w:tcW w:w="960" w:type="dxa"/>
            <w:vAlign w:val="bottom"/>
            <w:tcBorders>
              <w:top w:val="single" w:sz="8" w:color="auto"/>
            </w:tcBorders>
            <w:shd w:val="clear" w:color="auto" w:fill="E5F1EE"/>
          </w:tcPr>
          <w:p>
            <w:pPr>
              <w:spacing w:after="0"/>
              <w:rPr>
                <w:sz w:val="13"/>
                <w:szCs w:val="13"/>
                <w:color w:val="auto"/>
              </w:rPr>
            </w:pPr>
          </w:p>
        </w:tc>
        <w:tc>
          <w:tcPr>
            <w:tcW w:w="40" w:type="dxa"/>
            <w:vAlign w:val="bottom"/>
            <w:tcBorders>
              <w:top w:val="single" w:sz="8" w:color="auto"/>
            </w:tcBorders>
            <w:shd w:val="clear" w:color="auto" w:fill="E5F1EE"/>
          </w:tcPr>
          <w:p>
            <w:pPr>
              <w:spacing w:after="0"/>
              <w:rPr>
                <w:sz w:val="13"/>
                <w:szCs w:val="13"/>
                <w:color w:val="auto"/>
              </w:rPr>
            </w:pPr>
          </w:p>
        </w:tc>
        <w:tc>
          <w:tcPr>
            <w:tcW w:w="240" w:type="dxa"/>
            <w:vAlign w:val="bottom"/>
            <w:tcBorders>
              <w:top w:val="single" w:sz="8" w:color="E5F1EE"/>
            </w:tcBorders>
            <w:shd w:val="clear" w:color="auto" w:fill="E5F1EE"/>
          </w:tcPr>
          <w:p>
            <w:pPr>
              <w:spacing w:after="0"/>
              <w:rPr>
                <w:sz w:val="13"/>
                <w:szCs w:val="13"/>
                <w:color w:val="auto"/>
              </w:rPr>
            </w:pPr>
          </w:p>
        </w:tc>
        <w:tc>
          <w:tcPr>
            <w:tcW w:w="1240" w:type="dxa"/>
            <w:vAlign w:val="bottom"/>
            <w:tcBorders>
              <w:top w:val="single" w:sz="8" w:color="E5F1EE"/>
            </w:tcBorders>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line="117" w:lineRule="exact"/>
              <w:rPr>
                <w:sz w:val="20"/>
                <w:szCs w:val="20"/>
                <w:color w:val="auto"/>
              </w:rPr>
            </w:pPr>
            <w:r>
              <w:rPr>
                <w:rFonts w:ascii="Times New Roman" w:cs="Times New Roman" w:eastAsia="Times New Roman" w:hAnsi="Times New Roman"/>
                <w:sz w:val="12"/>
                <w:szCs w:val="12"/>
                <w:color w:val="auto"/>
              </w:rPr>
              <w:t>Brokered savings and interest-checking</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deposits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8,831</w:t>
            </w:r>
          </w:p>
        </w:tc>
        <w:tc>
          <w:tcPr>
            <w:tcW w:w="24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8,193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8 %</w:t>
            </w:r>
          </w:p>
        </w:tc>
        <w:tc>
          <w:tcPr>
            <w:tcW w:w="24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94 %</w:t>
            </w:r>
          </w:p>
        </w:tc>
        <w:tc>
          <w:tcPr>
            <w:tcW w:w="0" w:type="dxa"/>
            <w:vAlign w:val="bottom"/>
          </w:tcPr>
          <w:p>
            <w:pPr>
              <w:spacing w:after="0"/>
              <w:rPr>
                <w:sz w:val="1"/>
                <w:szCs w:val="1"/>
                <w:color w:val="auto"/>
              </w:rPr>
            </w:pPr>
          </w:p>
        </w:tc>
      </w:tr>
      <w:tr>
        <w:trPr>
          <w:trHeight w:val="153"/>
        </w:trPr>
        <w:tc>
          <w:tcPr>
            <w:tcW w:w="39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Brokered time deposits</w:t>
            </w: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2,114</w:t>
            </w:r>
          </w:p>
        </w:tc>
        <w:tc>
          <w:tcPr>
            <w:tcW w:w="24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10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3,826</w:t>
            </w:r>
          </w:p>
        </w:tc>
        <w:tc>
          <w:tcPr>
            <w:tcW w:w="146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-45</w:t>
            </w:r>
          </w:p>
        </w:tc>
        <w:tc>
          <w:tcPr>
            <w:tcW w:w="240" w:type="dxa"/>
            <w:vAlign w:val="bottom"/>
            <w:shd w:val="clear" w:color="auto" w:fill="E5F1EE"/>
          </w:tcPr>
          <w:p>
            <w:pPr>
              <w:spacing w:after="0"/>
              <w:rPr>
                <w:sz w:val="13"/>
                <w:szCs w:val="13"/>
                <w:color w:val="auto"/>
              </w:rPr>
            </w:pPr>
          </w:p>
        </w:tc>
        <w:tc>
          <w:tcPr>
            <w:tcW w:w="30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8,398</w:t>
            </w:r>
          </w:p>
        </w:tc>
        <w:tc>
          <w:tcPr>
            <w:tcW w:w="40" w:type="dxa"/>
            <w:vAlign w:val="bottom"/>
            <w:tcBorders>
              <w:bottom w:val="single" w:sz="8" w:color="auto"/>
            </w:tcBorders>
            <w:shd w:val="clear" w:color="auto" w:fill="E5F1EE"/>
          </w:tcPr>
          <w:p>
            <w:pPr>
              <w:spacing w:after="0"/>
              <w:rPr>
                <w:sz w:val="13"/>
                <w:szCs w:val="13"/>
                <w:color w:val="auto"/>
              </w:rPr>
            </w:pPr>
          </w:p>
        </w:tc>
        <w:tc>
          <w:tcPr>
            <w:tcW w:w="1480" w:type="dxa"/>
            <w:vAlign w:val="bottom"/>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-75</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Total brokered deposits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10,945</w:t>
            </w:r>
          </w:p>
        </w:tc>
        <w:tc>
          <w:tcPr>
            <w:tcW w:w="24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12,019</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240" w:type="dxa"/>
            <w:vAlign w:val="bottom"/>
          </w:tcPr>
          <w:p>
            <w:pPr>
              <w:spacing w:after="0"/>
              <w:rPr>
                <w:sz w:val="12"/>
                <w:szCs w:val="12"/>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12,952</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Average interest-bearing liabilities decreased $1.4 billion, or 1%, from the second quarter of 2024.</w:t>
      </w:r>
    </w:p>
    <w:p>
      <w:pPr>
        <w:spacing w:after="0" w:line="28" w:lineRule="exact"/>
        <w:rPr>
          <w:sz w:val="20"/>
          <w:szCs w:val="20"/>
          <w:color w:val="auto"/>
        </w:rPr>
      </w:pPr>
    </w:p>
    <w:p>
      <w:pPr>
        <w:ind w:left="580" w:hanging="295"/>
        <w:spacing w:after="0"/>
        <w:tabs>
          <w:tab w:leader="none" w:pos="5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borrowings decreased $1.0 billion predominantly due to lower average short-term borrowings from the FHLB of New York in the recent quarter.</w:t>
      </w:r>
    </w:p>
    <w:p>
      <w:pPr>
        <w:spacing w:after="0" w:line="27" w:lineRule="exact"/>
        <w:rPr>
          <w:rFonts w:ascii="Times New Roman" w:cs="Times New Roman" w:eastAsia="Times New Roman" w:hAnsi="Times New Roman"/>
          <w:sz w:val="14"/>
          <w:szCs w:val="14"/>
          <w:color w:val="auto"/>
        </w:rPr>
      </w:pPr>
    </w:p>
    <w:p>
      <w:pPr>
        <w:ind w:left="580" w:right="220" w:hanging="295"/>
        <w:spacing w:after="0" w:line="243" w:lineRule="auto"/>
        <w:tabs>
          <w:tab w:leader="none" w:pos="579"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interest-bearing deposits decreased $410 million, reflective of a $1.1 billion decrease in average brokered deposits, partially offset by a $664 million increase in average non-brokered deposits.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interest-bearing liabilities increased $9.4 billion, or 8%, from the third quarter of 2023.</w:t>
      </w:r>
    </w:p>
    <w:p>
      <w:pPr>
        <w:spacing w:after="0" w:line="55" w:lineRule="exact"/>
        <w:rPr>
          <w:sz w:val="20"/>
          <w:szCs w:val="20"/>
          <w:color w:val="auto"/>
        </w:rPr>
      </w:pPr>
    </w:p>
    <w:p>
      <w:pPr>
        <w:ind w:left="580" w:right="180" w:hanging="295"/>
        <w:spacing w:after="0" w:line="248" w:lineRule="auto"/>
        <w:tabs>
          <w:tab w:leader="none" w:pos="57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interest-bearing deposits rose $6.5 billion reflecting an $8.5 billion increase in average non-brokered deposits as customers shifted funds into interest-bearing products amidst the rate environment, partially offset by a $2.0 billion decrease in average brokered deposits.</w:t>
      </w:r>
    </w:p>
    <w:p>
      <w:pPr>
        <w:ind w:left="580" w:right="300" w:hanging="295"/>
        <w:spacing w:after="0" w:line="282" w:lineRule="auto"/>
        <w:tabs>
          <w:tab w:leader="none" w:pos="57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borrowings increased $2.8 billion reflecting the issuances of senior notes and other long-term debt from the third quarter of 2023 through the third quarter of 2024, partially offset by lower average short-term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58" w:right="299"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333"/>
        </w:trPr>
        <w:tc>
          <w:tcPr>
            <w:tcW w:w="680" w:type="dxa"/>
            <w:vAlign w:val="bottom"/>
            <w:shd w:val="clear" w:color="auto" w:fill="007856"/>
          </w:tcPr>
          <w:p>
            <w:pPr>
              <w:spacing w:after="0"/>
              <w:rPr>
                <w:sz w:val="24"/>
                <w:szCs w:val="24"/>
                <w:color w:val="auto"/>
              </w:rPr>
            </w:pPr>
          </w:p>
        </w:tc>
        <w:tc>
          <w:tcPr>
            <w:tcW w:w="140" w:type="dxa"/>
            <w:vAlign w:val="bottom"/>
            <w:shd w:val="clear" w:color="auto" w:fill="007856"/>
          </w:tcPr>
          <w:p>
            <w:pPr>
              <w:spacing w:after="0"/>
              <w:rPr>
                <w:sz w:val="24"/>
                <w:szCs w:val="24"/>
                <w:color w:val="auto"/>
              </w:rPr>
            </w:pPr>
          </w:p>
        </w:tc>
        <w:tc>
          <w:tcPr>
            <w:tcW w:w="3540" w:type="dxa"/>
            <w:vAlign w:val="bottom"/>
            <w:shd w:val="clear" w:color="auto" w:fill="007856"/>
          </w:tcPr>
          <w:p>
            <w:pPr>
              <w:spacing w:after="0"/>
              <w:rPr>
                <w:sz w:val="24"/>
                <w:szCs w:val="24"/>
                <w:color w:val="auto"/>
              </w:rPr>
            </w:pPr>
          </w:p>
        </w:tc>
        <w:tc>
          <w:tcPr>
            <w:tcW w:w="300" w:type="dxa"/>
            <w:vAlign w:val="bottom"/>
            <w:shd w:val="clear" w:color="auto" w:fill="007856"/>
          </w:tcPr>
          <w:p>
            <w:pPr>
              <w:spacing w:after="0"/>
              <w:rPr>
                <w:sz w:val="24"/>
                <w:szCs w:val="24"/>
                <w:color w:val="auto"/>
              </w:rPr>
            </w:pPr>
          </w:p>
        </w:tc>
        <w:tc>
          <w:tcPr>
            <w:tcW w:w="1020" w:type="dxa"/>
            <w:vAlign w:val="bottom"/>
            <w:shd w:val="clear" w:color="auto" w:fill="007856"/>
          </w:tcPr>
          <w:p>
            <w:pPr>
              <w:spacing w:after="0"/>
              <w:rPr>
                <w:sz w:val="24"/>
                <w:szCs w:val="24"/>
                <w:color w:val="auto"/>
              </w:rPr>
            </w:pPr>
          </w:p>
        </w:tc>
        <w:tc>
          <w:tcPr>
            <w:tcW w:w="60" w:type="dxa"/>
            <w:vAlign w:val="bottom"/>
            <w:shd w:val="clear" w:color="auto" w:fill="007856"/>
          </w:tcPr>
          <w:p>
            <w:pPr>
              <w:spacing w:after="0"/>
              <w:rPr>
                <w:sz w:val="24"/>
                <w:szCs w:val="24"/>
                <w:color w:val="auto"/>
              </w:rPr>
            </w:pPr>
          </w:p>
        </w:tc>
        <w:tc>
          <w:tcPr>
            <w:tcW w:w="300" w:type="dxa"/>
            <w:vAlign w:val="bottom"/>
            <w:shd w:val="clear" w:color="auto" w:fill="007856"/>
          </w:tcPr>
          <w:p>
            <w:pPr>
              <w:spacing w:after="0"/>
              <w:rPr>
                <w:sz w:val="24"/>
                <w:szCs w:val="24"/>
                <w:color w:val="auto"/>
              </w:rPr>
            </w:pPr>
          </w:p>
        </w:tc>
        <w:tc>
          <w:tcPr>
            <w:tcW w:w="1020" w:type="dxa"/>
            <w:vAlign w:val="bottom"/>
            <w:shd w:val="clear" w:color="auto" w:fill="007856"/>
          </w:tcPr>
          <w:p>
            <w:pPr>
              <w:spacing w:after="0"/>
              <w:rPr>
                <w:sz w:val="24"/>
                <w:szCs w:val="24"/>
                <w:color w:val="auto"/>
              </w:rPr>
            </w:pPr>
          </w:p>
        </w:tc>
        <w:tc>
          <w:tcPr>
            <w:tcW w:w="60" w:type="dxa"/>
            <w:vAlign w:val="bottom"/>
            <w:shd w:val="clear" w:color="auto" w:fill="007856"/>
          </w:tcPr>
          <w:p>
            <w:pPr>
              <w:spacing w:after="0"/>
              <w:rPr>
                <w:sz w:val="24"/>
                <w:szCs w:val="24"/>
                <w:color w:val="auto"/>
              </w:rPr>
            </w:pPr>
          </w:p>
        </w:tc>
        <w:tc>
          <w:tcPr>
            <w:tcW w:w="1340" w:type="dxa"/>
            <w:vAlign w:val="bottom"/>
            <w:shd w:val="clear" w:color="auto" w:fill="007856"/>
          </w:tcPr>
          <w:p>
            <w:pPr>
              <w:spacing w:after="0"/>
              <w:rPr>
                <w:sz w:val="24"/>
                <w:szCs w:val="24"/>
                <w:color w:val="auto"/>
              </w:rPr>
            </w:pPr>
          </w:p>
        </w:tc>
        <w:tc>
          <w:tcPr>
            <w:tcW w:w="60" w:type="dxa"/>
            <w:vAlign w:val="bottom"/>
            <w:shd w:val="clear" w:color="auto" w:fill="007856"/>
          </w:tcPr>
          <w:p>
            <w:pPr>
              <w:spacing w:after="0"/>
              <w:rPr>
                <w:sz w:val="24"/>
                <w:szCs w:val="24"/>
                <w:color w:val="auto"/>
              </w:rPr>
            </w:pPr>
          </w:p>
        </w:tc>
        <w:tc>
          <w:tcPr>
            <w:tcW w:w="300" w:type="dxa"/>
            <w:vAlign w:val="bottom"/>
            <w:shd w:val="clear" w:color="auto" w:fill="007856"/>
          </w:tcPr>
          <w:p>
            <w:pPr>
              <w:spacing w:after="0"/>
              <w:rPr>
                <w:sz w:val="24"/>
                <w:szCs w:val="24"/>
                <w:color w:val="auto"/>
              </w:rPr>
            </w:pPr>
          </w:p>
        </w:tc>
        <w:tc>
          <w:tcPr>
            <w:tcW w:w="2480" w:type="dxa"/>
            <w:vAlign w:val="bottom"/>
            <w:gridSpan w:val="4"/>
            <w:shd w:val="clear" w:color="auto" w:fill="007856"/>
          </w:tcPr>
          <w:p>
            <w:pPr>
              <w:ind w:left="960"/>
              <w:spacing w:after="0"/>
              <w:rPr>
                <w:sz w:val="20"/>
                <w:szCs w:val="20"/>
                <w:color w:val="auto"/>
              </w:rPr>
            </w:pPr>
            <w:r>
              <w:rPr>
                <w:rFonts w:ascii="Times New Roman" w:cs="Times New Roman" w:eastAsia="Times New Roman" w:hAnsi="Times New Roman"/>
                <w:sz w:val="12"/>
                <w:szCs w:val="12"/>
                <w:b w:val="1"/>
                <w:bCs w:val="1"/>
                <w:color w:val="FFFFFF"/>
              </w:rPr>
              <w:t>Third Quarter 2024 Results</w:t>
            </w:r>
          </w:p>
        </w:tc>
      </w:tr>
      <w:tr>
        <w:trPr>
          <w:trHeight w:val="621"/>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0"/>
        </w:trPr>
        <w:tc>
          <w:tcPr>
            <w:tcW w:w="4360" w:type="dxa"/>
            <w:vAlign w:val="bottom"/>
            <w:gridSpan w:val="3"/>
            <w:shd w:val="clear" w:color="auto" w:fill="007856"/>
          </w:tcPr>
          <w:p>
            <w:pPr>
              <w:spacing w:after="0"/>
              <w:rPr>
                <w:sz w:val="20"/>
                <w:szCs w:val="20"/>
                <w:color w:val="auto"/>
              </w:rPr>
            </w:pPr>
            <w:r>
              <w:rPr>
                <w:rFonts w:ascii="Times New Roman" w:cs="Times New Roman" w:eastAsia="Times New Roman" w:hAnsi="Times New Roman"/>
                <w:sz w:val="14"/>
                <w:szCs w:val="14"/>
                <w:b w:val="1"/>
                <w:bCs w:val="1"/>
                <w:color w:val="FFFFFF"/>
              </w:rPr>
              <w:t>Provision for Credit Losses/Asset Quality</w:t>
            </w:r>
          </w:p>
        </w:tc>
        <w:tc>
          <w:tcPr>
            <w:tcW w:w="300" w:type="dxa"/>
            <w:vAlign w:val="bottom"/>
            <w:shd w:val="clear" w:color="auto" w:fill="007856"/>
          </w:tcPr>
          <w:p>
            <w:pPr>
              <w:spacing w:after="0"/>
              <w:rPr>
                <w:sz w:val="15"/>
                <w:szCs w:val="15"/>
                <w:color w:val="auto"/>
              </w:rPr>
            </w:pPr>
          </w:p>
        </w:tc>
        <w:tc>
          <w:tcPr>
            <w:tcW w:w="1020" w:type="dxa"/>
            <w:vAlign w:val="bottom"/>
            <w:shd w:val="clear" w:color="auto" w:fill="007856"/>
          </w:tcPr>
          <w:p>
            <w:pPr>
              <w:spacing w:after="0"/>
              <w:rPr>
                <w:sz w:val="15"/>
                <w:szCs w:val="15"/>
                <w:color w:val="auto"/>
              </w:rPr>
            </w:pPr>
          </w:p>
        </w:tc>
        <w:tc>
          <w:tcPr>
            <w:tcW w:w="60" w:type="dxa"/>
            <w:vAlign w:val="bottom"/>
            <w:shd w:val="clear" w:color="auto" w:fill="007856"/>
          </w:tcPr>
          <w:p>
            <w:pPr>
              <w:spacing w:after="0"/>
              <w:rPr>
                <w:sz w:val="15"/>
                <w:szCs w:val="15"/>
                <w:color w:val="auto"/>
              </w:rPr>
            </w:pPr>
          </w:p>
        </w:tc>
        <w:tc>
          <w:tcPr>
            <w:tcW w:w="300" w:type="dxa"/>
            <w:vAlign w:val="bottom"/>
            <w:shd w:val="clear" w:color="auto" w:fill="007856"/>
          </w:tcPr>
          <w:p>
            <w:pPr>
              <w:spacing w:after="0"/>
              <w:rPr>
                <w:sz w:val="15"/>
                <w:szCs w:val="15"/>
                <w:color w:val="auto"/>
              </w:rPr>
            </w:pPr>
          </w:p>
        </w:tc>
        <w:tc>
          <w:tcPr>
            <w:tcW w:w="1020" w:type="dxa"/>
            <w:vAlign w:val="bottom"/>
            <w:shd w:val="clear" w:color="auto" w:fill="007856"/>
          </w:tcPr>
          <w:p>
            <w:pPr>
              <w:spacing w:after="0"/>
              <w:rPr>
                <w:sz w:val="15"/>
                <w:szCs w:val="15"/>
                <w:color w:val="auto"/>
              </w:rPr>
            </w:pPr>
          </w:p>
        </w:tc>
        <w:tc>
          <w:tcPr>
            <w:tcW w:w="60" w:type="dxa"/>
            <w:vAlign w:val="bottom"/>
            <w:shd w:val="clear" w:color="auto" w:fill="007856"/>
          </w:tcPr>
          <w:p>
            <w:pPr>
              <w:spacing w:after="0"/>
              <w:rPr>
                <w:sz w:val="15"/>
                <w:szCs w:val="15"/>
                <w:color w:val="auto"/>
              </w:rPr>
            </w:pPr>
          </w:p>
        </w:tc>
        <w:tc>
          <w:tcPr>
            <w:tcW w:w="1340" w:type="dxa"/>
            <w:vAlign w:val="bottom"/>
            <w:shd w:val="clear" w:color="auto" w:fill="007856"/>
          </w:tcPr>
          <w:p>
            <w:pPr>
              <w:spacing w:after="0"/>
              <w:rPr>
                <w:sz w:val="15"/>
                <w:szCs w:val="15"/>
                <w:color w:val="auto"/>
              </w:rPr>
            </w:pPr>
          </w:p>
        </w:tc>
        <w:tc>
          <w:tcPr>
            <w:tcW w:w="60" w:type="dxa"/>
            <w:vAlign w:val="bottom"/>
            <w:shd w:val="clear" w:color="auto" w:fill="007856"/>
          </w:tcPr>
          <w:p>
            <w:pPr>
              <w:spacing w:after="0"/>
              <w:rPr>
                <w:sz w:val="15"/>
                <w:szCs w:val="15"/>
                <w:color w:val="auto"/>
              </w:rPr>
            </w:pPr>
          </w:p>
        </w:tc>
        <w:tc>
          <w:tcPr>
            <w:tcW w:w="300" w:type="dxa"/>
            <w:vAlign w:val="bottom"/>
            <w:shd w:val="clear" w:color="auto" w:fill="007856"/>
          </w:tcPr>
          <w:p>
            <w:pPr>
              <w:spacing w:after="0"/>
              <w:rPr>
                <w:sz w:val="15"/>
                <w:szCs w:val="15"/>
                <w:color w:val="auto"/>
              </w:rPr>
            </w:pPr>
          </w:p>
        </w:tc>
        <w:tc>
          <w:tcPr>
            <w:tcW w:w="1020" w:type="dxa"/>
            <w:vAlign w:val="bottom"/>
            <w:shd w:val="clear" w:color="auto" w:fill="007856"/>
          </w:tcPr>
          <w:p>
            <w:pPr>
              <w:spacing w:after="0"/>
              <w:rPr>
                <w:sz w:val="15"/>
                <w:szCs w:val="15"/>
                <w:color w:val="auto"/>
              </w:rPr>
            </w:pPr>
          </w:p>
        </w:tc>
        <w:tc>
          <w:tcPr>
            <w:tcW w:w="60" w:type="dxa"/>
            <w:vAlign w:val="bottom"/>
            <w:shd w:val="clear" w:color="auto" w:fill="007856"/>
          </w:tcPr>
          <w:p>
            <w:pPr>
              <w:spacing w:after="0"/>
              <w:rPr>
                <w:sz w:val="15"/>
                <w:szCs w:val="15"/>
                <w:color w:val="auto"/>
              </w:rPr>
            </w:pPr>
          </w:p>
        </w:tc>
        <w:tc>
          <w:tcPr>
            <w:tcW w:w="1340" w:type="dxa"/>
            <w:vAlign w:val="bottom"/>
            <w:shd w:val="clear" w:color="auto" w:fill="007856"/>
          </w:tcPr>
          <w:p>
            <w:pPr>
              <w:spacing w:after="0"/>
              <w:rPr>
                <w:sz w:val="15"/>
                <w:szCs w:val="15"/>
                <w:color w:val="auto"/>
              </w:rPr>
            </w:pPr>
          </w:p>
        </w:tc>
        <w:tc>
          <w:tcPr>
            <w:tcW w:w="60" w:type="dxa"/>
            <w:vAlign w:val="bottom"/>
          </w:tcPr>
          <w:p>
            <w:pPr>
              <w:spacing w:after="0"/>
              <w:rPr>
                <w:sz w:val="15"/>
                <w:szCs w:val="15"/>
                <w:color w:val="auto"/>
              </w:rPr>
            </w:pPr>
          </w:p>
        </w:tc>
      </w:tr>
      <w:tr>
        <w:trPr>
          <w:trHeight w:val="297"/>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Change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8"/>
              </w:rPr>
              <w:t>Change</w:t>
            </w:r>
          </w:p>
        </w:tc>
      </w:tr>
      <w:tr>
        <w:trPr>
          <w:trHeight w:val="155"/>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6"/>
              </w:rPr>
              <w:t>3Q24 vs.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6"/>
              </w:rPr>
              <w:t>3Q24 vs.</w:t>
            </w:r>
          </w:p>
        </w:tc>
      </w:tr>
      <w:tr>
        <w:trPr>
          <w:trHeight w:val="160"/>
        </w:trPr>
        <w:tc>
          <w:tcPr>
            <w:tcW w:w="4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30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3Q24</w:t>
            </w:r>
          </w:p>
        </w:tc>
        <w:tc>
          <w:tcPr>
            <w:tcW w:w="300" w:type="dxa"/>
            <w:vAlign w:val="bottom"/>
          </w:tcPr>
          <w:p>
            <w:pPr>
              <w:spacing w:after="0"/>
              <w:rPr>
                <w:sz w:val="13"/>
                <w:szCs w:val="13"/>
                <w:color w:val="auto"/>
              </w:rPr>
            </w:pPr>
          </w:p>
        </w:tc>
        <w:tc>
          <w:tcPr>
            <w:tcW w:w="10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2Q24</w:t>
            </w:r>
          </w:p>
        </w:tc>
        <w:tc>
          <w:tcPr>
            <w:tcW w:w="6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7"/>
              </w:rPr>
              <w:t>2Q24</w:t>
            </w:r>
          </w:p>
        </w:tc>
        <w:tc>
          <w:tcPr>
            <w:tcW w:w="300" w:type="dxa"/>
            <w:vAlign w:val="bottom"/>
          </w:tcPr>
          <w:p>
            <w:pPr>
              <w:spacing w:after="0"/>
              <w:rPr>
                <w:sz w:val="13"/>
                <w:szCs w:val="13"/>
                <w:color w:val="auto"/>
              </w:rPr>
            </w:pPr>
          </w:p>
        </w:tc>
        <w:tc>
          <w:tcPr>
            <w:tcW w:w="10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3Q23</w:t>
            </w:r>
          </w:p>
        </w:tc>
        <w:tc>
          <w:tcPr>
            <w:tcW w:w="6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7"/>
              </w:rPr>
              <w:t>3Q23</w:t>
            </w:r>
          </w:p>
        </w:tc>
      </w:tr>
      <w:tr>
        <w:trPr>
          <w:trHeight w:val="106"/>
        </w:trPr>
        <w:tc>
          <w:tcPr>
            <w:tcW w:w="436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auto"/>
              </w:rPr>
              <w:t>At end of quarter</w:t>
            </w: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27"/>
        </w:trPr>
        <w:tc>
          <w:tcPr>
            <w:tcW w:w="6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3"/>
        </w:trPr>
        <w:tc>
          <w:tcPr>
            <w:tcW w:w="436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Nonaccrual loans</w:t>
            </w:r>
          </w:p>
        </w:tc>
        <w:tc>
          <w:tcPr>
            <w:tcW w:w="300" w:type="dxa"/>
            <w:vAlign w:val="bottom"/>
            <w:shd w:val="clear" w:color="auto" w:fill="E5F1EE"/>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1,926</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2,024</w:t>
            </w:r>
          </w:p>
        </w:tc>
        <w:tc>
          <w:tcPr>
            <w:tcW w:w="14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2,342</w:t>
            </w:r>
          </w:p>
        </w:tc>
        <w:tc>
          <w:tcPr>
            <w:tcW w:w="140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-18 %</w:t>
            </w:r>
          </w:p>
        </w:tc>
        <w:tc>
          <w:tcPr>
            <w:tcW w:w="60" w:type="dxa"/>
            <w:vAlign w:val="bottom"/>
          </w:tcPr>
          <w:p>
            <w:pPr>
              <w:spacing w:after="0"/>
              <w:rPr>
                <w:sz w:val="13"/>
                <w:szCs w:val="13"/>
                <w:color w:val="auto"/>
              </w:rPr>
            </w:pPr>
          </w:p>
        </w:tc>
      </w:tr>
      <w:tr>
        <w:trPr>
          <w:trHeight w:val="153"/>
        </w:trPr>
        <w:tc>
          <w:tcPr>
            <w:tcW w:w="4360" w:type="dxa"/>
            <w:vAlign w:val="bottom"/>
            <w:tcBorders>
              <w:bottom w:val="single" w:sz="8" w:color="E5F1EE"/>
            </w:tcBorders>
            <w:gridSpan w:val="3"/>
          </w:tcPr>
          <w:p>
            <w:pPr>
              <w:spacing w:after="0"/>
              <w:rPr>
                <w:sz w:val="20"/>
                <w:szCs w:val="20"/>
                <w:color w:val="auto"/>
              </w:rPr>
            </w:pPr>
            <w:r>
              <w:rPr>
                <w:rFonts w:ascii="Times New Roman" w:cs="Times New Roman" w:eastAsia="Times New Roman" w:hAnsi="Times New Roman"/>
                <w:sz w:val="12"/>
                <w:szCs w:val="12"/>
                <w:color w:val="auto"/>
              </w:rPr>
              <w:t>Real estate and other foreclosed assets</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Borders>
              <w:bottom w:val="single" w:sz="8" w:color="E5F1EE"/>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33</w:t>
            </w:r>
          </w:p>
        </w:tc>
        <w:tc>
          <w:tcPr>
            <w:tcW w:w="1400" w:type="dxa"/>
            <w:vAlign w:val="bottom"/>
            <w:tcBorders>
              <w:bottom w:val="single" w:sz="8" w:color="E5F1EE"/>
            </w:tcBorders>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w:t>
            </w:r>
          </w:p>
        </w:tc>
        <w:tc>
          <w:tcPr>
            <w:tcW w:w="60" w:type="dxa"/>
            <w:vAlign w:val="bottom"/>
            <w:tcBorders>
              <w:bottom w:val="single" w:sz="8" w:color="E5F1EE"/>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37</w:t>
            </w:r>
          </w:p>
        </w:tc>
        <w:tc>
          <w:tcPr>
            <w:tcW w:w="60" w:type="dxa"/>
            <w:vAlign w:val="bottom"/>
            <w:tcBorders>
              <w:bottom w:val="single" w:sz="8" w:color="E5F1EE"/>
            </w:tcBorders>
          </w:tcPr>
          <w:p>
            <w:pPr>
              <w:spacing w:after="0"/>
              <w:rPr>
                <w:sz w:val="13"/>
                <w:szCs w:val="13"/>
                <w:color w:val="auto"/>
              </w:rPr>
            </w:pPr>
          </w:p>
        </w:tc>
        <w:tc>
          <w:tcPr>
            <w:tcW w:w="1340" w:type="dxa"/>
            <w:vAlign w:val="bottom"/>
            <w:tcBorders>
              <w:bottom w:val="single" w:sz="8" w:color="E5F1EE"/>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42"/>
        </w:trPr>
        <w:tc>
          <w:tcPr>
            <w:tcW w:w="436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nonperforming assets</w:t>
            </w:r>
          </w:p>
        </w:tc>
        <w:tc>
          <w:tcPr>
            <w:tcW w:w="300" w:type="dxa"/>
            <w:vAlign w:val="bottom"/>
            <w:shd w:val="clear" w:color="auto" w:fill="E5F1EE"/>
          </w:tcPr>
          <w:p>
            <w:pPr>
              <w:spacing w:after="0"/>
              <w:rPr>
                <w:sz w:val="12"/>
                <w:szCs w:val="12"/>
                <w:color w:val="auto"/>
              </w:rPr>
            </w:pPr>
          </w:p>
        </w:tc>
        <w:tc>
          <w:tcPr>
            <w:tcW w:w="102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1,963</w:t>
            </w:r>
          </w:p>
        </w:tc>
        <w:tc>
          <w:tcPr>
            <w:tcW w:w="60" w:type="dxa"/>
            <w:vAlign w:val="bottom"/>
            <w:shd w:val="clear" w:color="auto" w:fill="E5F1EE"/>
          </w:tcPr>
          <w:p>
            <w:pPr>
              <w:spacing w:after="0"/>
              <w:rPr>
                <w:sz w:val="12"/>
                <w:szCs w:val="12"/>
                <w:color w:val="auto"/>
              </w:rPr>
            </w:pPr>
          </w:p>
        </w:tc>
        <w:tc>
          <w:tcPr>
            <w:tcW w:w="300" w:type="dxa"/>
            <w:vAlign w:val="bottom"/>
            <w:shd w:val="clear" w:color="auto" w:fill="E5F1EE"/>
          </w:tcPr>
          <w:p>
            <w:pPr>
              <w:spacing w:after="0"/>
              <w:rPr>
                <w:sz w:val="12"/>
                <w:szCs w:val="12"/>
                <w:color w:val="auto"/>
              </w:rPr>
            </w:pP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2,057</w:t>
            </w:r>
          </w:p>
        </w:tc>
        <w:tc>
          <w:tcPr>
            <w:tcW w:w="1400" w:type="dxa"/>
            <w:vAlign w:val="bottom"/>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shd w:val="clear" w:color="auto" w:fill="E5F1EE"/>
          </w:tcPr>
          <w:p>
            <w:pPr>
              <w:spacing w:after="0"/>
              <w:rPr>
                <w:sz w:val="12"/>
                <w:szCs w:val="12"/>
                <w:color w:val="auto"/>
              </w:rPr>
            </w:pPr>
          </w:p>
        </w:tc>
        <w:tc>
          <w:tcPr>
            <w:tcW w:w="300" w:type="dxa"/>
            <w:vAlign w:val="bottom"/>
            <w:shd w:val="clear" w:color="auto" w:fill="E5F1EE"/>
          </w:tcPr>
          <w:p>
            <w:pPr>
              <w:spacing w:after="0"/>
              <w:rPr>
                <w:sz w:val="12"/>
                <w:szCs w:val="12"/>
                <w:color w:val="auto"/>
              </w:rPr>
            </w:pP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2,379</w:t>
            </w:r>
          </w:p>
        </w:tc>
        <w:tc>
          <w:tcPr>
            <w:tcW w:w="1400" w:type="dxa"/>
            <w:vAlign w:val="bottom"/>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-17</w:t>
            </w:r>
          </w:p>
        </w:tc>
        <w:tc>
          <w:tcPr>
            <w:tcW w:w="60" w:type="dxa"/>
            <w:vAlign w:val="bottom"/>
          </w:tcPr>
          <w:p>
            <w:pPr>
              <w:spacing w:after="0"/>
              <w:rPr>
                <w:sz w:val="12"/>
                <w:szCs w:val="12"/>
                <w:color w:val="auto"/>
              </w:rPr>
            </w:pPr>
          </w:p>
        </w:tc>
      </w:tr>
      <w:tr>
        <w:trPr>
          <w:trHeight w:val="153"/>
        </w:trPr>
        <w:tc>
          <w:tcPr>
            <w:tcW w:w="4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Accruing loans past due 90 days or more (1)</w:t>
            </w:r>
          </w:p>
        </w:tc>
        <w:tc>
          <w:tcPr>
            <w:tcW w:w="3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288</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233</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354</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3"/>
                <w:szCs w:val="13"/>
                <w:color w:val="auto"/>
              </w:rPr>
            </w:pPr>
          </w:p>
        </w:tc>
      </w:tr>
      <w:tr>
        <w:trPr>
          <w:trHeight w:val="153"/>
        </w:trPr>
        <w:tc>
          <w:tcPr>
            <w:tcW w:w="436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Nonaccrual loans as % of loans outstanding</w:t>
            </w: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1.42 %</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1.50 %</w:t>
            </w:r>
          </w:p>
        </w:tc>
        <w:tc>
          <w:tcPr>
            <w:tcW w:w="60" w:type="dxa"/>
            <w:vAlign w:val="bottom"/>
            <w:shd w:val="clear" w:color="auto" w:fill="E5F1EE"/>
          </w:tcPr>
          <w:p>
            <w:pPr>
              <w:spacing w:after="0"/>
              <w:rPr>
                <w:sz w:val="13"/>
                <w:szCs w:val="13"/>
                <w:color w:val="auto"/>
              </w:rPr>
            </w:pPr>
          </w:p>
        </w:tc>
        <w:tc>
          <w:tcPr>
            <w:tcW w:w="134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1.77 %</w:t>
            </w:r>
          </w:p>
        </w:tc>
        <w:tc>
          <w:tcPr>
            <w:tcW w:w="60" w:type="dxa"/>
            <w:vAlign w:val="bottom"/>
            <w:shd w:val="clear" w:color="auto" w:fill="E5F1EE"/>
          </w:tcPr>
          <w:p>
            <w:pPr>
              <w:spacing w:after="0"/>
              <w:rPr>
                <w:sz w:val="13"/>
                <w:szCs w:val="13"/>
                <w:color w:val="auto"/>
              </w:rPr>
            </w:pPr>
          </w:p>
        </w:tc>
        <w:tc>
          <w:tcPr>
            <w:tcW w:w="1340" w:type="dxa"/>
            <w:vAlign w:val="bottom"/>
            <w:shd w:val="clear" w:color="auto" w:fill="E5F1EE"/>
          </w:tcPr>
          <w:p>
            <w:pPr>
              <w:spacing w:after="0"/>
              <w:rPr>
                <w:sz w:val="13"/>
                <w:szCs w:val="13"/>
                <w:color w:val="auto"/>
              </w:rPr>
            </w:pPr>
          </w:p>
        </w:tc>
        <w:tc>
          <w:tcPr>
            <w:tcW w:w="60" w:type="dxa"/>
            <w:vAlign w:val="bottom"/>
          </w:tcPr>
          <w:p>
            <w:pPr>
              <w:spacing w:after="0"/>
              <w:rPr>
                <w:sz w:val="13"/>
                <w:szCs w:val="13"/>
                <w:color w:val="auto"/>
              </w:rPr>
            </w:pPr>
          </w:p>
        </w:tc>
      </w:tr>
      <w:tr>
        <w:trPr>
          <w:trHeight w:val="180"/>
        </w:trPr>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436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300" w:type="dxa"/>
            <w:vAlign w:val="bottom"/>
            <w:shd w:val="clear" w:color="auto" w:fill="E5F1EE"/>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2,204</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2,204</w:t>
            </w:r>
          </w:p>
        </w:tc>
        <w:tc>
          <w:tcPr>
            <w:tcW w:w="60" w:type="dxa"/>
            <w:vAlign w:val="bottom"/>
            <w:shd w:val="clear" w:color="auto" w:fill="E5F1EE"/>
          </w:tcPr>
          <w:p>
            <w:pPr>
              <w:spacing w:after="0"/>
              <w:rPr>
                <w:sz w:val="13"/>
                <w:szCs w:val="13"/>
                <w:color w:val="auto"/>
              </w:rPr>
            </w:pPr>
          </w:p>
        </w:tc>
        <w:tc>
          <w:tcPr>
            <w:tcW w:w="1400" w:type="dxa"/>
            <w:vAlign w:val="bottom"/>
            <w:gridSpan w:val="2"/>
            <w:shd w:val="clear" w:color="auto" w:fill="E5F1EE"/>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2,052</w:t>
            </w:r>
          </w:p>
        </w:tc>
        <w:tc>
          <w:tcPr>
            <w:tcW w:w="1400" w:type="dxa"/>
            <w:vAlign w:val="bottom"/>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tcPr>
          <w:p>
            <w:pPr>
              <w:spacing w:after="0"/>
              <w:rPr>
                <w:sz w:val="13"/>
                <w:szCs w:val="13"/>
                <w:color w:val="auto"/>
              </w:rPr>
            </w:pPr>
          </w:p>
        </w:tc>
      </w:tr>
      <w:tr>
        <w:trPr>
          <w:trHeight w:val="153"/>
        </w:trPr>
        <w:tc>
          <w:tcPr>
            <w:tcW w:w="4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Allowance for credit losses as % of loans outstanding</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1.62 %</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1.63 %</w:t>
            </w: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1.55 %</w:t>
            </w: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0"/>
        </w:trPr>
        <w:tc>
          <w:tcPr>
            <w:tcW w:w="680" w:type="dxa"/>
            <w:vAlign w:val="bottom"/>
            <w:shd w:val="clear" w:color="auto" w:fill="E5F1EE"/>
          </w:tcPr>
          <w:p>
            <w:pPr>
              <w:spacing w:after="0"/>
              <w:rPr>
                <w:sz w:val="15"/>
                <w:szCs w:val="15"/>
                <w:color w:val="auto"/>
              </w:rPr>
            </w:pPr>
          </w:p>
        </w:tc>
        <w:tc>
          <w:tcPr>
            <w:tcW w:w="140" w:type="dxa"/>
            <w:vAlign w:val="bottom"/>
            <w:shd w:val="clear" w:color="auto" w:fill="E5F1EE"/>
          </w:tcPr>
          <w:p>
            <w:pPr>
              <w:spacing w:after="0"/>
              <w:rPr>
                <w:sz w:val="15"/>
                <w:szCs w:val="15"/>
                <w:color w:val="auto"/>
              </w:rPr>
            </w:pPr>
          </w:p>
        </w:tc>
        <w:tc>
          <w:tcPr>
            <w:tcW w:w="3540" w:type="dxa"/>
            <w:vAlign w:val="bottom"/>
            <w:shd w:val="clear" w:color="auto" w:fill="E5F1EE"/>
          </w:tcPr>
          <w:p>
            <w:pPr>
              <w:spacing w:after="0"/>
              <w:rPr>
                <w:sz w:val="15"/>
                <w:szCs w:val="15"/>
                <w:color w:val="auto"/>
              </w:rPr>
            </w:pPr>
          </w:p>
        </w:tc>
        <w:tc>
          <w:tcPr>
            <w:tcW w:w="300" w:type="dxa"/>
            <w:vAlign w:val="bottom"/>
            <w:shd w:val="clear" w:color="auto" w:fill="E5F1EE"/>
          </w:tcPr>
          <w:p>
            <w:pPr>
              <w:spacing w:after="0"/>
              <w:rPr>
                <w:sz w:val="15"/>
                <w:szCs w:val="15"/>
                <w:color w:val="auto"/>
              </w:rPr>
            </w:pPr>
          </w:p>
        </w:tc>
        <w:tc>
          <w:tcPr>
            <w:tcW w:w="1020" w:type="dxa"/>
            <w:vAlign w:val="bottom"/>
            <w:shd w:val="clear" w:color="auto" w:fill="E5F1EE"/>
          </w:tcPr>
          <w:p>
            <w:pPr>
              <w:spacing w:after="0"/>
              <w:rPr>
                <w:sz w:val="15"/>
                <w:szCs w:val="15"/>
                <w:color w:val="auto"/>
              </w:rPr>
            </w:pPr>
          </w:p>
        </w:tc>
        <w:tc>
          <w:tcPr>
            <w:tcW w:w="60" w:type="dxa"/>
            <w:vAlign w:val="bottom"/>
            <w:shd w:val="clear" w:color="auto" w:fill="E5F1EE"/>
          </w:tcPr>
          <w:p>
            <w:pPr>
              <w:spacing w:after="0"/>
              <w:rPr>
                <w:sz w:val="15"/>
                <w:szCs w:val="15"/>
                <w:color w:val="auto"/>
              </w:rPr>
            </w:pPr>
          </w:p>
        </w:tc>
        <w:tc>
          <w:tcPr>
            <w:tcW w:w="300" w:type="dxa"/>
            <w:vAlign w:val="bottom"/>
            <w:shd w:val="clear" w:color="auto" w:fill="E5F1EE"/>
          </w:tcPr>
          <w:p>
            <w:pPr>
              <w:spacing w:after="0"/>
              <w:rPr>
                <w:sz w:val="15"/>
                <w:szCs w:val="15"/>
                <w:color w:val="auto"/>
              </w:rPr>
            </w:pPr>
          </w:p>
        </w:tc>
        <w:tc>
          <w:tcPr>
            <w:tcW w:w="1020" w:type="dxa"/>
            <w:vAlign w:val="bottom"/>
            <w:shd w:val="clear" w:color="auto" w:fill="E5F1EE"/>
          </w:tcPr>
          <w:p>
            <w:pPr>
              <w:spacing w:after="0"/>
              <w:rPr>
                <w:sz w:val="15"/>
                <w:szCs w:val="15"/>
                <w:color w:val="auto"/>
              </w:rPr>
            </w:pPr>
          </w:p>
        </w:tc>
        <w:tc>
          <w:tcPr>
            <w:tcW w:w="60" w:type="dxa"/>
            <w:vAlign w:val="bottom"/>
            <w:shd w:val="clear" w:color="auto" w:fill="E5F1EE"/>
          </w:tcPr>
          <w:p>
            <w:pPr>
              <w:spacing w:after="0"/>
              <w:rPr>
                <w:sz w:val="15"/>
                <w:szCs w:val="15"/>
                <w:color w:val="auto"/>
              </w:rPr>
            </w:pPr>
          </w:p>
        </w:tc>
        <w:tc>
          <w:tcPr>
            <w:tcW w:w="1340" w:type="dxa"/>
            <w:vAlign w:val="bottom"/>
            <w:shd w:val="clear" w:color="auto" w:fill="E5F1EE"/>
          </w:tcPr>
          <w:p>
            <w:pPr>
              <w:spacing w:after="0"/>
              <w:rPr>
                <w:sz w:val="15"/>
                <w:szCs w:val="15"/>
                <w:color w:val="auto"/>
              </w:rPr>
            </w:pPr>
          </w:p>
        </w:tc>
        <w:tc>
          <w:tcPr>
            <w:tcW w:w="60" w:type="dxa"/>
            <w:vAlign w:val="bottom"/>
            <w:shd w:val="clear" w:color="auto" w:fill="E5F1EE"/>
          </w:tcPr>
          <w:p>
            <w:pPr>
              <w:spacing w:after="0"/>
              <w:rPr>
                <w:sz w:val="15"/>
                <w:szCs w:val="15"/>
                <w:color w:val="auto"/>
              </w:rPr>
            </w:pPr>
          </w:p>
        </w:tc>
        <w:tc>
          <w:tcPr>
            <w:tcW w:w="300" w:type="dxa"/>
            <w:vAlign w:val="bottom"/>
            <w:shd w:val="clear" w:color="auto" w:fill="E5F1EE"/>
          </w:tcPr>
          <w:p>
            <w:pPr>
              <w:spacing w:after="0"/>
              <w:rPr>
                <w:sz w:val="15"/>
                <w:szCs w:val="15"/>
                <w:color w:val="auto"/>
              </w:rPr>
            </w:pPr>
          </w:p>
        </w:tc>
        <w:tc>
          <w:tcPr>
            <w:tcW w:w="1020" w:type="dxa"/>
            <w:vAlign w:val="bottom"/>
            <w:shd w:val="clear" w:color="auto" w:fill="E5F1EE"/>
          </w:tcPr>
          <w:p>
            <w:pPr>
              <w:spacing w:after="0"/>
              <w:rPr>
                <w:sz w:val="15"/>
                <w:szCs w:val="15"/>
                <w:color w:val="auto"/>
              </w:rPr>
            </w:pPr>
          </w:p>
        </w:tc>
        <w:tc>
          <w:tcPr>
            <w:tcW w:w="60" w:type="dxa"/>
            <w:vAlign w:val="bottom"/>
            <w:shd w:val="clear" w:color="auto" w:fill="E5F1EE"/>
          </w:tcPr>
          <w:p>
            <w:pPr>
              <w:spacing w:after="0"/>
              <w:rPr>
                <w:sz w:val="15"/>
                <w:szCs w:val="15"/>
                <w:color w:val="auto"/>
              </w:rPr>
            </w:pPr>
          </w:p>
        </w:tc>
        <w:tc>
          <w:tcPr>
            <w:tcW w:w="1340" w:type="dxa"/>
            <w:vAlign w:val="bottom"/>
            <w:shd w:val="clear" w:color="auto" w:fill="E5F1EE"/>
          </w:tcPr>
          <w:p>
            <w:pPr>
              <w:spacing w:after="0"/>
              <w:rPr>
                <w:sz w:val="15"/>
                <w:szCs w:val="15"/>
                <w:color w:val="auto"/>
              </w:rPr>
            </w:pPr>
          </w:p>
        </w:tc>
        <w:tc>
          <w:tcPr>
            <w:tcW w:w="60" w:type="dxa"/>
            <w:vAlign w:val="bottom"/>
          </w:tcPr>
          <w:p>
            <w:pPr>
              <w:spacing w:after="0"/>
              <w:rPr>
                <w:sz w:val="15"/>
                <w:szCs w:val="15"/>
                <w:color w:val="auto"/>
              </w:rPr>
            </w:pPr>
          </w:p>
        </w:tc>
      </w:tr>
      <w:tr>
        <w:trPr>
          <w:trHeight w:val="126"/>
        </w:trPr>
        <w:tc>
          <w:tcPr>
            <w:tcW w:w="436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auto"/>
              </w:rPr>
              <w:t>For the period</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7"/>
        </w:trPr>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53"/>
        </w:trPr>
        <w:tc>
          <w:tcPr>
            <w:tcW w:w="436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300" w:type="dxa"/>
            <w:vAlign w:val="bottom"/>
            <w:shd w:val="clear" w:color="auto" w:fill="E5F1EE"/>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150</w:t>
            </w:r>
          </w:p>
        </w:tc>
        <w:tc>
          <w:tcPr>
            <w:tcW w:w="1400" w:type="dxa"/>
            <w:vAlign w:val="bottom"/>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150</w:t>
            </w:r>
          </w:p>
        </w:tc>
        <w:tc>
          <w:tcPr>
            <w:tcW w:w="1400" w:type="dxa"/>
            <w:vAlign w:val="bottom"/>
            <w:gridSpan w:val="2"/>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-20</w:t>
            </w:r>
          </w:p>
        </w:tc>
        <w:tc>
          <w:tcPr>
            <w:tcW w:w="60" w:type="dxa"/>
            <w:vAlign w:val="bottom"/>
          </w:tcPr>
          <w:p>
            <w:pPr>
              <w:spacing w:after="0"/>
              <w:rPr>
                <w:sz w:val="13"/>
                <w:szCs w:val="13"/>
                <w:color w:val="auto"/>
              </w:rPr>
            </w:pPr>
          </w:p>
        </w:tc>
      </w:tr>
      <w:tr>
        <w:trPr>
          <w:trHeight w:val="153"/>
        </w:trPr>
        <w:tc>
          <w:tcPr>
            <w:tcW w:w="4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charge-offs</w:t>
            </w:r>
          </w:p>
        </w:tc>
        <w:tc>
          <w:tcPr>
            <w:tcW w:w="300" w:type="dxa"/>
            <w:vAlign w:val="bottom"/>
          </w:tcPr>
          <w:p>
            <w:pPr>
              <w:spacing w:after="0"/>
              <w:rPr>
                <w:sz w:val="13"/>
                <w:szCs w:val="13"/>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137</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96</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w:t>
            </w:r>
          </w:p>
        </w:tc>
        <w:tc>
          <w:tcPr>
            <w:tcW w:w="60" w:type="dxa"/>
            <w:vAlign w:val="bottom"/>
          </w:tcPr>
          <w:p>
            <w:pPr>
              <w:spacing w:after="0"/>
              <w:rPr>
                <w:sz w:val="13"/>
                <w:szCs w:val="13"/>
                <w:color w:val="auto"/>
              </w:rPr>
            </w:pPr>
          </w:p>
        </w:tc>
      </w:tr>
      <w:tr>
        <w:trPr>
          <w:trHeight w:val="153"/>
        </w:trPr>
        <w:tc>
          <w:tcPr>
            <w:tcW w:w="4360" w:type="dxa"/>
            <w:vAlign w:val="bottom"/>
            <w:gridSpan w:val="3"/>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charge-offs as % of average loans (annualized)</w:t>
            </w: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.35 %</w:t>
            </w: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.41 %</w:t>
            </w:r>
          </w:p>
        </w:tc>
        <w:tc>
          <w:tcPr>
            <w:tcW w:w="60" w:type="dxa"/>
            <w:vAlign w:val="bottom"/>
            <w:shd w:val="clear" w:color="auto" w:fill="E5F1EE"/>
          </w:tcPr>
          <w:p>
            <w:pPr>
              <w:spacing w:after="0"/>
              <w:rPr>
                <w:sz w:val="13"/>
                <w:szCs w:val="13"/>
                <w:color w:val="auto"/>
              </w:rPr>
            </w:pPr>
          </w:p>
        </w:tc>
        <w:tc>
          <w:tcPr>
            <w:tcW w:w="1340" w:type="dxa"/>
            <w:vAlign w:val="bottom"/>
            <w:shd w:val="clear" w:color="auto" w:fill="E5F1EE"/>
          </w:tcPr>
          <w:p>
            <w:pPr>
              <w:spacing w:after="0"/>
              <w:rPr>
                <w:sz w:val="13"/>
                <w:szCs w:val="13"/>
                <w:color w:val="auto"/>
              </w:rPr>
            </w:pPr>
          </w:p>
        </w:tc>
        <w:tc>
          <w:tcPr>
            <w:tcW w:w="60" w:type="dxa"/>
            <w:vAlign w:val="bottom"/>
            <w:shd w:val="clear" w:color="auto" w:fill="E5F1EE"/>
          </w:tcPr>
          <w:p>
            <w:pPr>
              <w:spacing w:after="0"/>
              <w:rPr>
                <w:sz w:val="13"/>
                <w:szCs w:val="13"/>
                <w:color w:val="auto"/>
              </w:rPr>
            </w:pPr>
          </w:p>
        </w:tc>
        <w:tc>
          <w:tcPr>
            <w:tcW w:w="30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.29 %</w:t>
            </w:r>
          </w:p>
        </w:tc>
        <w:tc>
          <w:tcPr>
            <w:tcW w:w="60" w:type="dxa"/>
            <w:vAlign w:val="bottom"/>
            <w:shd w:val="clear" w:color="auto" w:fill="E5F1EE"/>
          </w:tcPr>
          <w:p>
            <w:pPr>
              <w:spacing w:after="0"/>
              <w:rPr>
                <w:sz w:val="13"/>
                <w:szCs w:val="13"/>
                <w:color w:val="auto"/>
              </w:rPr>
            </w:pPr>
          </w:p>
        </w:tc>
        <w:tc>
          <w:tcPr>
            <w:tcW w:w="1340" w:type="dxa"/>
            <w:vAlign w:val="bottom"/>
            <w:shd w:val="clear" w:color="auto" w:fill="E5F1EE"/>
          </w:tcPr>
          <w:p>
            <w:pPr>
              <w:spacing w:after="0"/>
              <w:rPr>
                <w:sz w:val="13"/>
                <w:szCs w:val="13"/>
                <w:color w:val="auto"/>
              </w:rPr>
            </w:pPr>
          </w:p>
        </w:tc>
        <w:tc>
          <w:tcPr>
            <w:tcW w:w="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36290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66" w:lineRule="exact"/>
        <w:rPr>
          <w:sz w:val="20"/>
          <w:szCs w:val="20"/>
          <w:color w:val="auto"/>
        </w:rPr>
      </w:pPr>
    </w:p>
    <w:p>
      <w:pPr>
        <w:ind w:left="288" w:hanging="288"/>
        <w:spacing w:after="0"/>
        <w:tabs>
          <w:tab w:leader="none" w:pos="28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Predominantly government-guaranteed residential real estate loans.</w:t>
      </w:r>
    </w:p>
    <w:p>
      <w:pPr>
        <w:spacing w:after="0" w:line="134" w:lineRule="exact"/>
        <w:rPr>
          <w:sz w:val="20"/>
          <w:szCs w:val="20"/>
          <w:color w:val="auto"/>
        </w:rPr>
      </w:pPr>
    </w:p>
    <w:p>
      <w:pPr>
        <w:jc w:val="both"/>
        <w:ind w:left="8" w:right="120"/>
        <w:spacing w:after="0" w:line="231" w:lineRule="auto"/>
        <w:rPr>
          <w:sz w:val="20"/>
          <w:szCs w:val="20"/>
          <w:color w:val="auto"/>
        </w:rPr>
      </w:pPr>
      <w:r>
        <w:rPr>
          <w:rFonts w:ascii="Times New Roman" w:cs="Times New Roman" w:eastAsia="Times New Roman" w:hAnsi="Times New Roman"/>
          <w:sz w:val="14"/>
          <w:szCs w:val="14"/>
          <w:color w:val="auto"/>
        </w:rPr>
        <w:t>M&amp;T recorded a provision for credit losses of $120 million in the third quarter of 2024 and $150 million in each of 2024's second quarter and 2023's third quarter. The lower provision for credit losses in the most recent quarter as compared with the second quarter of 2024 reflects a decline in commercial real estate and commercial and industrial criticized loans, partially offset by growth in certain sectors of M&amp;T's commercial and industrial and consumer loan portfolios. Net charge-offs totaled $120 million in 2024's third quarter as compared with $137 million in 2024's second quarter and $96 million in the year-earlier quarter.</w:t>
      </w:r>
    </w:p>
    <w:p>
      <w:pPr>
        <w:spacing w:after="0" w:line="100" w:lineRule="exact"/>
        <w:rPr>
          <w:sz w:val="20"/>
          <w:szCs w:val="20"/>
          <w:color w:val="auto"/>
        </w:rPr>
      </w:pPr>
    </w:p>
    <w:p>
      <w:pPr>
        <w:jc w:val="both"/>
        <w:ind w:left="8" w:right="100"/>
        <w:spacing w:after="0" w:line="255" w:lineRule="auto"/>
        <w:rPr>
          <w:sz w:val="20"/>
          <w:szCs w:val="20"/>
          <w:color w:val="auto"/>
        </w:rPr>
      </w:pPr>
      <w:r>
        <w:rPr>
          <w:rFonts w:ascii="Times New Roman" w:cs="Times New Roman" w:eastAsia="Times New Roman" w:hAnsi="Times New Roman"/>
          <w:sz w:val="14"/>
          <w:szCs w:val="14"/>
          <w:color w:val="auto"/>
        </w:rPr>
        <w:t>Nonaccrual loans were $1.9 billion at September 30, 2024, $98 million lower than at June 30, 2024 and $416 million lower than at September 30, 2023. The lower level of nonaccrual loans at the recent quarter end as compared with June 30, 2024 and September 30, 2023 was predominantly attributable to a decrease in commercial real estate nonaccrual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8"/>
          </w:cols>
          <w:pgMar w:left="292" w:top="158"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33"/>
        </w:trPr>
        <w:tc>
          <w:tcPr>
            <w:tcW w:w="4440" w:type="dxa"/>
            <w:vAlign w:val="bottom"/>
            <w:shd w:val="clear" w:color="auto" w:fill="007856"/>
          </w:tcPr>
          <w:p>
            <w:pPr>
              <w:spacing w:after="0"/>
              <w:rPr>
                <w:sz w:val="24"/>
                <w:szCs w:val="24"/>
                <w:color w:val="auto"/>
              </w:rPr>
            </w:pPr>
          </w:p>
        </w:tc>
        <w:tc>
          <w:tcPr>
            <w:tcW w:w="260" w:type="dxa"/>
            <w:vAlign w:val="bottom"/>
            <w:shd w:val="clear" w:color="auto" w:fill="007856"/>
          </w:tcPr>
          <w:p>
            <w:pPr>
              <w:spacing w:after="0"/>
              <w:rPr>
                <w:sz w:val="24"/>
                <w:szCs w:val="24"/>
                <w:color w:val="auto"/>
              </w:rPr>
            </w:pPr>
          </w:p>
        </w:tc>
        <w:tc>
          <w:tcPr>
            <w:tcW w:w="88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88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122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260" w:type="dxa"/>
            <w:vAlign w:val="bottom"/>
            <w:shd w:val="clear" w:color="auto" w:fill="007856"/>
          </w:tcPr>
          <w:p>
            <w:pPr>
              <w:spacing w:after="0"/>
              <w:rPr>
                <w:sz w:val="24"/>
                <w:szCs w:val="24"/>
                <w:color w:val="auto"/>
              </w:rPr>
            </w:pPr>
          </w:p>
        </w:tc>
        <w:tc>
          <w:tcPr>
            <w:tcW w:w="880" w:type="dxa"/>
            <w:vAlign w:val="bottom"/>
            <w:shd w:val="clear" w:color="auto" w:fill="007856"/>
          </w:tcPr>
          <w:p>
            <w:pPr>
              <w:spacing w:after="0"/>
              <w:rPr>
                <w:sz w:val="24"/>
                <w:szCs w:val="24"/>
                <w:color w:val="auto"/>
              </w:rPr>
            </w:pPr>
          </w:p>
        </w:tc>
        <w:tc>
          <w:tcPr>
            <w:tcW w:w="1520" w:type="dxa"/>
            <w:vAlign w:val="bottom"/>
            <w:gridSpan w:val="3"/>
            <w:shd w:val="clear" w:color="auto" w:fill="007856"/>
          </w:tcPr>
          <w:p>
            <w:pPr>
              <w:spacing w:after="0"/>
              <w:rPr>
                <w:sz w:val="20"/>
                <w:szCs w:val="20"/>
                <w:color w:val="auto"/>
              </w:rPr>
            </w:pPr>
            <w:r>
              <w:rPr>
                <w:rFonts w:ascii="Times New Roman" w:cs="Times New Roman" w:eastAsia="Times New Roman" w:hAnsi="Times New Roman"/>
                <w:sz w:val="12"/>
                <w:szCs w:val="12"/>
                <w:b w:val="1"/>
                <w:bCs w:val="1"/>
                <w:color w:val="FFFFFF"/>
              </w:rPr>
              <w:t>Third Quarter 2024 Results</w:t>
            </w:r>
          </w:p>
        </w:tc>
        <w:tc>
          <w:tcPr>
            <w:tcW w:w="0" w:type="dxa"/>
            <w:vAlign w:val="bottom"/>
          </w:tcPr>
          <w:p>
            <w:pPr>
              <w:spacing w:after="0"/>
              <w:rPr>
                <w:sz w:val="1"/>
                <w:szCs w:val="1"/>
                <w:color w:val="auto"/>
              </w:rPr>
            </w:pPr>
          </w:p>
        </w:tc>
      </w:tr>
      <w:tr>
        <w:trPr>
          <w:trHeight w:val="621"/>
        </w:trPr>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007856"/>
          </w:tcPr>
          <w:p>
            <w:pPr>
              <w:ind w:left="40"/>
              <w:spacing w:after="0"/>
              <w:rPr>
                <w:sz w:val="20"/>
                <w:szCs w:val="20"/>
                <w:color w:val="auto"/>
              </w:rPr>
            </w:pPr>
            <w:r>
              <w:rPr>
                <w:rFonts w:ascii="Times New Roman" w:cs="Times New Roman" w:eastAsia="Times New Roman" w:hAnsi="Times New Roman"/>
                <w:sz w:val="14"/>
                <w:szCs w:val="14"/>
                <w:b w:val="1"/>
                <w:bCs w:val="1"/>
                <w:color w:val="FFFFFF"/>
              </w:rPr>
              <w:t>Noninterest Income</w:t>
            </w:r>
          </w:p>
        </w:tc>
        <w:tc>
          <w:tcPr>
            <w:tcW w:w="260" w:type="dxa"/>
            <w:vAlign w:val="bottom"/>
            <w:shd w:val="clear" w:color="auto" w:fill="007856"/>
          </w:tcPr>
          <w:p>
            <w:pPr>
              <w:spacing w:after="0"/>
              <w:rPr>
                <w:sz w:val="15"/>
                <w:szCs w:val="15"/>
                <w:color w:val="auto"/>
              </w:rPr>
            </w:pPr>
          </w:p>
        </w:tc>
        <w:tc>
          <w:tcPr>
            <w:tcW w:w="88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88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122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260" w:type="dxa"/>
            <w:vAlign w:val="bottom"/>
            <w:shd w:val="clear" w:color="auto" w:fill="007856"/>
          </w:tcPr>
          <w:p>
            <w:pPr>
              <w:spacing w:after="0"/>
              <w:rPr>
                <w:sz w:val="15"/>
                <w:szCs w:val="15"/>
                <w:color w:val="auto"/>
              </w:rPr>
            </w:pPr>
          </w:p>
        </w:tc>
        <w:tc>
          <w:tcPr>
            <w:tcW w:w="880" w:type="dxa"/>
            <w:vAlign w:val="bottom"/>
            <w:shd w:val="clear" w:color="auto" w:fill="007856"/>
          </w:tcPr>
          <w:p>
            <w:pPr>
              <w:spacing w:after="0"/>
              <w:rPr>
                <w:sz w:val="15"/>
                <w:szCs w:val="15"/>
                <w:color w:val="auto"/>
              </w:rPr>
            </w:pPr>
          </w:p>
        </w:tc>
        <w:tc>
          <w:tcPr>
            <w:tcW w:w="240" w:type="dxa"/>
            <w:vAlign w:val="bottom"/>
            <w:shd w:val="clear" w:color="auto" w:fill="007856"/>
          </w:tcPr>
          <w:p>
            <w:pPr>
              <w:spacing w:after="0"/>
              <w:rPr>
                <w:sz w:val="15"/>
                <w:szCs w:val="15"/>
                <w:color w:val="auto"/>
              </w:rPr>
            </w:pPr>
          </w:p>
        </w:tc>
        <w:tc>
          <w:tcPr>
            <w:tcW w:w="1220" w:type="dxa"/>
            <w:vAlign w:val="bottom"/>
            <w:shd w:val="clear" w:color="auto" w:fill="007856"/>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4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Change 3Q24 vs.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8"/>
              </w:rPr>
              <w:t>Change 3Q24 vs.</w:t>
            </w:r>
          </w:p>
        </w:tc>
        <w:tc>
          <w:tcPr>
            <w:tcW w:w="0" w:type="dxa"/>
            <w:vAlign w:val="bottom"/>
          </w:tcPr>
          <w:p>
            <w:pPr>
              <w:spacing w:after="0"/>
              <w:rPr>
                <w:sz w:val="1"/>
                <w:szCs w:val="1"/>
                <w:color w:val="auto"/>
              </w:rPr>
            </w:pPr>
          </w:p>
        </w:tc>
      </w:tr>
      <w:tr>
        <w:trPr>
          <w:trHeight w:val="155"/>
        </w:trPr>
        <w:tc>
          <w:tcPr>
            <w:tcW w:w="44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3Q24</w:t>
            </w:r>
          </w:p>
        </w:tc>
        <w:tc>
          <w:tcPr>
            <w:tcW w:w="240" w:type="dxa"/>
            <w:vAlign w:val="bottom"/>
          </w:tcPr>
          <w:p>
            <w:pPr>
              <w:spacing w:after="0"/>
              <w:rPr>
                <w:sz w:val="13"/>
                <w:szCs w:val="13"/>
                <w:color w:val="auto"/>
              </w:rPr>
            </w:pPr>
          </w:p>
        </w:tc>
        <w:tc>
          <w:tcPr>
            <w:tcW w:w="8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2Q24</w:t>
            </w:r>
          </w:p>
        </w:tc>
        <w:tc>
          <w:tcPr>
            <w:tcW w:w="2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2Q24</w:t>
            </w:r>
          </w:p>
        </w:tc>
        <w:tc>
          <w:tcPr>
            <w:tcW w:w="260" w:type="dxa"/>
            <w:vAlign w:val="bottom"/>
          </w:tcPr>
          <w:p>
            <w:pPr>
              <w:spacing w:after="0"/>
              <w:rPr>
                <w:sz w:val="13"/>
                <w:szCs w:val="13"/>
                <w:color w:val="auto"/>
              </w:rPr>
            </w:pPr>
          </w:p>
        </w:tc>
        <w:tc>
          <w:tcPr>
            <w:tcW w:w="8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3Q23</w:t>
            </w:r>
          </w:p>
        </w:tc>
        <w:tc>
          <w:tcPr>
            <w:tcW w:w="240" w:type="dxa"/>
            <w:vAlign w:val="bottom"/>
          </w:tcPr>
          <w:p>
            <w:pPr>
              <w:spacing w:after="0"/>
              <w:rPr>
                <w:sz w:val="13"/>
                <w:szCs w:val="13"/>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7"/>
              </w:rPr>
              <w:t>3Q23</w:t>
            </w:r>
          </w:p>
        </w:tc>
        <w:tc>
          <w:tcPr>
            <w:tcW w:w="0" w:type="dxa"/>
            <w:vAlign w:val="bottom"/>
          </w:tcPr>
          <w:p>
            <w:pPr>
              <w:spacing w:after="0"/>
              <w:rPr>
                <w:sz w:val="1"/>
                <w:szCs w:val="1"/>
                <w:color w:val="auto"/>
              </w:rPr>
            </w:pPr>
          </w:p>
        </w:tc>
      </w:tr>
      <w:tr>
        <w:trPr>
          <w:trHeight w:val="142"/>
        </w:trPr>
        <w:tc>
          <w:tcPr>
            <w:tcW w:w="444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Mortgage banking revenues</w:t>
            </w:r>
          </w:p>
        </w:tc>
        <w:tc>
          <w:tcPr>
            <w:tcW w:w="260" w:type="dxa"/>
            <w:vAlign w:val="bottom"/>
            <w:tcBorders>
              <w:top w:val="single" w:sz="8" w:color="auto"/>
            </w:tcBorders>
            <w:shd w:val="clear" w:color="auto" w:fill="E5F1EE"/>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40" w:type="dxa"/>
            <w:vAlign w:val="bottom"/>
            <w:tcBorders>
              <w:top w:val="single" w:sz="8" w:color="E5F1EE"/>
            </w:tcBorders>
            <w:shd w:val="clear" w:color="auto" w:fill="E5F1EE"/>
          </w:tcPr>
          <w:p>
            <w:pPr>
              <w:spacing w:after="0"/>
              <w:rPr>
                <w:sz w:val="12"/>
                <w:szCs w:val="12"/>
                <w:color w:val="auto"/>
              </w:rPr>
            </w:pPr>
          </w:p>
        </w:tc>
        <w:tc>
          <w:tcPr>
            <w:tcW w:w="240" w:type="dxa"/>
            <w:vAlign w:val="bottom"/>
            <w:tcBorders>
              <w:top w:val="single" w:sz="8" w:color="auto"/>
            </w:tcBorders>
            <w:shd w:val="clear" w:color="auto" w:fill="E5F1EE"/>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40" w:type="dxa"/>
            <w:vAlign w:val="bottom"/>
            <w:tcBorders>
              <w:top w:val="single" w:sz="8" w:color="E5F1EE"/>
            </w:tcBorders>
            <w:shd w:val="clear" w:color="auto" w:fill="E5F1EE"/>
          </w:tcPr>
          <w:p>
            <w:pPr>
              <w:spacing w:after="0"/>
              <w:rPr>
                <w:sz w:val="12"/>
                <w:szCs w:val="12"/>
                <w:color w:val="auto"/>
              </w:rPr>
            </w:pPr>
          </w:p>
        </w:tc>
        <w:tc>
          <w:tcPr>
            <w:tcW w:w="12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3 %</w:t>
            </w:r>
          </w:p>
        </w:tc>
        <w:tc>
          <w:tcPr>
            <w:tcW w:w="240" w:type="dxa"/>
            <w:vAlign w:val="bottom"/>
            <w:tcBorders>
              <w:top w:val="single" w:sz="8" w:color="E5F1EE"/>
            </w:tcBorders>
            <w:shd w:val="clear" w:color="auto" w:fill="E5F1EE"/>
          </w:tcPr>
          <w:p>
            <w:pPr>
              <w:spacing w:after="0"/>
              <w:rPr>
                <w:sz w:val="12"/>
                <w:szCs w:val="12"/>
                <w:color w:val="auto"/>
              </w:rPr>
            </w:pPr>
          </w:p>
        </w:tc>
        <w:tc>
          <w:tcPr>
            <w:tcW w:w="260" w:type="dxa"/>
            <w:vAlign w:val="bottom"/>
            <w:tcBorders>
              <w:top w:val="single" w:sz="8" w:color="auto"/>
            </w:tcBorders>
            <w:shd w:val="clear" w:color="auto" w:fill="E5F1EE"/>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240" w:type="dxa"/>
            <w:vAlign w:val="bottom"/>
            <w:tcBorders>
              <w:top w:val="single" w:sz="8" w:color="E5F1EE"/>
            </w:tcBorders>
            <w:shd w:val="clear" w:color="auto" w:fill="E5F1EE"/>
          </w:tcPr>
          <w:p>
            <w:pPr>
              <w:spacing w:after="0"/>
              <w:rPr>
                <w:sz w:val="12"/>
                <w:szCs w:val="12"/>
                <w:color w:val="auto"/>
              </w:rPr>
            </w:pPr>
          </w:p>
        </w:tc>
        <w:tc>
          <w:tcPr>
            <w:tcW w:w="12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4 %</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Service charges on deposit accounts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Trust income</w:t>
            </w: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40" w:type="dxa"/>
            <w:vAlign w:val="bottom"/>
            <w:shd w:val="clear" w:color="auto" w:fill="E5F1EE"/>
          </w:tcPr>
          <w:p>
            <w:pPr>
              <w:spacing w:after="0"/>
              <w:rPr>
                <w:sz w:val="13"/>
                <w:szCs w:val="13"/>
                <w:color w:val="auto"/>
              </w:rPr>
            </w:pPr>
          </w:p>
        </w:tc>
        <w:tc>
          <w:tcPr>
            <w:tcW w:w="1460" w:type="dxa"/>
            <w:vAlign w:val="bottom"/>
            <w:gridSpan w:val="2"/>
            <w:shd w:val="clear" w:color="auto" w:fill="E5F1EE"/>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E5F1EE"/>
          </w:tcPr>
          <w:p>
            <w:pPr>
              <w:spacing w:after="0"/>
              <w:rPr>
                <w:sz w:val="13"/>
                <w:szCs w:val="13"/>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46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Brokerage services income</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40" w:type="dxa"/>
            <w:vAlign w:val="bottom"/>
            <w:shd w:val="clear" w:color="auto" w:fill="E5F1EE"/>
          </w:tcPr>
          <w:p>
            <w:pPr>
              <w:spacing w:after="0" w:line="117" w:lineRule="exact"/>
              <w:rPr>
                <w:sz w:val="20"/>
                <w:szCs w:val="20"/>
                <w:color w:val="auto"/>
              </w:rPr>
            </w:pPr>
            <w:r>
              <w:rPr>
                <w:rFonts w:ascii="Times New Roman" w:cs="Times New Roman" w:eastAsia="Times New Roman" w:hAnsi="Times New Roman"/>
                <w:sz w:val="12"/>
                <w:szCs w:val="12"/>
                <w:color w:val="auto"/>
              </w:rPr>
              <w:t>Trading account and other non-hedging</w:t>
            </w:r>
          </w:p>
        </w:tc>
        <w:tc>
          <w:tcPr>
            <w:tcW w:w="260" w:type="dxa"/>
            <w:vAlign w:val="bottom"/>
            <w:shd w:val="clear" w:color="auto" w:fill="E5F1EE"/>
          </w:tcPr>
          <w:p>
            <w:pPr>
              <w:spacing w:after="0"/>
              <w:rPr>
                <w:sz w:val="10"/>
                <w:szCs w:val="10"/>
                <w:color w:val="auto"/>
              </w:rPr>
            </w:pPr>
          </w:p>
        </w:tc>
        <w:tc>
          <w:tcPr>
            <w:tcW w:w="88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88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122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260" w:type="dxa"/>
            <w:vAlign w:val="bottom"/>
            <w:shd w:val="clear" w:color="auto" w:fill="E5F1EE"/>
          </w:tcPr>
          <w:p>
            <w:pPr>
              <w:spacing w:after="0"/>
              <w:rPr>
                <w:sz w:val="10"/>
                <w:szCs w:val="10"/>
                <w:color w:val="auto"/>
              </w:rPr>
            </w:pPr>
          </w:p>
        </w:tc>
        <w:tc>
          <w:tcPr>
            <w:tcW w:w="88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1220" w:type="dxa"/>
            <w:vAlign w:val="bottom"/>
            <w:shd w:val="clear" w:color="auto" w:fill="E5F1E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derivative gains</w:t>
            </w:r>
          </w:p>
        </w:tc>
        <w:tc>
          <w:tcPr>
            <w:tcW w:w="260" w:type="dxa"/>
            <w:vAlign w:val="bottom"/>
            <w:shd w:val="clear" w:color="auto" w:fill="E5F1EE"/>
          </w:tcPr>
          <w:p>
            <w:pPr>
              <w:spacing w:after="0"/>
              <w:rPr>
                <w:sz w:val="14"/>
                <w:szCs w:val="14"/>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shd w:val="clear" w:color="auto" w:fill="E5F1EE"/>
          </w:tcPr>
          <w:p>
            <w:pPr>
              <w:spacing w:after="0"/>
              <w:rPr>
                <w:sz w:val="14"/>
                <w:szCs w:val="14"/>
                <w:color w:val="auto"/>
              </w:rPr>
            </w:pPr>
          </w:p>
        </w:tc>
        <w:tc>
          <w:tcPr>
            <w:tcW w:w="240" w:type="dxa"/>
            <w:vAlign w:val="bottom"/>
            <w:shd w:val="clear" w:color="auto" w:fill="E5F1EE"/>
          </w:tcPr>
          <w:p>
            <w:pPr>
              <w:spacing w:after="0"/>
              <w:rPr>
                <w:sz w:val="14"/>
                <w:szCs w:val="14"/>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46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109</w:t>
            </w:r>
          </w:p>
        </w:tc>
        <w:tc>
          <w:tcPr>
            <w:tcW w:w="240" w:type="dxa"/>
            <w:vAlign w:val="bottom"/>
            <w:shd w:val="clear" w:color="auto" w:fill="E5F1EE"/>
          </w:tcPr>
          <w:p>
            <w:pPr>
              <w:spacing w:after="0"/>
              <w:rPr>
                <w:sz w:val="14"/>
                <w:szCs w:val="14"/>
                <w:color w:val="auto"/>
              </w:rPr>
            </w:pPr>
          </w:p>
        </w:tc>
        <w:tc>
          <w:tcPr>
            <w:tcW w:w="260" w:type="dxa"/>
            <w:vAlign w:val="bottom"/>
            <w:shd w:val="clear" w:color="auto" w:fill="E5F1EE"/>
          </w:tcPr>
          <w:p>
            <w:pPr>
              <w:spacing w:after="0"/>
              <w:rPr>
                <w:sz w:val="14"/>
                <w:szCs w:val="14"/>
                <w:color w:val="auto"/>
              </w:rPr>
            </w:pPr>
          </w:p>
        </w:tc>
        <w:tc>
          <w:tcPr>
            <w:tcW w:w="8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6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Gain (loss) on bank investment securities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40" w:type="dxa"/>
            <w:vAlign w:val="bottom"/>
          </w:tcPr>
          <w:p>
            <w:pPr>
              <w:spacing w:after="0"/>
              <w:rPr>
                <w:sz w:val="13"/>
                <w:szCs w:val="13"/>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Other revenues from operations</w:t>
            </w:r>
          </w:p>
        </w:tc>
        <w:tc>
          <w:tcPr>
            <w:tcW w:w="26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40" w:type="dxa"/>
            <w:vAlign w:val="bottom"/>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40" w:type="dxa"/>
            <w:vAlign w:val="bottom"/>
            <w:shd w:val="clear" w:color="auto" w:fill="E5F1EE"/>
          </w:tcPr>
          <w:p>
            <w:pPr>
              <w:spacing w:after="0"/>
              <w:rPr>
                <w:sz w:val="13"/>
                <w:szCs w:val="13"/>
                <w:color w:val="auto"/>
              </w:rPr>
            </w:pPr>
          </w:p>
        </w:tc>
        <w:tc>
          <w:tcPr>
            <w:tcW w:w="1460" w:type="dxa"/>
            <w:vAlign w:val="bottom"/>
            <w:gridSpan w:val="2"/>
            <w:shd w:val="clear" w:color="auto" w:fill="E5F1EE"/>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E5F1EE"/>
          </w:tcPr>
          <w:p>
            <w:pPr>
              <w:spacing w:after="0"/>
              <w:rPr>
                <w:sz w:val="13"/>
                <w:szCs w:val="13"/>
                <w:color w:val="auto"/>
              </w:rPr>
            </w:pPr>
          </w:p>
        </w:tc>
        <w:tc>
          <w:tcPr>
            <w:tcW w:w="88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46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Noninterest income in the third quarter of 2024 increased $22 million, or 4%, from 2024's second quarter.</w:t>
      </w:r>
    </w:p>
    <w:p>
      <w:pPr>
        <w:spacing w:after="0" w:line="27" w:lineRule="exact"/>
        <w:rPr>
          <w:sz w:val="20"/>
          <w:szCs w:val="20"/>
          <w:color w:val="auto"/>
        </w:rPr>
      </w:pPr>
    </w:p>
    <w:p>
      <w:pPr>
        <w:ind w:left="580" w:hanging="295"/>
        <w:spacing w:after="0"/>
        <w:tabs>
          <w:tab w:leader="none" w:pos="5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charges on deposit accounts increased $5 million reflecting a rise in consumer and commercial service charges.</w:t>
      </w:r>
    </w:p>
    <w:p>
      <w:pPr>
        <w:spacing w:after="0" w:line="19" w:lineRule="exact"/>
        <w:rPr>
          <w:rFonts w:ascii="Times New Roman" w:cs="Times New Roman" w:eastAsia="Times New Roman" w:hAnsi="Times New Roman"/>
          <w:sz w:val="14"/>
          <w:szCs w:val="14"/>
          <w:color w:val="auto"/>
        </w:rPr>
      </w:pPr>
    </w:p>
    <w:p>
      <w:pPr>
        <w:ind w:left="580" w:right="140" w:hanging="295"/>
        <w:spacing w:after="0" w:line="241" w:lineRule="auto"/>
        <w:tabs>
          <w:tab w:leader="none" w:pos="57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account and other non-hedging derivative gains increased $6 million reflecting an increase in the market value of supplemental executive retirement plan assets from favorable market conditions and increased activity related to interest rate swap agreements with commercial customers.</w:t>
      </w:r>
    </w:p>
    <w:p>
      <w:pPr>
        <w:ind w:left="580" w:right="340" w:hanging="295"/>
        <w:spacing w:after="0" w:line="243" w:lineRule="auto"/>
        <w:tabs>
          <w:tab w:leader="none" w:pos="57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lower loss on bank investment securities of $6 million in the third quarter of 2024 as compared with the second quarter of 2024 reflected realized losses on sales of certain non-agency investment securities during the second quarter of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income rose $46 million, or 8%, as compared with the year-earlier third quarter.</w:t>
      </w:r>
    </w:p>
    <w:p>
      <w:pPr>
        <w:spacing w:after="0" w:line="27" w:lineRule="exact"/>
        <w:rPr>
          <w:sz w:val="20"/>
          <w:szCs w:val="20"/>
          <w:color w:val="auto"/>
        </w:rPr>
      </w:pPr>
    </w:p>
    <w:p>
      <w:pPr>
        <w:ind w:left="580" w:right="60" w:hanging="295"/>
        <w:spacing w:after="0" w:line="241" w:lineRule="auto"/>
        <w:tabs>
          <w:tab w:leader="none" w:pos="57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charges on deposit accounts increased $11 million reflecting higher commercial service charges from pricing changes and increased customer usage of sweep products and a rise in consumer service charges.</w:t>
      </w:r>
    </w:p>
    <w:p>
      <w:pPr>
        <w:ind w:left="580" w:right="320" w:hanging="295"/>
        <w:spacing w:after="0" w:line="241" w:lineRule="auto"/>
        <w:tabs>
          <w:tab w:leader="none" w:pos="57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 income increased $15 million predominantly due to higher sales and fees from the Company's global capital markets business and improved market performance in the wealth management business.</w:t>
      </w:r>
    </w:p>
    <w:p>
      <w:pPr>
        <w:ind w:left="580" w:hanging="295"/>
        <w:spacing w:after="0"/>
        <w:tabs>
          <w:tab w:leader="none" w:pos="5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services income rose $5 million predominantly due to higher annuity sales.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revenues from operations rose $9 million reflecting higher letter of credit and other credit-related fees.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157" w:right="299" w:bottom="1440" w:gutter="0" w:footer="0" w:header="0"/>
        </w:sectPr>
      </w:pPr>
    </w:p>
    <w:bookmarkStart w:id="9" w:name="page10"/>
    <w:bookmarkEnd w:id="9"/>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FFFFFF"/>
        </w:rPr>
        <w:t>Noninterest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4375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1430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Change 3Q24 vs.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Change 3Q24 vs.</w:t>
            </w:r>
          </w:p>
        </w:tc>
        <w:tc>
          <w:tcPr>
            <w:tcW w:w="0" w:type="dxa"/>
            <w:vAlign w:val="bottom"/>
          </w:tcPr>
          <w:p>
            <w:pPr>
              <w:spacing w:after="0"/>
              <w:rPr>
                <w:sz w:val="1"/>
                <w:szCs w:val="1"/>
                <w:color w:val="auto"/>
              </w:rPr>
            </w:pPr>
          </w:p>
        </w:tc>
      </w:tr>
      <w:tr>
        <w:trPr>
          <w:trHeight w:val="155"/>
        </w:trPr>
        <w:tc>
          <w:tcPr>
            <w:tcW w:w="48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3Q24</w:t>
            </w:r>
          </w:p>
        </w:tc>
        <w:tc>
          <w:tcPr>
            <w:tcW w:w="240" w:type="dxa"/>
            <w:vAlign w:val="bottom"/>
          </w:tcPr>
          <w:p>
            <w:pPr>
              <w:spacing w:after="0"/>
              <w:rPr>
                <w:sz w:val="13"/>
                <w:szCs w:val="13"/>
                <w:color w:val="auto"/>
              </w:rPr>
            </w:pPr>
          </w:p>
        </w:tc>
        <w:tc>
          <w:tcPr>
            <w:tcW w:w="8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2Q24</w:t>
            </w:r>
          </w:p>
        </w:tc>
        <w:tc>
          <w:tcPr>
            <w:tcW w:w="2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7"/>
              </w:rPr>
              <w:t>2Q24</w:t>
            </w:r>
          </w:p>
        </w:tc>
        <w:tc>
          <w:tcPr>
            <w:tcW w:w="220" w:type="dxa"/>
            <w:vAlign w:val="bottom"/>
          </w:tcPr>
          <w:p>
            <w:pPr>
              <w:spacing w:after="0"/>
              <w:rPr>
                <w:sz w:val="13"/>
                <w:szCs w:val="13"/>
                <w:color w:val="auto"/>
              </w:rPr>
            </w:pPr>
          </w:p>
        </w:tc>
        <w:tc>
          <w:tcPr>
            <w:tcW w:w="82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3Q23</w:t>
            </w:r>
          </w:p>
        </w:tc>
        <w:tc>
          <w:tcPr>
            <w:tcW w:w="240" w:type="dxa"/>
            <w:vAlign w:val="bottom"/>
          </w:tcPr>
          <w:p>
            <w:pPr>
              <w:spacing w:after="0"/>
              <w:rPr>
                <w:sz w:val="13"/>
                <w:szCs w:val="13"/>
                <w:color w:val="auto"/>
              </w:rPr>
            </w:pPr>
          </w:p>
        </w:tc>
        <w:tc>
          <w:tcPr>
            <w:tcW w:w="11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3Q23</w:t>
            </w:r>
          </w:p>
        </w:tc>
        <w:tc>
          <w:tcPr>
            <w:tcW w:w="0" w:type="dxa"/>
            <w:vAlign w:val="bottom"/>
          </w:tcPr>
          <w:p>
            <w:pPr>
              <w:spacing w:after="0"/>
              <w:rPr>
                <w:sz w:val="1"/>
                <w:szCs w:val="1"/>
                <w:color w:val="auto"/>
              </w:rPr>
            </w:pPr>
          </w:p>
        </w:tc>
      </w:tr>
      <w:tr>
        <w:trPr>
          <w:trHeight w:val="142"/>
        </w:trPr>
        <w:tc>
          <w:tcPr>
            <w:tcW w:w="488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24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40" w:type="dxa"/>
            <w:vAlign w:val="bottom"/>
            <w:tcBorders>
              <w:top w:val="single" w:sz="8" w:color="E5F1EE"/>
            </w:tcBorders>
            <w:shd w:val="clear" w:color="auto" w:fill="E5F1EE"/>
          </w:tcPr>
          <w:p>
            <w:pPr>
              <w:spacing w:after="0"/>
              <w:rPr>
                <w:sz w:val="12"/>
                <w:szCs w:val="12"/>
                <w:color w:val="auto"/>
              </w:rPr>
            </w:pPr>
          </w:p>
        </w:tc>
        <w:tc>
          <w:tcPr>
            <w:tcW w:w="240" w:type="dxa"/>
            <w:vAlign w:val="bottom"/>
            <w:tcBorders>
              <w:top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240" w:type="dxa"/>
            <w:vAlign w:val="bottom"/>
            <w:tcBorders>
              <w:top w:val="single" w:sz="8" w:color="E5F1EE"/>
            </w:tcBorders>
            <w:shd w:val="clear" w:color="auto" w:fill="E5F1EE"/>
          </w:tcPr>
          <w:p>
            <w:pPr>
              <w:spacing w:after="0"/>
              <w:rPr>
                <w:sz w:val="12"/>
                <w:szCs w:val="12"/>
                <w:color w:val="auto"/>
              </w:rPr>
            </w:pPr>
          </w:p>
        </w:tc>
        <w:tc>
          <w:tcPr>
            <w:tcW w:w="11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240" w:type="dxa"/>
            <w:vAlign w:val="bottom"/>
            <w:tcBorders>
              <w:top w:val="single" w:sz="8" w:color="E5F1EE"/>
            </w:tcBorders>
            <w:shd w:val="clear" w:color="auto" w:fill="E5F1EE"/>
          </w:tcPr>
          <w:p>
            <w:pPr>
              <w:spacing w:after="0"/>
              <w:rPr>
                <w:sz w:val="12"/>
                <w:szCs w:val="12"/>
                <w:color w:val="auto"/>
              </w:rPr>
            </w:pPr>
          </w:p>
        </w:tc>
        <w:tc>
          <w:tcPr>
            <w:tcW w:w="220" w:type="dxa"/>
            <w:vAlign w:val="bottom"/>
            <w:tcBorders>
              <w:top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240" w:type="dxa"/>
            <w:vAlign w:val="bottom"/>
            <w:tcBorders>
              <w:top w:val="single" w:sz="8" w:color="E5F1EE"/>
            </w:tcBorders>
            <w:shd w:val="clear" w:color="auto" w:fill="E5F1EE"/>
          </w:tcPr>
          <w:p>
            <w:pPr>
              <w:spacing w:after="0"/>
              <w:rPr>
                <w:sz w:val="12"/>
                <w:szCs w:val="12"/>
                <w:color w:val="auto"/>
              </w:rPr>
            </w:pPr>
          </w:p>
        </w:tc>
        <w:tc>
          <w:tcPr>
            <w:tcW w:w="11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7 %</w:t>
            </w:r>
          </w:p>
        </w:tc>
        <w:tc>
          <w:tcPr>
            <w:tcW w:w="0" w:type="dxa"/>
            <w:vAlign w:val="bottom"/>
          </w:tcPr>
          <w:p>
            <w:pPr>
              <w:spacing w:after="0"/>
              <w:rPr>
                <w:sz w:val="1"/>
                <w:szCs w:val="1"/>
                <w:color w:val="auto"/>
              </w:rPr>
            </w:pPr>
          </w:p>
        </w:tc>
      </w:tr>
      <w:tr>
        <w:trPr>
          <w:trHeight w:val="153"/>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Equipment and net occupancy</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40" w:type="dxa"/>
            <w:vAlign w:val="bottom"/>
          </w:tcPr>
          <w:p>
            <w:pPr>
              <w:spacing w:after="0"/>
              <w:rPr>
                <w:sz w:val="13"/>
                <w:szCs w:val="13"/>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3"/>
        </w:trPr>
        <w:tc>
          <w:tcPr>
            <w:tcW w:w="48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Outside data processing and software</w:t>
            </w:r>
          </w:p>
        </w:tc>
        <w:tc>
          <w:tcPr>
            <w:tcW w:w="2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38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38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3"/>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Professional and other services</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3"/>
        </w:trPr>
        <w:tc>
          <w:tcPr>
            <w:tcW w:w="48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FDIC assessments</w:t>
            </w:r>
          </w:p>
        </w:tc>
        <w:tc>
          <w:tcPr>
            <w:tcW w:w="2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38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-32</w:t>
            </w:r>
          </w:p>
        </w:tc>
        <w:tc>
          <w:tcPr>
            <w:tcW w:w="24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38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53"/>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Advertising and marketing</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40" w:type="dxa"/>
            <w:vAlign w:val="bottom"/>
          </w:tcPr>
          <w:p>
            <w:pPr>
              <w:spacing w:after="0"/>
              <w:rPr>
                <w:sz w:val="13"/>
                <w:szCs w:val="13"/>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53"/>
        </w:trPr>
        <w:tc>
          <w:tcPr>
            <w:tcW w:w="488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Amortization of core deposit and other intangible assets</w:t>
            </w:r>
          </w:p>
        </w:tc>
        <w:tc>
          <w:tcPr>
            <w:tcW w:w="2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8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shd w:val="clear" w:color="auto" w:fill="E5F1EE"/>
          </w:tcPr>
          <w:p>
            <w:pPr>
              <w:spacing w:after="0"/>
              <w:rPr>
                <w:sz w:val="13"/>
                <w:szCs w:val="13"/>
                <w:color w:val="auto"/>
              </w:rPr>
            </w:pPr>
          </w:p>
        </w:tc>
        <w:tc>
          <w:tcPr>
            <w:tcW w:w="1380" w:type="dxa"/>
            <w:vAlign w:val="bottom"/>
            <w:gridSpan w:val="2"/>
            <w:shd w:val="clear" w:color="auto" w:fill="E5F1EE"/>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380" w:type="dxa"/>
            <w:vAlign w:val="bottom"/>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53"/>
        </w:trPr>
        <w:tc>
          <w:tcPr>
            <w:tcW w:w="488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Other costs of operations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4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380" w:type="dxa"/>
            <w:vAlign w:val="bottom"/>
            <w:tcBorders>
              <w:bottom w:val="single" w:sz="8" w:color="E5F1EE"/>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380" w:type="dxa"/>
            <w:vAlign w:val="bottom"/>
            <w:tcBorders>
              <w:bottom w:val="single" w:sz="8" w:color="E5F1EE"/>
            </w:tcBorders>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8"/>
        </w:trPr>
        <w:tc>
          <w:tcPr>
            <w:tcW w:w="488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bottom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240" w:type="dxa"/>
            <w:vAlign w:val="bottom"/>
            <w:tcBorders>
              <w:bottom w:val="single" w:sz="8" w:color="E5F1EE"/>
            </w:tcBorders>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1,297</w:t>
            </w:r>
          </w:p>
        </w:tc>
        <w:tc>
          <w:tcPr>
            <w:tcW w:w="240" w:type="dxa"/>
            <w:vAlign w:val="bottom"/>
            <w:tcBorders>
              <w:bottom w:val="single" w:sz="8" w:color="E5F1EE"/>
            </w:tcBorders>
            <w:shd w:val="clear" w:color="auto" w:fill="E5F1EE"/>
          </w:tcPr>
          <w:p>
            <w:pPr>
              <w:spacing w:after="0"/>
              <w:rPr>
                <w:sz w:val="13"/>
                <w:szCs w:val="13"/>
                <w:color w:val="auto"/>
              </w:rPr>
            </w:pPr>
          </w:p>
        </w:tc>
        <w:tc>
          <w:tcPr>
            <w:tcW w:w="1380" w:type="dxa"/>
            <w:vAlign w:val="bottom"/>
            <w:tcBorders>
              <w:bottom w:val="single" w:sz="8" w:color="E5F1EE"/>
            </w:tcBorders>
            <w:gridSpan w:val="2"/>
            <w:shd w:val="clear" w:color="auto" w:fill="E5F1EE"/>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1,278</w:t>
            </w:r>
          </w:p>
        </w:tc>
        <w:tc>
          <w:tcPr>
            <w:tcW w:w="1380" w:type="dxa"/>
            <w:vAlign w:val="bottom"/>
            <w:tcBorders>
              <w:bottom w:val="single" w:sz="8" w:color="E5F1EE"/>
            </w:tcBorders>
            <w:gridSpan w:val="2"/>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expense rose $6 million from the second quarter of 2024.</w:t>
      </w:r>
    </w:p>
    <w:p>
      <w:pPr>
        <w:spacing w:after="0" w:line="27" w:lineRule="exact"/>
        <w:rPr>
          <w:sz w:val="20"/>
          <w:szCs w:val="20"/>
          <w:color w:val="auto"/>
        </w:rPr>
      </w:pPr>
    </w:p>
    <w:p>
      <w:pPr>
        <w:ind w:left="580" w:hanging="295"/>
        <w:spacing w:after="0"/>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employee benefits expense increased $11 million predominantly reflecting the impact of one additional working day in the recent quarter.</w:t>
      </w:r>
    </w:p>
    <w:p>
      <w:pPr>
        <w:spacing w:after="0" w:line="19" w:lineRule="exact"/>
        <w:rPr>
          <w:rFonts w:ascii="Times New Roman" w:cs="Times New Roman" w:eastAsia="Times New Roman" w:hAnsi="Times New Roman"/>
          <w:sz w:val="14"/>
          <w:szCs w:val="14"/>
          <w:color w:val="auto"/>
        </w:rPr>
      </w:pPr>
    </w:p>
    <w:p>
      <w:pPr>
        <w:ind w:left="580" w:right="460" w:hanging="295"/>
        <w:spacing w:after="0" w:line="241" w:lineRule="auto"/>
        <w:tabs>
          <w:tab w:leader="none" w:pos="579"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FDIC assessments decreased $12 million reflecting estimated special assessment expense of $5 million recorded in the second quarter of 2024, related to the FDIC's updated loss estimates associated with certain failed banks.</w:t>
      </w:r>
    </w:p>
    <w:p>
      <w:pPr>
        <w:ind w:left="580" w:hanging="295"/>
        <w:spacing w:after="0"/>
        <w:tabs>
          <w:tab w:leader="none" w:pos="5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Other costs of operations increased $12 million predominantly due to the Company's obligation under various agreements to share in losses stemming from certain litigation of Visa, Inc.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Noninterest expense increased $25 million, or 2%</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from the third quarter of 2023.</w:t>
      </w:r>
    </w:p>
    <w:p>
      <w:pPr>
        <w:spacing w:after="0" w:line="27" w:lineRule="exact"/>
        <w:rPr>
          <w:sz w:val="20"/>
          <w:szCs w:val="20"/>
          <w:color w:val="auto"/>
        </w:rPr>
      </w:pPr>
    </w:p>
    <w:p>
      <w:pPr>
        <w:ind w:left="580" w:right="240" w:hanging="295"/>
        <w:spacing w:after="0" w:line="241" w:lineRule="auto"/>
        <w:tabs>
          <w:tab w:leader="none" w:pos="579"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employee benefits expense increased $48 million reflecting higher salaries expense from annual merit and other increases and a rise in incentive compensation, partially offset by lower employee staffing levels.</w:t>
      </w:r>
    </w:p>
    <w:p>
      <w:pPr>
        <w:ind w:left="580" w:hanging="295"/>
        <w:spacing w:after="0"/>
        <w:tabs>
          <w:tab w:leader="none" w:pos="5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Outside data processing and software rose $12 million due to higher software licensing fees and software maintenance expenses.</w:t>
      </w:r>
    </w:p>
    <w:p>
      <w:pPr>
        <w:spacing w:after="0" w:line="19" w:lineRule="exact"/>
        <w:rPr>
          <w:rFonts w:ascii="Times New Roman" w:cs="Times New Roman" w:eastAsia="Times New Roman" w:hAnsi="Times New Roman"/>
          <w:sz w:val="14"/>
          <w:szCs w:val="14"/>
          <w:color w:val="auto"/>
        </w:rPr>
      </w:pPr>
    </w:p>
    <w:p>
      <w:pPr>
        <w:ind w:left="580" w:hanging="295"/>
        <w:spacing w:after="0"/>
        <w:tabs>
          <w:tab w:leader="none" w:pos="5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of operations decreased $25 million as a result of lower losses associated with certain retail banking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260"/>
          </w:cols>
          <w:pgMar w:left="300" w:top="332" w:right="339" w:bottom="1440" w:gutter="0" w:footer="0" w:header="0"/>
        </w:sectPr>
      </w:pPr>
    </w:p>
    <w:bookmarkStart w:id="10" w:name="page11"/>
    <w:bookmarkEnd w:id="10"/>
    <w:p>
      <w:pPr>
        <w:ind w:left="9788"/>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46" w:lineRule="exact"/>
        <w:rPr>
          <w:sz w:val="20"/>
          <w:szCs w:val="20"/>
          <w:color w:val="auto"/>
        </w:rPr>
      </w:pPr>
    </w:p>
    <w:p>
      <w:pPr>
        <w:ind w:left="8" w:right="60"/>
        <w:spacing w:after="0" w:line="282" w:lineRule="auto"/>
        <w:rPr>
          <w:sz w:val="20"/>
          <w:szCs w:val="20"/>
          <w:color w:val="auto"/>
        </w:rPr>
      </w:pPr>
      <w:r>
        <w:rPr>
          <w:rFonts w:ascii="Times New Roman" w:cs="Times New Roman" w:eastAsia="Times New Roman" w:hAnsi="Times New Roman"/>
          <w:sz w:val="14"/>
          <w:szCs w:val="14"/>
          <w:color w:val="auto"/>
        </w:rPr>
        <w:t>The Company's effective income tax rate was 20.7% in the third quarter of 2024, compared with 23.4% and 24.0% in the second quarter of 2024 and third quarter of 2023, respectively. The recent quarter income tax expense reflects a discrete tax benefit related to certain tax credits claimed on a prior year tax return.</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7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840" w:type="dxa"/>
            <w:vAlign w:val="bottom"/>
          </w:tcPr>
          <w:p>
            <w:pPr>
              <w:spacing w:after="0"/>
              <w:rPr>
                <w:sz w:val="13"/>
                <w:szCs w:val="13"/>
                <w:color w:val="auto"/>
              </w:rPr>
            </w:pPr>
          </w:p>
        </w:tc>
        <w:tc>
          <w:tcPr>
            <w:tcW w:w="7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3Q24</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2Q24</w:t>
            </w:r>
          </w:p>
        </w:tc>
        <w:tc>
          <w:tcPr>
            <w:tcW w:w="12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3Q23</w:t>
            </w:r>
          </w:p>
        </w:tc>
      </w:tr>
      <w:tr>
        <w:trPr>
          <w:trHeight w:val="142"/>
        </w:trPr>
        <w:tc>
          <w:tcPr>
            <w:tcW w:w="684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CET1</w:t>
            </w:r>
          </w:p>
        </w:tc>
        <w:tc>
          <w:tcPr>
            <w:tcW w:w="780" w:type="dxa"/>
            <w:vAlign w:val="bottom"/>
            <w:tcBorders>
              <w:top w:val="single" w:sz="8" w:color="auto"/>
            </w:tcBorders>
            <w:shd w:val="clear" w:color="auto" w:fill="E5F1EE"/>
          </w:tcPr>
          <w:p>
            <w:pPr>
              <w:spacing w:after="0"/>
              <w:rPr>
                <w:sz w:val="12"/>
                <w:szCs w:val="12"/>
                <w:color w:val="auto"/>
              </w:rPr>
            </w:pPr>
          </w:p>
        </w:tc>
        <w:tc>
          <w:tcPr>
            <w:tcW w:w="46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11.54 %</w:t>
            </w:r>
          </w:p>
        </w:tc>
        <w:tc>
          <w:tcPr>
            <w:tcW w:w="380" w:type="dxa"/>
            <w:vAlign w:val="bottom"/>
            <w:tcBorders>
              <w:top w:val="single" w:sz="8" w:color="E5F1EE"/>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11.45 %</w:t>
            </w:r>
          </w:p>
        </w:tc>
        <w:tc>
          <w:tcPr>
            <w:tcW w:w="400" w:type="dxa"/>
            <w:vAlign w:val="bottom"/>
            <w:tcBorders>
              <w:top w:val="single" w:sz="8" w:color="E5F1EE"/>
            </w:tcBorders>
            <w:shd w:val="clear" w:color="auto" w:fill="E5F1EE"/>
          </w:tcPr>
          <w:p>
            <w:pPr>
              <w:spacing w:after="0"/>
              <w:rPr>
                <w:sz w:val="12"/>
                <w:szCs w:val="12"/>
                <w:color w:val="auto"/>
              </w:rPr>
            </w:pPr>
          </w:p>
        </w:tc>
        <w:tc>
          <w:tcPr>
            <w:tcW w:w="12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10.95 %</w:t>
            </w:r>
          </w:p>
        </w:tc>
      </w:tr>
      <w:tr>
        <w:trPr>
          <w:trHeight w:val="153"/>
        </w:trPr>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Tier 1 capital</w:t>
            </w: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13.08</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13.23</w:t>
            </w:r>
          </w:p>
        </w:tc>
        <w:tc>
          <w:tcPr>
            <w:tcW w:w="40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12.27</w:t>
            </w:r>
          </w:p>
        </w:tc>
      </w:tr>
      <w:tr>
        <w:trPr>
          <w:trHeight w:val="153"/>
        </w:trPr>
        <w:tc>
          <w:tcPr>
            <w:tcW w:w="762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12"/>
                <w:szCs w:val="12"/>
                <w:color w:val="auto"/>
              </w:rPr>
              <w:t>Total capital</w:t>
            </w:r>
          </w:p>
        </w:tc>
        <w:tc>
          <w:tcPr>
            <w:tcW w:w="46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14.66</w:t>
            </w:r>
          </w:p>
        </w:tc>
        <w:tc>
          <w:tcPr>
            <w:tcW w:w="3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20" w:type="dxa"/>
            <w:vAlign w:val="bottom"/>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rPr>
              <w:t>14.88</w:t>
            </w:r>
          </w:p>
        </w:tc>
        <w:tc>
          <w:tcPr>
            <w:tcW w:w="400" w:type="dxa"/>
            <w:vAlign w:val="bottom"/>
            <w:shd w:val="clear" w:color="auto" w:fill="E5F1EE"/>
          </w:tcPr>
          <w:p>
            <w:pPr>
              <w:spacing w:after="0"/>
              <w:rPr>
                <w:sz w:val="13"/>
                <w:szCs w:val="13"/>
                <w:color w:val="auto"/>
              </w:rPr>
            </w:pPr>
          </w:p>
        </w:tc>
        <w:tc>
          <w:tcPr>
            <w:tcW w:w="1220" w:type="dxa"/>
            <w:vAlign w:val="bottom"/>
            <w:shd w:val="clear" w:color="auto" w:fill="E5F1EE"/>
          </w:tcPr>
          <w:p>
            <w:pPr>
              <w:jc w:val="right"/>
              <w:ind w:right="100"/>
              <w:spacing w:after="0"/>
              <w:rPr>
                <w:sz w:val="20"/>
                <w:szCs w:val="20"/>
                <w:color w:val="auto"/>
              </w:rPr>
            </w:pPr>
            <w:r>
              <w:rPr>
                <w:rFonts w:ascii="Times New Roman" w:cs="Times New Roman" w:eastAsia="Times New Roman" w:hAnsi="Times New Roman"/>
                <w:sz w:val="12"/>
                <w:szCs w:val="12"/>
                <w:color w:val="auto"/>
              </w:rPr>
              <w:t>13.99</w:t>
            </w:r>
          </w:p>
        </w:tc>
      </w:tr>
      <w:tr>
        <w:trPr>
          <w:trHeight w:val="155"/>
        </w:trPr>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Tangible capital – common</w:t>
            </w: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8.83</w:t>
            </w:r>
          </w:p>
        </w:tc>
        <w:tc>
          <w:tcPr>
            <w:tcW w:w="38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8.55</w:t>
            </w:r>
          </w:p>
        </w:tc>
        <w:tc>
          <w:tcPr>
            <w:tcW w:w="400" w:type="dxa"/>
            <w:vAlign w:val="bottom"/>
          </w:tcPr>
          <w:p>
            <w:pPr>
              <w:spacing w:after="0"/>
              <w:rPr>
                <w:sz w:val="13"/>
                <w:szCs w:val="13"/>
                <w:color w:val="auto"/>
              </w:rPr>
            </w:pPr>
          </w:p>
        </w:tc>
        <w:tc>
          <w:tcPr>
            <w:tcW w:w="12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36290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64" w:lineRule="exact"/>
        <w:rPr>
          <w:sz w:val="20"/>
          <w:szCs w:val="20"/>
          <w:color w:val="auto"/>
        </w:rPr>
      </w:pPr>
    </w:p>
    <w:p>
      <w:pPr>
        <w:ind w:left="288" w:hanging="288"/>
        <w:spacing w:after="0"/>
        <w:tabs>
          <w:tab w:leader="none" w:pos="28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September 30, 2024 capital ratios are estimated.</w:t>
      </w:r>
    </w:p>
    <w:p>
      <w:pPr>
        <w:spacing w:after="0" w:line="143" w:lineRule="exact"/>
        <w:rPr>
          <w:sz w:val="20"/>
          <w:szCs w:val="20"/>
          <w:color w:val="auto"/>
        </w:rPr>
      </w:pPr>
    </w:p>
    <w:p>
      <w:pPr>
        <w:ind w:left="8" w:right="120"/>
        <w:spacing w:after="0" w:line="231" w:lineRule="auto"/>
        <w:rPr>
          <w:sz w:val="20"/>
          <w:szCs w:val="20"/>
          <w:color w:val="auto"/>
        </w:rPr>
      </w:pPr>
      <w:r>
        <w:rPr>
          <w:rFonts w:ascii="Times New Roman" w:cs="Times New Roman" w:eastAsia="Times New Roman" w:hAnsi="Times New Roman"/>
          <w:sz w:val="14"/>
          <w:szCs w:val="14"/>
          <w:color w:val="auto"/>
        </w:rPr>
        <w:t>M&amp;T's capital ratios remained well above the minimum set forth by regulatory requirements. Cash dividends declared on M&amp;T's common and preferred stock totaled $226 million and $47 million, respectively, for the quarter ended September 30, 2024. On August 15, 2024, M&amp;T redeemed all outstanding shares of its Perpetual Fixed-to-Floating Rate Non-Cumulative Preferred Stock (Series E) at a redemption price of $350 million. The Company issued $750 million par value of Perpetual 7.5% Non-Cumulative Preferred Stock (Series J) in May 2024. In June 2024, the Federal Reserve released the results of its most recent supervisory stress tests. Based on those results, on October 1, 2024, M&amp;T's stress capital buffer of 3.8% became effective.</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CET1 capital ratio for M&amp;T was estimated at 11.54% as of September 30, 2024. M&amp;T's total risk-weighted assets at September 30, 2024 are estimated to be $156 billion.</w:t>
      </w:r>
    </w:p>
    <w:p>
      <w:pPr>
        <w:spacing w:after="0" w:line="127" w:lineRule="exact"/>
        <w:rPr>
          <w:sz w:val="20"/>
          <w:szCs w:val="20"/>
          <w:color w:val="auto"/>
        </w:rPr>
      </w:pPr>
    </w:p>
    <w:p>
      <w:pPr>
        <w:ind w:left="8" w:right="120"/>
        <w:spacing w:after="0" w:line="255" w:lineRule="auto"/>
        <w:rPr>
          <w:sz w:val="20"/>
          <w:szCs w:val="20"/>
          <w:color w:val="auto"/>
        </w:rPr>
      </w:pPr>
      <w:r>
        <w:rPr>
          <w:rFonts w:ascii="Times New Roman" w:cs="Times New Roman" w:eastAsia="Times New Roman" w:hAnsi="Times New Roman"/>
          <w:sz w:val="14"/>
          <w:szCs w:val="14"/>
          <w:color w:val="auto"/>
        </w:rPr>
        <w:t>M&amp;T repurchased 1,190,054 shares of its common stock in accordance with its capital plan during the recent quarter at an average cost per share of $166.40 resulting in a total cost, including the share repurchase excise tax, of $200 million. No share repurchases occurred in the second quarter of 2024 or third quarter of 2023.</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Investors will have an opportunity to listen to M&amp;T's conference call to discuss third quarter financial results today at 8:00 a.m. Eastern Time. Those wishing to participate in the call may dial</w:t>
      </w:r>
    </w:p>
    <w:p>
      <w:pPr>
        <w:ind w:left="8" w:right="120" w:hanging="8"/>
        <w:spacing w:after="0" w:line="225" w:lineRule="auto"/>
        <w:tabs>
          <w:tab w:leader="none" w:pos="3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347-7315. International participants, using any applicable international calling codes, may dial (785) 424-1755. Callers should reference M&amp;T Bank Corporation or the conference ID #MTBQ324. The conference call will be webcast live through M&amp;T's website at https://ir.mtb.com/events-presentations. A replay of the call will be available through Thursday October 24, 2024 by calling (800) 757-4764, or (402) 220-7226 for international participants. No conference ID or passcode is required. The event will also be archived and available by 3:00 p.m. today on M&amp;T's website at https://ir.mtb.com/events-presentations.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FFFFFF"/>
        </w:rPr>
        <w:t>About M&amp;T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00" w:lineRule="exact"/>
        <w:rPr>
          <w:sz w:val="20"/>
          <w:szCs w:val="20"/>
          <w:color w:val="auto"/>
        </w:rPr>
      </w:pPr>
    </w:p>
    <w:p>
      <w:pPr>
        <w:ind w:left="8" w:right="60"/>
        <w:spacing w:after="0" w:line="236" w:lineRule="auto"/>
        <w:rPr>
          <w:sz w:val="20"/>
          <w:szCs w:val="20"/>
          <w:color w:val="auto"/>
        </w:rPr>
      </w:pPr>
      <w:r>
        <w:rPr>
          <w:rFonts w:ascii="Times New Roman" w:cs="Times New Roman" w:eastAsia="Times New Roman" w:hAnsi="Times New Roman"/>
          <w:sz w:val="14"/>
          <w:szCs w:val="14"/>
          <w:color w:val="auto"/>
        </w:rPr>
        <w:t>M&amp;T is a financial holding company headquartered in Buffalo, New York. M&amp;T's principal banking subsidiary, M&amp;T Bank, provides banking products and services predominantly in 12 states across the eastern U.S. from Maine to Virginia and Washington, D.C. Trust-related services are provided in select markets in the U.S. and abroad by M&amp;T's Wilmington Trust-affiliated companies and by M&amp;T Bank. For more information on M&amp;T Bank, visit www.mtb.com.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8"/>
          </w:cols>
          <w:pgMar w:left="292" w:top="332" w:right="299" w:bottom="1440" w:gutter="0" w:footer="0" w:header="0"/>
        </w:sectPr>
      </w:pPr>
    </w:p>
    <w:bookmarkStart w:id="11" w:name="page12"/>
    <w:bookmarkEnd w:id="11"/>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FFFFFF"/>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7804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0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3"/>
          <w:szCs w:val="13"/>
          <w:i w:val="1"/>
          <w:iCs w:val="1"/>
          <w:color w:val="auto"/>
        </w:rPr>
        <w:t>This news release and related conference call may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M&amp;T's business,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beliefs and assumptions.</w:t>
      </w:r>
    </w:p>
    <w:p>
      <w:pPr>
        <w:spacing w:after="0" w:line="19"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4"/>
          <w:szCs w:val="14"/>
          <w:i w:val="1"/>
          <w:iCs w:val="1"/>
          <w:color w:val="auto"/>
        </w:rPr>
        <w:t>Statements regarding the potential effects of events or factors specific to M&amp;T and/or the financial industry as a whole, as well as national and global events generally, on M&amp;T's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M&amp;T's control.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Forward-looking statements are typically identified by words such as "believe," "expect," "anticipate," "intend," "target," "estimate," "continue," or "potential," by future conditional verbs such as "will,"</w:t>
      </w:r>
    </w:p>
    <w:p>
      <w:pPr>
        <w:spacing w:after="0" w:line="13" w:lineRule="exact"/>
        <w:rPr>
          <w:sz w:val="20"/>
          <w:szCs w:val="20"/>
          <w:color w:val="auto"/>
        </w:rPr>
      </w:pPr>
    </w:p>
    <w:p>
      <w:pPr>
        <w:ind w:right="340"/>
        <w:spacing w:after="0" w:line="223" w:lineRule="auto"/>
        <w:rPr>
          <w:sz w:val="20"/>
          <w:szCs w:val="20"/>
          <w:color w:val="auto"/>
        </w:rPr>
      </w:pPr>
      <w:r>
        <w:rPr>
          <w:rFonts w:ascii="Times New Roman" w:cs="Times New Roman" w:eastAsia="Times New Roman" w:hAnsi="Times New Roman"/>
          <w:sz w:val="14"/>
          <w:szCs w:val="14"/>
          <w:i w:val="1"/>
          <w:iCs w:val="1"/>
          <w:color w:val="auto"/>
        </w:rPr>
        <w:t>"would," "should," "could," or "may," or by variations of such words or by similar expressions. These statements are not guarantees of future performance and involve certain risks, uncertainties and assumptions which are difficult to predict and may cause actual outcomes to differ materially from what is expressed or forecasted.</w:t>
      </w:r>
    </w:p>
    <w:p>
      <w:pPr>
        <w:spacing w:after="0" w:line="16"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3"/>
          <w:szCs w:val="13"/>
          <w:i w:val="1"/>
          <w:iCs w:val="1"/>
          <w:color w:val="auto"/>
        </w:rPr>
        <w:t>While there can be no assurance that any list of risks and uncertainties is complete, important factors that could cause actual outcomes and results to differ materially from those contemplated by forward-looking statements include the following, without limitation: economic conditions and growth rates, including inflation and market volatility; events and developments in the financial services industry, including industry conditions; changes in interest rates, spreads on earning assets and interest-bearing liabilities, and interest rate sensitivity; prepayment speeds, loan originations, loan concentrations by</w:t>
      </w:r>
    </w:p>
    <w:p>
      <w:pPr>
        <w:ind w:right="20"/>
        <w:spacing w:after="0" w:line="221" w:lineRule="auto"/>
        <w:rPr>
          <w:sz w:val="20"/>
          <w:szCs w:val="20"/>
          <w:color w:val="auto"/>
        </w:rPr>
      </w:pPr>
      <w:r>
        <w:rPr>
          <w:rFonts w:ascii="Times New Roman" w:cs="Times New Roman" w:eastAsia="Times New Roman" w:hAnsi="Times New Roman"/>
          <w:sz w:val="13"/>
          <w:szCs w:val="13"/>
          <w:i w:val="1"/>
          <w:iCs w:val="1"/>
          <w:color w:val="auto"/>
        </w:rPr>
        <w:t>type and industry, credit losses and market values on loans, collateral securing loans, and other assets; sources of liquidity; levels of client deposits; ability to contain costs and expenses; changes in M&amp;T's credit ratings; the impact of the People's United Financial, Inc. acquisition; domestic or international political developments and other geopolitical events, including international conflicts and hostilities; changes and trends in the securities markets; common shares outstanding and common stock price volatility; fair value of and number of stock-based compensation awards to be issued in future</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3"/>
          <w:szCs w:val="13"/>
          <w:i w:val="1"/>
          <w:iCs w:val="1"/>
          <w:color w:val="auto"/>
        </w:rPr>
        <w:t>periods; the impact of changes in market values on trust-related revenues; federal, state or local legislation and/or regulations affecting the financial services industry, or M&amp;T and its subsidiaries individually or collectively, including tax policy; regulatory supervision and oversight, including monetary policy and capital requirements; governmental and public policy changes; political conditions, either nationally or in the states in which M&amp;T and its subsidiaries do business; the outcome of pending and future litigation and governmental proceedings, including tax-related examinations and other</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3"/>
          <w:szCs w:val="13"/>
          <w:i w:val="1"/>
          <w:iCs w:val="1"/>
          <w:color w:val="auto"/>
        </w:rPr>
        <w:t>matters; changes in accounting policies or procedures as may be required by the Financial Accounting Standards Board, regulatory agencies or legislation; increasing price, product and service competition by competitors, including new entrants; technological developments and changes; the ability to continue to introduce competitive new products and services on a timely, cost-effective basis; the mix of products and services; protection and validity of intellectual property rights; reliance on large customers; technological, implementation and cost/financial risks in large, multi-year contracts;</w:t>
      </w:r>
    </w:p>
    <w:p>
      <w:pPr>
        <w:spacing w:after="0" w:line="1" w:lineRule="exact"/>
        <w:rPr>
          <w:sz w:val="20"/>
          <w:szCs w:val="20"/>
          <w:color w:val="auto"/>
        </w:rPr>
      </w:pPr>
    </w:p>
    <w:p>
      <w:pPr>
        <w:jc w:val="both"/>
        <w:ind w:right="80"/>
        <w:spacing w:after="0" w:line="241" w:lineRule="auto"/>
        <w:rPr>
          <w:sz w:val="20"/>
          <w:szCs w:val="20"/>
          <w:color w:val="auto"/>
        </w:rPr>
      </w:pPr>
      <w:r>
        <w:rPr>
          <w:rFonts w:ascii="Times New Roman" w:cs="Times New Roman" w:eastAsia="Times New Roman" w:hAnsi="Times New Roman"/>
          <w:sz w:val="13"/>
          <w:szCs w:val="13"/>
          <w:i w:val="1"/>
          <w:iCs w:val="1"/>
          <w:color w:val="auto"/>
        </w:rPr>
        <w:t>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spacing w:after="0" w:line="15"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4"/>
          <w:szCs w:val="14"/>
          <w:i w:val="1"/>
          <w:iCs w:val="1"/>
          <w:color w:val="auto"/>
        </w:rPr>
        <w:t>These are representative of the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and other factors.</w:t>
      </w:r>
    </w:p>
    <w:p>
      <w:pPr>
        <w:spacing w:after="0" w:line="1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4"/>
          <w:szCs w:val="14"/>
          <w:i w:val="1"/>
          <w:iCs w:val="1"/>
          <w:color w:val="auto"/>
        </w:rPr>
        <w:t>M&amp;T provides further detail regarding these risks and uncertainties in its Form 10-K for the year ended December 31, 2023, including in the Risk Factors section of such report, as well as in other SEC filings. Forward-looking statements speak only as of the date they are made, and M&amp;T assumes no duty and does not undertake to update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332" w:right="299" w:bottom="1440" w:gutter="0" w:footer="0" w:header="0"/>
        </w:sectPr>
      </w:pPr>
    </w:p>
    <w:bookmarkStart w:id="12" w:name="page13"/>
    <w:bookmarkEnd w:id="12"/>
    <w:tbl>
      <w:tblPr>
        <w:tblLayout w:type="fixed"/>
        <w:tblInd w:w="8" w:type="dxa"/>
        <w:tblCellMar>
          <w:top w:w="0" w:type="dxa"/>
          <w:left w:w="0" w:type="dxa"/>
          <w:bottom w:w="0" w:type="dxa"/>
          <w:right w:w="0" w:type="dxa"/>
        </w:tblCellMar>
      </w:tblPr>
      <w:tr>
        <w:trPr>
          <w:trHeight w:val="333"/>
        </w:trPr>
        <w:tc>
          <w:tcPr>
            <w:tcW w:w="500" w:type="dxa"/>
            <w:vAlign w:val="bottom"/>
            <w:shd w:val="clear" w:color="auto" w:fill="007856"/>
          </w:tcPr>
          <w:p>
            <w:pPr>
              <w:spacing w:after="0"/>
              <w:rPr>
                <w:sz w:val="24"/>
                <w:szCs w:val="24"/>
                <w:color w:val="auto"/>
              </w:rPr>
            </w:pPr>
          </w:p>
        </w:tc>
        <w:tc>
          <w:tcPr>
            <w:tcW w:w="400" w:type="dxa"/>
            <w:vAlign w:val="bottom"/>
            <w:shd w:val="clear" w:color="auto" w:fill="007856"/>
          </w:tcPr>
          <w:p>
            <w:pPr>
              <w:spacing w:after="0"/>
              <w:rPr>
                <w:sz w:val="24"/>
                <w:szCs w:val="24"/>
                <w:color w:val="auto"/>
              </w:rPr>
            </w:pPr>
          </w:p>
        </w:tc>
        <w:tc>
          <w:tcPr>
            <w:tcW w:w="40" w:type="dxa"/>
            <w:vAlign w:val="bottom"/>
            <w:shd w:val="clear" w:color="auto" w:fill="007856"/>
          </w:tcPr>
          <w:p>
            <w:pPr>
              <w:spacing w:after="0"/>
              <w:rPr>
                <w:sz w:val="24"/>
                <w:szCs w:val="24"/>
                <w:color w:val="auto"/>
              </w:rPr>
            </w:pPr>
          </w:p>
        </w:tc>
        <w:tc>
          <w:tcPr>
            <w:tcW w:w="342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74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360" w:type="dxa"/>
            <w:vAlign w:val="bottom"/>
            <w:shd w:val="clear" w:color="auto" w:fill="007856"/>
          </w:tcPr>
          <w:p>
            <w:pPr>
              <w:spacing w:after="0"/>
              <w:rPr>
                <w:sz w:val="24"/>
                <w:szCs w:val="24"/>
                <w:color w:val="auto"/>
              </w:rPr>
            </w:pPr>
          </w:p>
        </w:tc>
        <w:tc>
          <w:tcPr>
            <w:tcW w:w="62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98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76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320" w:type="dxa"/>
            <w:vAlign w:val="bottom"/>
            <w:shd w:val="clear" w:color="auto" w:fill="007856"/>
          </w:tcPr>
          <w:p>
            <w:pPr>
              <w:spacing w:after="0"/>
              <w:rPr>
                <w:sz w:val="24"/>
                <w:szCs w:val="24"/>
                <w:color w:val="auto"/>
              </w:rPr>
            </w:pPr>
          </w:p>
        </w:tc>
        <w:tc>
          <w:tcPr>
            <w:tcW w:w="1860" w:type="dxa"/>
            <w:vAlign w:val="bottom"/>
            <w:gridSpan w:val="3"/>
            <w:shd w:val="clear" w:color="auto" w:fill="007856"/>
          </w:tcPr>
          <w:p>
            <w:pPr>
              <w:jc w:val="right"/>
              <w:ind w:right="55"/>
              <w:spacing w:after="0"/>
              <w:rPr>
                <w:sz w:val="20"/>
                <w:szCs w:val="20"/>
                <w:color w:val="auto"/>
              </w:rPr>
            </w:pPr>
            <w:r>
              <w:rPr>
                <w:rFonts w:ascii="Times New Roman" w:cs="Times New Roman" w:eastAsia="Times New Roman" w:hAnsi="Times New Roman"/>
                <w:sz w:val="12"/>
                <w:szCs w:val="12"/>
                <w:b w:val="1"/>
                <w:bCs w:val="1"/>
                <w:color w:val="FFFFFF"/>
              </w:rPr>
              <w:t>Third Quarter 2024 Results</w:t>
            </w:r>
          </w:p>
        </w:tc>
        <w:tc>
          <w:tcPr>
            <w:tcW w:w="0" w:type="dxa"/>
            <w:vAlign w:val="bottom"/>
          </w:tcPr>
          <w:p>
            <w:pPr>
              <w:spacing w:after="0"/>
              <w:rPr>
                <w:sz w:val="1"/>
                <w:szCs w:val="1"/>
                <w:color w:val="auto"/>
              </w:rPr>
            </w:pPr>
          </w:p>
        </w:tc>
      </w:tr>
      <w:tr>
        <w:trPr>
          <w:trHeight w:val="738"/>
        </w:trPr>
        <w:tc>
          <w:tcPr>
            <w:tcW w:w="43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Financial Highlights</w:t>
            </w:r>
          </w:p>
        </w:tc>
        <w:tc>
          <w:tcPr>
            <w:tcW w:w="240" w:type="dxa"/>
            <w:vAlign w:val="bottom"/>
          </w:tcPr>
          <w:p>
            <w:pPr>
              <w:spacing w:after="0"/>
              <w:rPr>
                <w:sz w:val="24"/>
                <w:szCs w:val="24"/>
                <w:color w:val="auto"/>
              </w:rPr>
            </w:pPr>
          </w:p>
        </w:tc>
        <w:tc>
          <w:tcPr>
            <w:tcW w:w="1320" w:type="dxa"/>
            <w:vAlign w:val="bottom"/>
            <w:gridSpan w:val="3"/>
            <w:vMerge w:val="restart"/>
          </w:tcPr>
          <w:p>
            <w:pPr>
              <w:jc w:val="right"/>
              <w:ind w:right="55"/>
              <w:spacing w:after="0"/>
              <w:rPr>
                <w:sz w:val="20"/>
                <w:szCs w:val="20"/>
                <w:color w:val="auto"/>
              </w:rPr>
            </w:pPr>
            <w:r>
              <w:rPr>
                <w:rFonts w:ascii="Times New Roman" w:cs="Times New Roman" w:eastAsia="Times New Roman" w:hAnsi="Times New Roman"/>
                <w:sz w:val="9"/>
                <w:szCs w:val="9"/>
                <w:color w:val="auto"/>
              </w:rPr>
              <w:t>Three months ended</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vMerge w:val="restart"/>
          </w:tcPr>
          <w:p>
            <w:pPr>
              <w:jc w:val="right"/>
              <w:ind w:right="35"/>
              <w:spacing w:after="0"/>
              <w:rPr>
                <w:sz w:val="20"/>
                <w:szCs w:val="20"/>
                <w:color w:val="auto"/>
              </w:rPr>
            </w:pPr>
            <w:r>
              <w:rPr>
                <w:rFonts w:ascii="Times New Roman" w:cs="Times New Roman" w:eastAsia="Times New Roman" w:hAnsi="Times New Roman"/>
                <w:sz w:val="9"/>
                <w:szCs w:val="9"/>
                <w:color w:val="auto"/>
              </w:rPr>
              <w:t>Nine months ended</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9"/>
                <w:szCs w:val="9"/>
                <w:color w:val="auto"/>
              </w:rPr>
              <w:t>September 30,</w:t>
            </w:r>
          </w:p>
        </w:tc>
        <w:tc>
          <w:tcPr>
            <w:tcW w:w="6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9"/>
                <w:szCs w:val="9"/>
                <w:color w:val="auto"/>
              </w:rPr>
              <w:t>September 30,</w:t>
            </w:r>
          </w:p>
        </w:tc>
        <w:tc>
          <w:tcPr>
            <w:tcW w:w="6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(Dollars in millions, except per share, shares in thousands)</w:t>
            </w: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9"/>
                <w:szCs w:val="9"/>
                <w:color w:val="auto"/>
              </w:rPr>
              <w:t>2024</w:t>
            </w:r>
          </w:p>
        </w:tc>
        <w:tc>
          <w:tcPr>
            <w:tcW w:w="2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9"/>
                <w:szCs w:val="9"/>
                <w:color w:val="auto"/>
              </w:rPr>
              <w:t>2023</w:t>
            </w:r>
          </w:p>
        </w:tc>
        <w:tc>
          <w:tcPr>
            <w:tcW w:w="200" w:type="dxa"/>
            <w:vAlign w:val="bottom"/>
          </w:tcPr>
          <w:p>
            <w:pPr>
              <w:spacing w:after="0"/>
              <w:rPr>
                <w:sz w:val="10"/>
                <w:szCs w:val="10"/>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9"/>
                <w:szCs w:val="9"/>
                <w:color w:val="auto"/>
              </w:rPr>
              <w:t>Change</w:t>
            </w: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9"/>
                <w:szCs w:val="9"/>
                <w:color w:val="auto"/>
              </w:rPr>
              <w:t>2024</w:t>
            </w:r>
          </w:p>
        </w:tc>
        <w:tc>
          <w:tcPr>
            <w:tcW w:w="2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9"/>
                <w:szCs w:val="9"/>
                <w:color w:val="auto"/>
              </w:rPr>
              <w:t>2023</w:t>
            </w:r>
          </w:p>
        </w:tc>
        <w:tc>
          <w:tcPr>
            <w:tcW w:w="220" w:type="dxa"/>
            <w:vAlign w:val="bottom"/>
          </w:tcPr>
          <w:p>
            <w:pPr>
              <w:spacing w:after="0"/>
              <w:rPr>
                <w:sz w:val="10"/>
                <w:szCs w:val="10"/>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9"/>
                <w:szCs w:val="9"/>
                <w:color w:val="auto"/>
              </w:rPr>
              <w:t>Change</w:t>
            </w:r>
          </w:p>
        </w:tc>
        <w:tc>
          <w:tcPr>
            <w:tcW w:w="0" w:type="dxa"/>
            <w:vAlign w:val="bottom"/>
          </w:tcPr>
          <w:p>
            <w:pPr>
              <w:spacing w:after="0"/>
              <w:rPr>
                <w:sz w:val="1"/>
                <w:szCs w:val="1"/>
                <w:color w:val="auto"/>
              </w:rPr>
            </w:pPr>
          </w:p>
        </w:tc>
      </w:tr>
      <w:tr>
        <w:trPr>
          <w:trHeight w:val="96"/>
        </w:trPr>
        <w:tc>
          <w:tcPr>
            <w:tcW w:w="4360" w:type="dxa"/>
            <w:vAlign w:val="bottom"/>
            <w:gridSpan w:val="4"/>
          </w:tcPr>
          <w:p>
            <w:pPr>
              <w:spacing w:after="0" w:line="89" w:lineRule="exact"/>
              <w:rPr>
                <w:sz w:val="20"/>
                <w:szCs w:val="20"/>
                <w:color w:val="auto"/>
              </w:rPr>
            </w:pPr>
            <w:r>
              <w:rPr>
                <w:rFonts w:ascii="Times New Roman" w:cs="Times New Roman" w:eastAsia="Times New Roman" w:hAnsi="Times New Roman"/>
                <w:sz w:val="9"/>
                <w:szCs w:val="9"/>
                <w:b w:val="1"/>
                <w:bCs w:val="1"/>
                <w:color w:val="auto"/>
              </w:rPr>
              <w:t>Performance</w:t>
            </w: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 w:type="dxa"/>
            <w:vAlign w:val="bottom"/>
            <w:tcBorders>
              <w:top w:val="single" w:sz="8" w:color="auto"/>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Net income</w:t>
            </w:r>
          </w:p>
        </w:tc>
        <w:tc>
          <w:tcPr>
            <w:tcW w:w="3860" w:type="dxa"/>
            <w:vAlign w:val="bottom"/>
            <w:gridSpan w:val="3"/>
            <w:shd w:val="clear" w:color="auto" w:fill="E5F1EE"/>
          </w:tcPr>
          <w:p>
            <w:pPr>
              <w:spacing w:after="0"/>
              <w:rPr>
                <w:sz w:val="10"/>
                <w:szCs w:val="10"/>
                <w:color w:val="auto"/>
              </w:rPr>
            </w:pP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721</w:t>
            </w:r>
          </w:p>
        </w:tc>
        <w:tc>
          <w:tcPr>
            <w:tcW w:w="220" w:type="dxa"/>
            <w:vAlign w:val="bottom"/>
            <w:shd w:val="clear" w:color="auto" w:fill="E5F1EE"/>
          </w:tcPr>
          <w:p>
            <w:pPr>
              <w:spacing w:after="0"/>
              <w:rPr>
                <w:sz w:val="10"/>
                <w:szCs w:val="10"/>
                <w:color w:val="auto"/>
              </w:rPr>
            </w:pPr>
          </w:p>
        </w:tc>
        <w:tc>
          <w:tcPr>
            <w:tcW w:w="360" w:type="dxa"/>
            <w:vAlign w:val="bottom"/>
            <w:shd w:val="clear" w:color="auto" w:fill="E5F1EE"/>
          </w:tcPr>
          <w:p>
            <w:pPr>
              <w:jc w:val="right"/>
              <w:ind w:right="255"/>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690</w:t>
            </w:r>
          </w:p>
        </w:tc>
        <w:tc>
          <w:tcPr>
            <w:tcW w:w="118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5 %</w:t>
            </w:r>
          </w:p>
        </w:tc>
        <w:tc>
          <w:tcPr>
            <w:tcW w:w="440" w:type="dxa"/>
            <w:vAlign w:val="bottom"/>
            <w:gridSpan w:val="2"/>
            <w:shd w:val="clear" w:color="auto" w:fill="E5F1EE"/>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1,907</w:t>
            </w:r>
          </w:p>
        </w:tc>
        <w:tc>
          <w:tcPr>
            <w:tcW w:w="200" w:type="dxa"/>
            <w:vAlign w:val="bottom"/>
            <w:shd w:val="clear" w:color="auto" w:fill="E5F1EE"/>
          </w:tcPr>
          <w:p>
            <w:pPr>
              <w:spacing w:after="0"/>
              <w:rPr>
                <w:sz w:val="10"/>
                <w:szCs w:val="10"/>
                <w:color w:val="auto"/>
              </w:rPr>
            </w:pPr>
          </w:p>
        </w:tc>
        <w:tc>
          <w:tcPr>
            <w:tcW w:w="320" w:type="dxa"/>
            <w:vAlign w:val="bottom"/>
            <w:shd w:val="clear" w:color="auto" w:fill="E5F1EE"/>
          </w:tcPr>
          <w:p>
            <w:pPr>
              <w:jc w:val="right"/>
              <w:ind w:right="215"/>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2,259</w:t>
            </w:r>
          </w:p>
        </w:tc>
        <w:tc>
          <w:tcPr>
            <w:tcW w:w="220" w:type="dxa"/>
            <w:vAlign w:val="bottom"/>
            <w:shd w:val="clear" w:color="auto" w:fill="E5F1EE"/>
          </w:tcPr>
          <w:p>
            <w:pPr>
              <w:spacing w:after="0"/>
              <w:rPr>
                <w:sz w:val="10"/>
                <w:szCs w:val="10"/>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-16 %</w:t>
            </w: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income available to common shareholders</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674</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664</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1,805</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2,180</w:t>
            </w:r>
          </w:p>
        </w:tc>
        <w:tc>
          <w:tcPr>
            <w:tcW w:w="22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w:t>
            </w: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Per common share:</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Basic earnings</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4.04</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10.83</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13.09</w:t>
            </w:r>
          </w:p>
        </w:tc>
        <w:tc>
          <w:tcPr>
            <w:tcW w:w="22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w:t>
            </w: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Diluted earnings</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4.02</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3.98</w:t>
            </w:r>
          </w:p>
        </w:tc>
        <w:tc>
          <w:tcPr>
            <w:tcW w:w="1180" w:type="dxa"/>
            <w:vAlign w:val="bottom"/>
            <w:gridSpan w:val="2"/>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10.78</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13.05</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-17</w:t>
            </w:r>
          </w:p>
        </w:tc>
        <w:tc>
          <w:tcPr>
            <w:tcW w:w="0" w:type="dxa"/>
            <w:vAlign w:val="bottom"/>
          </w:tcPr>
          <w:p>
            <w:pPr>
              <w:spacing w:after="0"/>
              <w:rPr>
                <w:sz w:val="1"/>
                <w:szCs w:val="1"/>
                <w:color w:val="auto"/>
              </w:rPr>
            </w:pPr>
          </w:p>
        </w:tc>
      </w:tr>
      <w:tr>
        <w:trPr>
          <w:trHeight w:val="121"/>
        </w:trPr>
        <w:tc>
          <w:tcPr>
            <w:tcW w:w="436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Cash dividends</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1.35</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1.30</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3.90</w:t>
            </w:r>
          </w:p>
        </w:tc>
        <w:tc>
          <w:tcPr>
            <w:tcW w:w="22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Common shares outstanding:</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 diluted (1)</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167,567</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166,570</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167,437</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167,093</w:t>
            </w:r>
          </w:p>
        </w:tc>
        <w:tc>
          <w:tcPr>
            <w:tcW w:w="22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Period end (2)</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166,157</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165,970</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166,157</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165,970</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total assets</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1.37 %</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1.33 %</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1.21 %</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1.48 %</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common shareholders' equity</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10.26</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10.99</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9.47</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12.33</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Taxable-equivalent net interest income</w:t>
            </w: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1,739</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jc w:val="right"/>
              <w:ind w:right="255"/>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1,790</w:t>
            </w:r>
          </w:p>
        </w:tc>
        <w:tc>
          <w:tcPr>
            <w:tcW w:w="1180" w:type="dxa"/>
            <w:vAlign w:val="bottom"/>
            <w:gridSpan w:val="2"/>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w:t>
            </w:r>
          </w:p>
        </w:tc>
        <w:tc>
          <w:tcPr>
            <w:tcW w:w="440" w:type="dxa"/>
            <w:vAlign w:val="bottom"/>
            <w:gridSpan w:val="2"/>
            <w:shd w:val="clear" w:color="auto" w:fill="E5F1EE"/>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5,162</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5"/>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5,434</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-5</w:t>
            </w: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Yield on average earning assets</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5.82 %</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5.62 %</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5.79 %</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5.41 %</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Cost of interest-bearing liabilities</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3.22</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2.83</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3.24</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2.39</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spread</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2.60</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2.79</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2.55</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3.02</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Contribution of interest-free funds</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1.02</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1.00</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1.03</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.89</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margin</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3.62</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3.79</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3.58</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3.91</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charge-offs to average total net loans (annualized)</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.35</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.29</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.39</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.30</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940" w:type="dxa"/>
            <w:vAlign w:val="bottom"/>
            <w:tcBorders>
              <w:bottom w:val="single" w:sz="8" w:color="auto"/>
            </w:tcBorders>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w w:val="98"/>
              </w:rPr>
              <w:t>Net operating results (3)</w:t>
            </w: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operating income</w:t>
            </w: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731</w:t>
            </w:r>
          </w:p>
        </w:tc>
        <w:tc>
          <w:tcPr>
            <w:tcW w:w="220" w:type="dxa"/>
            <w:vAlign w:val="bottom"/>
            <w:shd w:val="clear" w:color="auto" w:fill="E5F1EE"/>
          </w:tcPr>
          <w:p>
            <w:pPr>
              <w:spacing w:after="0"/>
              <w:rPr>
                <w:sz w:val="10"/>
                <w:szCs w:val="10"/>
                <w:color w:val="auto"/>
              </w:rPr>
            </w:pPr>
          </w:p>
        </w:tc>
        <w:tc>
          <w:tcPr>
            <w:tcW w:w="360" w:type="dxa"/>
            <w:vAlign w:val="bottom"/>
            <w:shd w:val="clear" w:color="auto" w:fill="E5F1EE"/>
          </w:tcPr>
          <w:p>
            <w:pPr>
              <w:jc w:val="right"/>
              <w:ind w:right="255"/>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702</w:t>
            </w:r>
          </w:p>
        </w:tc>
        <w:tc>
          <w:tcPr>
            <w:tcW w:w="1180" w:type="dxa"/>
            <w:vAlign w:val="bottom"/>
            <w:gridSpan w:val="2"/>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4</w:t>
            </w:r>
          </w:p>
        </w:tc>
        <w:tc>
          <w:tcPr>
            <w:tcW w:w="440" w:type="dxa"/>
            <w:vAlign w:val="bottom"/>
            <w:gridSpan w:val="2"/>
            <w:shd w:val="clear" w:color="auto" w:fill="E5F1EE"/>
          </w:tcPr>
          <w:p>
            <w:pPr>
              <w:jc w:val="right"/>
              <w:ind w:right="180"/>
              <w:spacing w:after="0"/>
              <w:rPr>
                <w:sz w:val="20"/>
                <w:szCs w:val="20"/>
                <w:color w:val="auto"/>
              </w:rPr>
            </w:pPr>
            <w:r>
              <w:rPr>
                <w:rFonts w:ascii="Times New Roman" w:cs="Times New Roman" w:eastAsia="Times New Roman" w:hAnsi="Times New Roman"/>
                <w:sz w:val="9"/>
                <w:szCs w:val="9"/>
                <w:color w:val="auto"/>
              </w:rPr>
              <w:t>$</w:t>
            </w: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1,939</w:t>
            </w:r>
          </w:p>
        </w:tc>
        <w:tc>
          <w:tcPr>
            <w:tcW w:w="200" w:type="dxa"/>
            <w:vAlign w:val="bottom"/>
            <w:shd w:val="clear" w:color="auto" w:fill="E5F1EE"/>
          </w:tcPr>
          <w:p>
            <w:pPr>
              <w:spacing w:after="0"/>
              <w:rPr>
                <w:sz w:val="10"/>
                <w:szCs w:val="10"/>
                <w:color w:val="auto"/>
              </w:rPr>
            </w:pPr>
          </w:p>
        </w:tc>
        <w:tc>
          <w:tcPr>
            <w:tcW w:w="320" w:type="dxa"/>
            <w:vAlign w:val="bottom"/>
            <w:shd w:val="clear" w:color="auto" w:fill="E5F1EE"/>
          </w:tcPr>
          <w:p>
            <w:pPr>
              <w:jc w:val="right"/>
              <w:ind w:right="215"/>
              <w:spacing w:after="0"/>
              <w:rPr>
                <w:sz w:val="20"/>
                <w:szCs w:val="20"/>
                <w:color w:val="auto"/>
              </w:rPr>
            </w:pPr>
            <w:r>
              <w:rPr>
                <w:rFonts w:ascii="Times New Roman" w:cs="Times New Roman" w:eastAsia="Times New Roman" w:hAnsi="Times New Roman"/>
                <w:sz w:val="9"/>
                <w:szCs w:val="9"/>
                <w:color w:val="auto"/>
                <w:w w:val="87"/>
              </w:rPr>
              <w:t>$</w:t>
            </w: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2,295</w:t>
            </w:r>
          </w:p>
        </w:tc>
        <w:tc>
          <w:tcPr>
            <w:tcW w:w="22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-16</w:t>
            </w: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Diluted net operating earnings per common share</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4.08</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4.05</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10.97</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13.26</w:t>
            </w:r>
          </w:p>
        </w:tc>
        <w:tc>
          <w:tcPr>
            <w:tcW w:w="22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w:t>
            </w: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tangible assets</w:t>
            </w:r>
          </w:p>
        </w:tc>
        <w:tc>
          <w:tcPr>
            <w:tcW w:w="24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1.45 %</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1.41 %</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1.28 %</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1.57 %</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tangible common equity</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15.47</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17.41</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14.51</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jc w:val="right"/>
              <w:ind w:right="74"/>
              <w:spacing w:after="0"/>
              <w:rPr>
                <w:sz w:val="20"/>
                <w:szCs w:val="20"/>
                <w:color w:val="auto"/>
              </w:rPr>
            </w:pPr>
            <w:r>
              <w:rPr>
                <w:rFonts w:ascii="Times New Roman" w:cs="Times New Roman" w:eastAsia="Times New Roman" w:hAnsi="Times New Roman"/>
                <w:sz w:val="9"/>
                <w:szCs w:val="9"/>
                <w:color w:val="auto"/>
              </w:rPr>
              <w:t>19.70</w:t>
            </w: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Efficiency ratio</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55.0</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53.7</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57.0</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52.6</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00" w:type="dxa"/>
            <w:vAlign w:val="bottom"/>
            <w:shd w:val="clear" w:color="auto" w:fill="E5F1EE"/>
          </w:tcPr>
          <w:p>
            <w:pPr>
              <w:spacing w:after="0"/>
              <w:rPr>
                <w:sz w:val="16"/>
                <w:szCs w:val="16"/>
                <w:color w:val="auto"/>
              </w:rPr>
            </w:pPr>
          </w:p>
        </w:tc>
        <w:tc>
          <w:tcPr>
            <w:tcW w:w="400" w:type="dxa"/>
            <w:vAlign w:val="bottom"/>
            <w:shd w:val="clear" w:color="auto" w:fill="E5F1EE"/>
          </w:tcPr>
          <w:p>
            <w:pPr>
              <w:spacing w:after="0"/>
              <w:rPr>
                <w:sz w:val="16"/>
                <w:szCs w:val="16"/>
                <w:color w:val="auto"/>
              </w:rPr>
            </w:pPr>
          </w:p>
        </w:tc>
        <w:tc>
          <w:tcPr>
            <w:tcW w:w="40" w:type="dxa"/>
            <w:vAlign w:val="bottom"/>
            <w:shd w:val="clear" w:color="auto" w:fill="E5F1EE"/>
          </w:tcPr>
          <w:p>
            <w:pPr>
              <w:spacing w:after="0"/>
              <w:rPr>
                <w:sz w:val="16"/>
                <w:szCs w:val="16"/>
                <w:color w:val="auto"/>
              </w:rPr>
            </w:pPr>
          </w:p>
        </w:tc>
        <w:tc>
          <w:tcPr>
            <w:tcW w:w="3420" w:type="dxa"/>
            <w:vAlign w:val="bottom"/>
            <w:shd w:val="clear" w:color="auto" w:fill="E5F1EE"/>
          </w:tcPr>
          <w:p>
            <w:pPr>
              <w:spacing w:after="0"/>
              <w:rPr>
                <w:sz w:val="16"/>
                <w:szCs w:val="16"/>
                <w:color w:val="auto"/>
              </w:rPr>
            </w:pPr>
          </w:p>
        </w:tc>
        <w:tc>
          <w:tcPr>
            <w:tcW w:w="240" w:type="dxa"/>
            <w:vAlign w:val="bottom"/>
            <w:shd w:val="clear" w:color="auto" w:fill="E5F1EE"/>
          </w:tcPr>
          <w:p>
            <w:pPr>
              <w:spacing w:after="0"/>
              <w:rPr>
                <w:sz w:val="16"/>
                <w:szCs w:val="16"/>
                <w:color w:val="auto"/>
              </w:rPr>
            </w:pPr>
          </w:p>
        </w:tc>
        <w:tc>
          <w:tcPr>
            <w:tcW w:w="740" w:type="dxa"/>
            <w:vAlign w:val="bottom"/>
            <w:shd w:val="clear" w:color="auto" w:fill="E5F1EE"/>
          </w:tcPr>
          <w:p>
            <w:pPr>
              <w:spacing w:after="0"/>
              <w:rPr>
                <w:sz w:val="16"/>
                <w:szCs w:val="16"/>
                <w:color w:val="auto"/>
              </w:rPr>
            </w:pPr>
          </w:p>
        </w:tc>
        <w:tc>
          <w:tcPr>
            <w:tcW w:w="580" w:type="dxa"/>
            <w:vAlign w:val="bottom"/>
            <w:gridSpan w:val="2"/>
            <w:shd w:val="clear" w:color="auto" w:fill="E5F1EE"/>
          </w:tcPr>
          <w:p>
            <w:pPr>
              <w:spacing w:after="0"/>
              <w:rPr>
                <w:sz w:val="16"/>
                <w:szCs w:val="16"/>
                <w:color w:val="auto"/>
              </w:rPr>
            </w:pPr>
          </w:p>
        </w:tc>
        <w:tc>
          <w:tcPr>
            <w:tcW w:w="620" w:type="dxa"/>
            <w:vAlign w:val="bottom"/>
            <w:shd w:val="clear" w:color="auto" w:fill="E5F1EE"/>
          </w:tcPr>
          <w:p>
            <w:pPr>
              <w:spacing w:after="0"/>
              <w:rPr>
                <w:sz w:val="16"/>
                <w:szCs w:val="16"/>
                <w:color w:val="auto"/>
              </w:rPr>
            </w:pPr>
          </w:p>
        </w:tc>
        <w:tc>
          <w:tcPr>
            <w:tcW w:w="200" w:type="dxa"/>
            <w:vAlign w:val="bottom"/>
            <w:shd w:val="clear" w:color="auto" w:fill="E5F1EE"/>
          </w:tcPr>
          <w:p>
            <w:pPr>
              <w:spacing w:after="0"/>
              <w:rPr>
                <w:sz w:val="16"/>
                <w:szCs w:val="16"/>
                <w:color w:val="auto"/>
              </w:rPr>
            </w:pPr>
          </w:p>
        </w:tc>
        <w:tc>
          <w:tcPr>
            <w:tcW w:w="980" w:type="dxa"/>
            <w:vAlign w:val="bottom"/>
            <w:shd w:val="clear" w:color="auto" w:fill="E5F1EE"/>
          </w:tcPr>
          <w:p>
            <w:pPr>
              <w:spacing w:after="0"/>
              <w:rPr>
                <w:sz w:val="16"/>
                <w:szCs w:val="16"/>
                <w:color w:val="auto"/>
              </w:rPr>
            </w:pPr>
          </w:p>
        </w:tc>
        <w:tc>
          <w:tcPr>
            <w:tcW w:w="200" w:type="dxa"/>
            <w:vAlign w:val="bottom"/>
            <w:shd w:val="clear" w:color="auto" w:fill="E5F1EE"/>
          </w:tcPr>
          <w:p>
            <w:pPr>
              <w:spacing w:after="0"/>
              <w:rPr>
                <w:sz w:val="16"/>
                <w:szCs w:val="16"/>
                <w:color w:val="auto"/>
              </w:rPr>
            </w:pPr>
          </w:p>
        </w:tc>
        <w:tc>
          <w:tcPr>
            <w:tcW w:w="240" w:type="dxa"/>
            <w:vAlign w:val="bottom"/>
            <w:shd w:val="clear" w:color="auto" w:fill="E5F1EE"/>
          </w:tcPr>
          <w:p>
            <w:pPr>
              <w:spacing w:after="0"/>
              <w:rPr>
                <w:sz w:val="16"/>
                <w:szCs w:val="16"/>
                <w:color w:val="auto"/>
              </w:rPr>
            </w:pPr>
          </w:p>
        </w:tc>
        <w:tc>
          <w:tcPr>
            <w:tcW w:w="760" w:type="dxa"/>
            <w:vAlign w:val="bottom"/>
            <w:shd w:val="clear" w:color="auto" w:fill="E5F1EE"/>
          </w:tcPr>
          <w:p>
            <w:pPr>
              <w:spacing w:after="0"/>
              <w:rPr>
                <w:sz w:val="16"/>
                <w:szCs w:val="16"/>
                <w:color w:val="auto"/>
              </w:rPr>
            </w:pPr>
          </w:p>
        </w:tc>
        <w:tc>
          <w:tcPr>
            <w:tcW w:w="200" w:type="dxa"/>
            <w:vAlign w:val="bottom"/>
            <w:shd w:val="clear" w:color="auto" w:fill="E5F1EE"/>
          </w:tcPr>
          <w:p>
            <w:pPr>
              <w:spacing w:after="0"/>
              <w:rPr>
                <w:sz w:val="16"/>
                <w:szCs w:val="16"/>
                <w:color w:val="auto"/>
              </w:rPr>
            </w:pPr>
          </w:p>
        </w:tc>
        <w:tc>
          <w:tcPr>
            <w:tcW w:w="320" w:type="dxa"/>
            <w:vAlign w:val="bottom"/>
            <w:shd w:val="clear" w:color="auto" w:fill="E5F1EE"/>
          </w:tcPr>
          <w:p>
            <w:pPr>
              <w:spacing w:after="0"/>
              <w:rPr>
                <w:sz w:val="16"/>
                <w:szCs w:val="16"/>
                <w:color w:val="auto"/>
              </w:rPr>
            </w:pPr>
          </w:p>
        </w:tc>
        <w:tc>
          <w:tcPr>
            <w:tcW w:w="660" w:type="dxa"/>
            <w:vAlign w:val="bottom"/>
            <w:shd w:val="clear" w:color="auto" w:fill="E5F1EE"/>
          </w:tcPr>
          <w:p>
            <w:pPr>
              <w:spacing w:after="0"/>
              <w:rPr>
                <w:sz w:val="16"/>
                <w:szCs w:val="16"/>
                <w:color w:val="auto"/>
              </w:rPr>
            </w:pPr>
          </w:p>
        </w:tc>
        <w:tc>
          <w:tcPr>
            <w:tcW w:w="220" w:type="dxa"/>
            <w:vAlign w:val="bottom"/>
            <w:shd w:val="clear" w:color="auto" w:fill="E5F1EE"/>
          </w:tcPr>
          <w:p>
            <w:pPr>
              <w:spacing w:after="0"/>
              <w:rPr>
                <w:sz w:val="16"/>
                <w:szCs w:val="16"/>
                <w:color w:val="auto"/>
              </w:rPr>
            </w:pPr>
          </w:p>
        </w:tc>
        <w:tc>
          <w:tcPr>
            <w:tcW w:w="980" w:type="dxa"/>
            <w:vAlign w:val="bottom"/>
            <w:shd w:val="clear" w:color="auto" w:fill="E5F1E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At September 30,</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0" w:type="dxa"/>
            <w:vAlign w:val="bottom"/>
            <w:tcBorders>
              <w:bottom w:val="single" w:sz="8" w:color="auto"/>
            </w:tcBorders>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7"/>
              </w:rPr>
              <w:t>Loan quality</w:t>
            </w:r>
          </w:p>
        </w:tc>
        <w:tc>
          <w:tcPr>
            <w:tcW w:w="3860" w:type="dxa"/>
            <w:vAlign w:val="bottom"/>
            <w:tcBorders>
              <w:bottom w:val="single" w:sz="8" w:color="E5F1EE"/>
            </w:tcBorders>
            <w:gridSpan w:val="3"/>
            <w:shd w:val="clear" w:color="auto" w:fill="E5F1EE"/>
          </w:tcPr>
          <w:p>
            <w:pPr>
              <w:spacing w:after="0"/>
              <w:rPr>
                <w:sz w:val="12"/>
                <w:szCs w:val="12"/>
                <w:color w:val="auto"/>
              </w:rPr>
            </w:pPr>
          </w:p>
        </w:tc>
        <w:tc>
          <w:tcPr>
            <w:tcW w:w="240" w:type="dxa"/>
            <w:vAlign w:val="bottom"/>
            <w:tcBorders>
              <w:bottom w:val="single" w:sz="8" w:color="E5F1EE"/>
            </w:tcBorders>
            <w:shd w:val="clear" w:color="auto" w:fill="E5F1EE"/>
          </w:tcPr>
          <w:p>
            <w:pPr>
              <w:spacing w:after="0"/>
              <w:rPr>
                <w:sz w:val="12"/>
                <w:szCs w:val="12"/>
                <w:color w:val="auto"/>
              </w:rPr>
            </w:pPr>
          </w:p>
        </w:tc>
        <w:tc>
          <w:tcPr>
            <w:tcW w:w="740" w:type="dxa"/>
            <w:vAlign w:val="bottom"/>
            <w:tcBorders>
              <w:bottom w:val="single" w:sz="8" w:color="E5F1EE"/>
            </w:tcBorders>
            <w:shd w:val="clear" w:color="auto" w:fill="E5F1EE"/>
          </w:tcPr>
          <w:p>
            <w:pPr>
              <w:jc w:val="right"/>
              <w:ind w:right="355"/>
              <w:spacing w:after="0"/>
              <w:rPr>
                <w:sz w:val="20"/>
                <w:szCs w:val="20"/>
                <w:color w:val="auto"/>
              </w:rPr>
            </w:pPr>
            <w:r>
              <w:rPr>
                <w:rFonts w:ascii="Times New Roman" w:cs="Times New Roman" w:eastAsia="Times New Roman" w:hAnsi="Times New Roman"/>
                <w:sz w:val="9"/>
                <w:szCs w:val="9"/>
                <w:color w:val="auto"/>
              </w:rPr>
              <w:t>2024</w:t>
            </w:r>
          </w:p>
        </w:tc>
        <w:tc>
          <w:tcPr>
            <w:tcW w:w="220" w:type="dxa"/>
            <w:vAlign w:val="bottom"/>
            <w:tcBorders>
              <w:bottom w:val="single" w:sz="8" w:color="E5F1EE"/>
            </w:tcBorders>
            <w:shd w:val="clear" w:color="auto" w:fill="E5F1EE"/>
          </w:tcPr>
          <w:p>
            <w:pPr>
              <w:spacing w:after="0"/>
              <w:rPr>
                <w:sz w:val="12"/>
                <w:szCs w:val="12"/>
                <w:color w:val="auto"/>
              </w:rPr>
            </w:pPr>
          </w:p>
        </w:tc>
        <w:tc>
          <w:tcPr>
            <w:tcW w:w="360" w:type="dxa"/>
            <w:vAlign w:val="bottom"/>
            <w:tcBorders>
              <w:bottom w:val="single" w:sz="8" w:color="E5F1EE"/>
            </w:tcBorders>
            <w:shd w:val="clear" w:color="auto" w:fill="E5F1EE"/>
          </w:tcPr>
          <w:p>
            <w:pPr>
              <w:spacing w:after="0"/>
              <w:rPr>
                <w:sz w:val="12"/>
                <w:szCs w:val="12"/>
                <w:color w:val="auto"/>
              </w:rPr>
            </w:pPr>
          </w:p>
        </w:tc>
        <w:tc>
          <w:tcPr>
            <w:tcW w:w="620" w:type="dxa"/>
            <w:vAlign w:val="bottom"/>
            <w:tcBorders>
              <w:bottom w:val="single" w:sz="8" w:color="E5F1EE"/>
            </w:tcBorders>
            <w:shd w:val="clear" w:color="auto" w:fill="E5F1EE"/>
          </w:tcPr>
          <w:p>
            <w:pPr>
              <w:jc w:val="right"/>
              <w:ind w:right="355"/>
              <w:spacing w:after="0"/>
              <w:rPr>
                <w:sz w:val="20"/>
                <w:szCs w:val="20"/>
                <w:color w:val="auto"/>
              </w:rPr>
            </w:pPr>
            <w:r>
              <w:rPr>
                <w:rFonts w:ascii="Times New Roman" w:cs="Times New Roman" w:eastAsia="Times New Roman" w:hAnsi="Times New Roman"/>
                <w:sz w:val="9"/>
                <w:szCs w:val="9"/>
                <w:color w:val="auto"/>
              </w:rPr>
              <w:t>2023</w:t>
            </w:r>
          </w:p>
        </w:tc>
        <w:tc>
          <w:tcPr>
            <w:tcW w:w="200" w:type="dxa"/>
            <w:vAlign w:val="bottom"/>
            <w:tcBorders>
              <w:bottom w:val="single" w:sz="8" w:color="E5F1EE"/>
            </w:tcBorders>
            <w:shd w:val="clear" w:color="auto" w:fill="E5F1EE"/>
          </w:tcPr>
          <w:p>
            <w:pPr>
              <w:spacing w:after="0"/>
              <w:rPr>
                <w:sz w:val="12"/>
                <w:szCs w:val="12"/>
                <w:color w:val="auto"/>
              </w:rPr>
            </w:pPr>
          </w:p>
        </w:tc>
        <w:tc>
          <w:tcPr>
            <w:tcW w:w="980" w:type="dxa"/>
            <w:vAlign w:val="bottom"/>
            <w:tcBorders>
              <w:bottom w:val="single" w:sz="8" w:color="E5F1EE"/>
            </w:tcBorders>
            <w:shd w:val="clear" w:color="auto" w:fill="E5F1EE"/>
          </w:tcPr>
          <w:p>
            <w:pPr>
              <w:jc w:val="right"/>
              <w:ind w:right="295"/>
              <w:spacing w:after="0"/>
              <w:rPr>
                <w:sz w:val="20"/>
                <w:szCs w:val="20"/>
                <w:color w:val="auto"/>
              </w:rPr>
            </w:pPr>
            <w:r>
              <w:rPr>
                <w:rFonts w:ascii="Times New Roman" w:cs="Times New Roman" w:eastAsia="Times New Roman" w:hAnsi="Times New Roman"/>
                <w:sz w:val="9"/>
                <w:szCs w:val="9"/>
                <w:color w:val="auto"/>
              </w:rPr>
              <w:t>Change</w:t>
            </w:r>
          </w:p>
        </w:tc>
        <w:tc>
          <w:tcPr>
            <w:tcW w:w="200" w:type="dxa"/>
            <w:vAlign w:val="bottom"/>
            <w:tcBorders>
              <w:bottom w:val="single" w:sz="8" w:color="E5F1EE"/>
            </w:tcBorders>
            <w:shd w:val="clear" w:color="auto" w:fill="E5F1EE"/>
          </w:tcPr>
          <w:p>
            <w:pPr>
              <w:spacing w:after="0"/>
              <w:rPr>
                <w:sz w:val="12"/>
                <w:szCs w:val="12"/>
                <w:color w:val="auto"/>
              </w:rPr>
            </w:pPr>
          </w:p>
        </w:tc>
        <w:tc>
          <w:tcPr>
            <w:tcW w:w="240" w:type="dxa"/>
            <w:vAlign w:val="bottom"/>
            <w:tcBorders>
              <w:bottom w:val="single" w:sz="8" w:color="E5F1EE"/>
            </w:tcBorders>
            <w:shd w:val="clear" w:color="auto" w:fill="E5F1EE"/>
          </w:tcPr>
          <w:p>
            <w:pPr>
              <w:spacing w:after="0"/>
              <w:rPr>
                <w:sz w:val="12"/>
                <w:szCs w:val="12"/>
                <w:color w:val="auto"/>
              </w:rPr>
            </w:pPr>
          </w:p>
        </w:tc>
        <w:tc>
          <w:tcPr>
            <w:tcW w:w="76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320" w:type="dxa"/>
            <w:vAlign w:val="bottom"/>
            <w:tcBorders>
              <w:bottom w:val="single" w:sz="8" w:color="E5F1EE"/>
            </w:tcBorders>
            <w:shd w:val="clear" w:color="auto" w:fill="E5F1EE"/>
          </w:tcPr>
          <w:p>
            <w:pPr>
              <w:spacing w:after="0"/>
              <w:rPr>
                <w:sz w:val="12"/>
                <w:szCs w:val="12"/>
                <w:color w:val="auto"/>
              </w:rPr>
            </w:pPr>
          </w:p>
        </w:tc>
        <w:tc>
          <w:tcPr>
            <w:tcW w:w="660" w:type="dxa"/>
            <w:vAlign w:val="bottom"/>
            <w:tcBorders>
              <w:bottom w:val="single" w:sz="8" w:color="E5F1EE"/>
            </w:tcBorders>
            <w:shd w:val="clear" w:color="auto" w:fill="E5F1EE"/>
          </w:tcPr>
          <w:p>
            <w:pPr>
              <w:spacing w:after="0"/>
              <w:rPr>
                <w:sz w:val="12"/>
                <w:szCs w:val="12"/>
                <w:color w:val="auto"/>
              </w:rPr>
            </w:pPr>
          </w:p>
        </w:tc>
        <w:tc>
          <w:tcPr>
            <w:tcW w:w="220" w:type="dxa"/>
            <w:vAlign w:val="bottom"/>
            <w:tcBorders>
              <w:bottom w:val="single" w:sz="8" w:color="E5F1EE"/>
            </w:tcBorders>
            <w:shd w:val="clear" w:color="auto" w:fill="E5F1EE"/>
          </w:tcPr>
          <w:p>
            <w:pPr>
              <w:spacing w:after="0"/>
              <w:rPr>
                <w:sz w:val="12"/>
                <w:szCs w:val="12"/>
                <w:color w:val="auto"/>
              </w:rPr>
            </w:pPr>
          </w:p>
        </w:tc>
        <w:tc>
          <w:tcPr>
            <w:tcW w:w="980" w:type="dxa"/>
            <w:vAlign w:val="bottom"/>
            <w:tcBorders>
              <w:bottom w:val="single" w:sz="8" w:color="E5F1EE"/>
            </w:tcBorders>
            <w:shd w:val="clear" w:color="auto" w:fill="E5F1E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360" w:type="dxa"/>
            <w:vAlign w:val="bottom"/>
            <w:gridSpan w:val="4"/>
          </w:tcPr>
          <w:p>
            <w:pPr>
              <w:spacing w:after="0" w:line="97" w:lineRule="exact"/>
              <w:rPr>
                <w:sz w:val="20"/>
                <w:szCs w:val="20"/>
                <w:color w:val="auto"/>
              </w:rPr>
            </w:pPr>
            <w:r>
              <w:rPr>
                <w:rFonts w:ascii="Times New Roman" w:cs="Times New Roman" w:eastAsia="Times New Roman" w:hAnsi="Times New Roman"/>
                <w:sz w:val="9"/>
                <w:szCs w:val="9"/>
                <w:color w:val="auto"/>
              </w:rPr>
              <w:t>Nonaccrual loans</w:t>
            </w:r>
          </w:p>
        </w:tc>
        <w:tc>
          <w:tcPr>
            <w:tcW w:w="240" w:type="dxa"/>
            <w:vAlign w:val="bottom"/>
            <w:tcBorders>
              <w:top w:val="single" w:sz="8" w:color="auto"/>
            </w:tcBorders>
          </w:tcPr>
          <w:p>
            <w:pPr>
              <w:jc w:val="right"/>
              <w:ind w:right="13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Borders>
              <w:top w:val="single" w:sz="8" w:color="auto"/>
            </w:tcBorders>
          </w:tcPr>
          <w:p>
            <w:pPr>
              <w:jc w:val="right"/>
              <w:ind w:right="55"/>
              <w:spacing w:after="0" w:line="98" w:lineRule="exact"/>
              <w:rPr>
                <w:sz w:val="20"/>
                <w:szCs w:val="20"/>
                <w:color w:val="auto"/>
              </w:rPr>
            </w:pPr>
            <w:r>
              <w:rPr>
                <w:rFonts w:ascii="Times New Roman" w:cs="Times New Roman" w:eastAsia="Times New Roman" w:hAnsi="Times New Roman"/>
                <w:sz w:val="9"/>
                <w:szCs w:val="9"/>
                <w:color w:val="auto"/>
              </w:rPr>
              <w:t>1,926</w:t>
            </w:r>
          </w:p>
        </w:tc>
        <w:tc>
          <w:tcPr>
            <w:tcW w:w="220" w:type="dxa"/>
            <w:vAlign w:val="bottom"/>
          </w:tcPr>
          <w:p>
            <w:pPr>
              <w:spacing w:after="0"/>
              <w:rPr>
                <w:sz w:val="8"/>
                <w:szCs w:val="8"/>
                <w:color w:val="auto"/>
              </w:rPr>
            </w:pPr>
          </w:p>
        </w:tc>
        <w:tc>
          <w:tcPr>
            <w:tcW w:w="360" w:type="dxa"/>
            <w:vAlign w:val="bottom"/>
            <w:tcBorders>
              <w:top w:val="single" w:sz="8" w:color="auto"/>
            </w:tcBorders>
          </w:tcPr>
          <w:p>
            <w:pPr>
              <w:jc w:val="right"/>
              <w:ind w:right="25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9"/>
                <w:szCs w:val="9"/>
                <w:color w:val="auto"/>
              </w:rPr>
              <w:t>2,342</w:t>
            </w:r>
          </w:p>
        </w:tc>
        <w:tc>
          <w:tcPr>
            <w:tcW w:w="200" w:type="dxa"/>
            <w:vAlign w:val="bottom"/>
          </w:tcPr>
          <w:p>
            <w:pPr>
              <w:spacing w:after="0"/>
              <w:rPr>
                <w:sz w:val="8"/>
                <w:szCs w:val="8"/>
                <w:color w:val="auto"/>
              </w:rPr>
            </w:pPr>
          </w:p>
        </w:tc>
        <w:tc>
          <w:tcPr>
            <w:tcW w:w="9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-18 %</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Real estate and other foreclosed assets</w:t>
            </w:r>
          </w:p>
        </w:tc>
        <w:tc>
          <w:tcPr>
            <w:tcW w:w="240" w:type="dxa"/>
            <w:vAlign w:val="bottom"/>
            <w:tcBorders>
              <w:bottom w:val="single" w:sz="8" w:color="auto"/>
            </w:tcBorders>
            <w:shd w:val="clear" w:color="auto" w:fill="E5F1EE"/>
          </w:tcPr>
          <w:p>
            <w:pPr>
              <w:spacing w:after="0"/>
              <w:rPr>
                <w:sz w:val="11"/>
                <w:szCs w:val="11"/>
                <w:color w:val="auto"/>
              </w:rPr>
            </w:pPr>
          </w:p>
        </w:tc>
        <w:tc>
          <w:tcPr>
            <w:tcW w:w="740" w:type="dxa"/>
            <w:vAlign w:val="bottom"/>
            <w:tcBorders>
              <w:bottom w:val="single" w:sz="8" w:color="auto"/>
            </w:tcBorders>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37</w:t>
            </w:r>
          </w:p>
        </w:tc>
        <w:tc>
          <w:tcPr>
            <w:tcW w:w="220" w:type="dxa"/>
            <w:vAlign w:val="bottom"/>
            <w:shd w:val="clear" w:color="auto" w:fill="E5F1EE"/>
          </w:tcPr>
          <w:p>
            <w:pPr>
              <w:spacing w:after="0"/>
              <w:rPr>
                <w:sz w:val="11"/>
                <w:szCs w:val="11"/>
                <w:color w:val="auto"/>
              </w:rPr>
            </w:pPr>
          </w:p>
        </w:tc>
        <w:tc>
          <w:tcPr>
            <w:tcW w:w="360" w:type="dxa"/>
            <w:vAlign w:val="bottom"/>
            <w:tcBorders>
              <w:bottom w:val="single" w:sz="8" w:color="auto"/>
            </w:tcBorders>
            <w:shd w:val="clear" w:color="auto" w:fill="E5F1EE"/>
          </w:tcPr>
          <w:p>
            <w:pPr>
              <w:spacing w:after="0"/>
              <w:rPr>
                <w:sz w:val="11"/>
                <w:szCs w:val="11"/>
                <w:color w:val="auto"/>
              </w:rPr>
            </w:pPr>
          </w:p>
        </w:tc>
        <w:tc>
          <w:tcPr>
            <w:tcW w:w="62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37</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60" w:type="dxa"/>
            <w:vAlign w:val="bottom"/>
            <w:tcBorders>
              <w:bottom w:val="single" w:sz="8" w:color="E5F1EE"/>
            </w:tcBorders>
            <w:gridSpan w:val="4"/>
          </w:tcPr>
          <w:p>
            <w:pPr>
              <w:spacing w:after="0" w:line="97" w:lineRule="exact"/>
              <w:rPr>
                <w:sz w:val="20"/>
                <w:szCs w:val="20"/>
                <w:color w:val="auto"/>
              </w:rPr>
            </w:pPr>
            <w:r>
              <w:rPr>
                <w:rFonts w:ascii="Times New Roman" w:cs="Times New Roman" w:eastAsia="Times New Roman" w:hAnsi="Times New Roman"/>
                <w:sz w:val="9"/>
                <w:szCs w:val="9"/>
                <w:color w:val="auto"/>
              </w:rPr>
              <w:t>Total nonperforming assets</w:t>
            </w:r>
          </w:p>
        </w:tc>
        <w:tc>
          <w:tcPr>
            <w:tcW w:w="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1,963</w:t>
            </w:r>
          </w:p>
        </w:tc>
        <w:tc>
          <w:tcPr>
            <w:tcW w:w="220" w:type="dxa"/>
            <w:vAlign w:val="bottom"/>
            <w:tcBorders>
              <w:bottom w:val="single" w:sz="8" w:color="E5F1EE"/>
            </w:tcBorders>
          </w:tcPr>
          <w:p>
            <w:pPr>
              <w:spacing w:after="0"/>
              <w:rPr>
                <w:sz w:val="11"/>
                <w:szCs w:val="11"/>
                <w:color w:val="auto"/>
              </w:rPr>
            </w:pPr>
          </w:p>
        </w:tc>
        <w:tc>
          <w:tcPr>
            <w:tcW w:w="3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2,379</w:t>
            </w:r>
          </w:p>
        </w:tc>
        <w:tc>
          <w:tcPr>
            <w:tcW w:w="1180" w:type="dxa"/>
            <w:vAlign w:val="bottom"/>
            <w:tcBorders>
              <w:bottom w:val="single" w:sz="8" w:color="E5F1EE"/>
            </w:tcBorders>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-17</w:t>
            </w:r>
          </w:p>
        </w:tc>
        <w:tc>
          <w:tcPr>
            <w:tcW w:w="200" w:type="dxa"/>
            <w:vAlign w:val="bottom"/>
            <w:tcBorders>
              <w:bottom w:val="single" w:sz="8" w:color="E5F1EE"/>
            </w:tcBorders>
          </w:tcPr>
          <w:p>
            <w:pPr>
              <w:spacing w:after="0"/>
              <w:rPr>
                <w:sz w:val="11"/>
                <w:szCs w:val="11"/>
                <w:color w:val="auto"/>
              </w:rPr>
            </w:pPr>
          </w:p>
        </w:tc>
        <w:tc>
          <w:tcPr>
            <w:tcW w:w="240" w:type="dxa"/>
            <w:vAlign w:val="bottom"/>
            <w:tcBorders>
              <w:bottom w:val="single" w:sz="8" w:color="E5F1EE"/>
            </w:tcBorders>
          </w:tcPr>
          <w:p>
            <w:pPr>
              <w:spacing w:after="0"/>
              <w:rPr>
                <w:sz w:val="11"/>
                <w:szCs w:val="11"/>
                <w:color w:val="auto"/>
              </w:rPr>
            </w:pPr>
          </w:p>
        </w:tc>
        <w:tc>
          <w:tcPr>
            <w:tcW w:w="760" w:type="dxa"/>
            <w:vAlign w:val="bottom"/>
            <w:tcBorders>
              <w:bottom w:val="single" w:sz="8" w:color="E5F1EE"/>
            </w:tcBorders>
          </w:tcPr>
          <w:p>
            <w:pPr>
              <w:spacing w:after="0"/>
              <w:rPr>
                <w:sz w:val="11"/>
                <w:szCs w:val="11"/>
                <w:color w:val="auto"/>
              </w:rPr>
            </w:pPr>
          </w:p>
        </w:tc>
        <w:tc>
          <w:tcPr>
            <w:tcW w:w="200" w:type="dxa"/>
            <w:vAlign w:val="bottom"/>
            <w:tcBorders>
              <w:bottom w:val="single" w:sz="8" w:color="E5F1EE"/>
            </w:tcBorders>
          </w:tcPr>
          <w:p>
            <w:pPr>
              <w:spacing w:after="0"/>
              <w:rPr>
                <w:sz w:val="11"/>
                <w:szCs w:val="11"/>
                <w:color w:val="auto"/>
              </w:rPr>
            </w:pPr>
          </w:p>
        </w:tc>
        <w:tc>
          <w:tcPr>
            <w:tcW w:w="320" w:type="dxa"/>
            <w:vAlign w:val="bottom"/>
            <w:tcBorders>
              <w:bottom w:val="single" w:sz="8" w:color="E5F1EE"/>
            </w:tcBorders>
          </w:tcPr>
          <w:p>
            <w:pPr>
              <w:spacing w:after="0"/>
              <w:rPr>
                <w:sz w:val="11"/>
                <w:szCs w:val="11"/>
                <w:color w:val="auto"/>
              </w:rPr>
            </w:pPr>
          </w:p>
        </w:tc>
        <w:tc>
          <w:tcPr>
            <w:tcW w:w="660" w:type="dxa"/>
            <w:vAlign w:val="bottom"/>
            <w:tcBorders>
              <w:bottom w:val="single" w:sz="8" w:color="E5F1EE"/>
            </w:tcBorders>
          </w:tcPr>
          <w:p>
            <w:pPr>
              <w:spacing w:after="0"/>
              <w:rPr>
                <w:sz w:val="11"/>
                <w:szCs w:val="11"/>
                <w:color w:val="auto"/>
              </w:rPr>
            </w:pPr>
          </w:p>
        </w:tc>
        <w:tc>
          <w:tcPr>
            <w:tcW w:w="220" w:type="dxa"/>
            <w:vAlign w:val="bottom"/>
            <w:tcBorders>
              <w:bottom w:val="single" w:sz="8" w:color="E5F1EE"/>
            </w:tcBorders>
          </w:tcPr>
          <w:p>
            <w:pPr>
              <w:spacing w:after="0"/>
              <w:rPr>
                <w:sz w:val="11"/>
                <w:szCs w:val="11"/>
                <w:color w:val="auto"/>
              </w:rPr>
            </w:pPr>
          </w:p>
        </w:tc>
        <w:tc>
          <w:tcPr>
            <w:tcW w:w="980" w:type="dxa"/>
            <w:vAlign w:val="bottom"/>
            <w:tcBorders>
              <w:bottom w:val="single" w:sz="8" w:color="E5F1EE"/>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360" w:type="dxa"/>
            <w:vAlign w:val="bottom"/>
            <w:gridSpan w:val="4"/>
            <w:shd w:val="clear" w:color="auto" w:fill="E5F1EE"/>
          </w:tcPr>
          <w:p>
            <w:pPr>
              <w:spacing w:after="0" w:line="98" w:lineRule="exact"/>
              <w:rPr>
                <w:sz w:val="20"/>
                <w:szCs w:val="20"/>
                <w:color w:val="auto"/>
              </w:rPr>
            </w:pPr>
            <w:r>
              <w:rPr>
                <w:rFonts w:ascii="Times New Roman" w:cs="Times New Roman" w:eastAsia="Times New Roman" w:hAnsi="Times New Roman"/>
                <w:sz w:val="9"/>
                <w:szCs w:val="9"/>
                <w:color w:val="auto"/>
              </w:rPr>
              <w:t>Accruing loans past due 90 days or more (4)</w:t>
            </w: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288</w:t>
            </w:r>
          </w:p>
        </w:tc>
        <w:tc>
          <w:tcPr>
            <w:tcW w:w="220" w:type="dxa"/>
            <w:vAlign w:val="bottom"/>
            <w:shd w:val="clear" w:color="auto" w:fill="E5F1EE"/>
          </w:tcPr>
          <w:p>
            <w:pPr>
              <w:spacing w:after="0"/>
              <w:rPr>
                <w:sz w:val="10"/>
                <w:szCs w:val="10"/>
                <w:color w:val="auto"/>
              </w:rPr>
            </w:pPr>
          </w:p>
        </w:tc>
        <w:tc>
          <w:tcPr>
            <w:tcW w:w="360" w:type="dxa"/>
            <w:vAlign w:val="bottom"/>
            <w:shd w:val="clear" w:color="auto" w:fill="E5F1EE"/>
          </w:tcPr>
          <w:p>
            <w:pPr>
              <w:jc w:val="right"/>
              <w:ind w:right="255"/>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354</w:t>
            </w:r>
          </w:p>
        </w:tc>
        <w:tc>
          <w:tcPr>
            <w:tcW w:w="1180" w:type="dxa"/>
            <w:vAlign w:val="bottom"/>
            <w:gridSpan w:val="2"/>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-19</w:t>
            </w:r>
          </w:p>
        </w:tc>
        <w:tc>
          <w:tcPr>
            <w:tcW w:w="20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66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980" w:type="dxa"/>
            <w:vAlign w:val="bottom"/>
            <w:shd w:val="clear" w:color="auto" w:fill="E5F1E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Government guaranteed loans included in totals above:</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Nonaccrual loans</w:t>
            </w: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69</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jc w:val="right"/>
              <w:ind w:right="255"/>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40</w:t>
            </w:r>
          </w:p>
        </w:tc>
        <w:tc>
          <w:tcPr>
            <w:tcW w:w="1180" w:type="dxa"/>
            <w:vAlign w:val="bottom"/>
            <w:gridSpan w:val="2"/>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73</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Accruing loans past due 90 days or more</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269</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269</w:t>
            </w:r>
          </w:p>
        </w:tc>
        <w:tc>
          <w:tcPr>
            <w:tcW w:w="200" w:type="dxa"/>
            <w:vAlign w:val="bottom"/>
          </w:tcPr>
          <w:p>
            <w:pPr>
              <w:spacing w:after="0"/>
              <w:rPr>
                <w:sz w:val="10"/>
                <w:szCs w:val="10"/>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Nonaccrual loans to total loans</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1.42 %</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1.77 %</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Allowance for credit losses to total loans</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1.62</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1.55</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900" w:type="dxa"/>
            <w:vAlign w:val="bottom"/>
            <w:tcBorders>
              <w:bottom w:val="single" w:sz="8" w:color="auto"/>
            </w:tcBorders>
            <w:gridSpan w:val="2"/>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8"/>
              </w:rPr>
              <w:t>Additional information</w:t>
            </w:r>
          </w:p>
        </w:tc>
        <w:tc>
          <w:tcPr>
            <w:tcW w:w="3460" w:type="dxa"/>
            <w:vAlign w:val="bottom"/>
            <w:tcBorders>
              <w:bottom w:val="single" w:sz="8" w:color="E5F1EE"/>
            </w:tcBorders>
            <w:gridSpan w:val="2"/>
            <w:shd w:val="clear" w:color="auto" w:fill="E5F1EE"/>
          </w:tcPr>
          <w:p>
            <w:pPr>
              <w:spacing w:after="0"/>
              <w:rPr>
                <w:sz w:val="9"/>
                <w:szCs w:val="9"/>
                <w:color w:val="auto"/>
              </w:rPr>
            </w:pPr>
          </w:p>
        </w:tc>
        <w:tc>
          <w:tcPr>
            <w:tcW w:w="240" w:type="dxa"/>
            <w:vAlign w:val="bottom"/>
            <w:tcBorders>
              <w:bottom w:val="single" w:sz="8" w:color="E5F1EE"/>
            </w:tcBorders>
            <w:shd w:val="clear" w:color="auto" w:fill="E5F1EE"/>
          </w:tcPr>
          <w:p>
            <w:pPr>
              <w:spacing w:after="0"/>
              <w:rPr>
                <w:sz w:val="9"/>
                <w:szCs w:val="9"/>
                <w:color w:val="auto"/>
              </w:rPr>
            </w:pPr>
          </w:p>
        </w:tc>
        <w:tc>
          <w:tcPr>
            <w:tcW w:w="74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360" w:type="dxa"/>
            <w:vAlign w:val="bottom"/>
            <w:tcBorders>
              <w:bottom w:val="single" w:sz="8" w:color="E5F1EE"/>
            </w:tcBorders>
            <w:shd w:val="clear" w:color="auto" w:fill="E5F1EE"/>
          </w:tcPr>
          <w:p>
            <w:pPr>
              <w:spacing w:after="0"/>
              <w:rPr>
                <w:sz w:val="9"/>
                <w:szCs w:val="9"/>
                <w:color w:val="auto"/>
              </w:rPr>
            </w:pPr>
          </w:p>
        </w:tc>
        <w:tc>
          <w:tcPr>
            <w:tcW w:w="6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98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240" w:type="dxa"/>
            <w:vAlign w:val="bottom"/>
            <w:tcBorders>
              <w:bottom w:val="single" w:sz="8" w:color="E5F1EE"/>
            </w:tcBorders>
            <w:shd w:val="clear" w:color="auto" w:fill="E5F1EE"/>
          </w:tcPr>
          <w:p>
            <w:pPr>
              <w:spacing w:after="0"/>
              <w:rPr>
                <w:sz w:val="9"/>
                <w:szCs w:val="9"/>
                <w:color w:val="auto"/>
              </w:rPr>
            </w:pPr>
          </w:p>
        </w:tc>
        <w:tc>
          <w:tcPr>
            <w:tcW w:w="76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320" w:type="dxa"/>
            <w:vAlign w:val="bottom"/>
            <w:tcBorders>
              <w:bottom w:val="single" w:sz="8" w:color="E5F1EE"/>
            </w:tcBorders>
            <w:shd w:val="clear" w:color="auto" w:fill="E5F1EE"/>
          </w:tcPr>
          <w:p>
            <w:pPr>
              <w:spacing w:after="0"/>
              <w:rPr>
                <w:sz w:val="9"/>
                <w:szCs w:val="9"/>
                <w:color w:val="auto"/>
              </w:rPr>
            </w:pPr>
          </w:p>
        </w:tc>
        <w:tc>
          <w:tcPr>
            <w:tcW w:w="66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980" w:type="dxa"/>
            <w:vAlign w:val="bottom"/>
            <w:tcBorders>
              <w:bottom w:val="single" w:sz="8" w:color="E5F1EE"/>
            </w:tcBorders>
            <w:shd w:val="clear" w:color="auto" w:fill="E5F1E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Period end common stock price</w:t>
            </w:r>
          </w:p>
        </w:tc>
        <w:tc>
          <w:tcPr>
            <w:tcW w:w="24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178.12</w:t>
            </w:r>
          </w:p>
        </w:tc>
        <w:tc>
          <w:tcPr>
            <w:tcW w:w="220" w:type="dxa"/>
            <w:vAlign w:val="bottom"/>
          </w:tcPr>
          <w:p>
            <w:pPr>
              <w:spacing w:after="0"/>
              <w:rPr>
                <w:sz w:val="10"/>
                <w:szCs w:val="10"/>
                <w:color w:val="auto"/>
              </w:rPr>
            </w:pPr>
          </w:p>
        </w:tc>
        <w:tc>
          <w:tcPr>
            <w:tcW w:w="36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126.45</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41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6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Domestic banking offices</w:t>
            </w:r>
          </w:p>
        </w:tc>
        <w:tc>
          <w:tcPr>
            <w:tcW w:w="240" w:type="dxa"/>
            <w:vAlign w:val="bottom"/>
            <w:shd w:val="clear" w:color="auto" w:fill="E5F1EE"/>
          </w:tcPr>
          <w:p>
            <w:pPr>
              <w:spacing w:after="0"/>
              <w:rPr>
                <w:sz w:val="11"/>
                <w:szCs w:val="11"/>
                <w:color w:val="auto"/>
              </w:rPr>
            </w:pPr>
          </w:p>
        </w:tc>
        <w:tc>
          <w:tcPr>
            <w:tcW w:w="74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957</w:t>
            </w:r>
          </w:p>
        </w:tc>
        <w:tc>
          <w:tcPr>
            <w:tcW w:w="220" w:type="dxa"/>
            <w:vAlign w:val="bottom"/>
            <w:shd w:val="clear" w:color="auto" w:fill="E5F1EE"/>
          </w:tcPr>
          <w:p>
            <w:pPr>
              <w:spacing w:after="0"/>
              <w:rPr>
                <w:sz w:val="11"/>
                <w:szCs w:val="11"/>
                <w:color w:val="auto"/>
              </w:rPr>
            </w:pPr>
          </w:p>
        </w:tc>
        <w:tc>
          <w:tcPr>
            <w:tcW w:w="36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967</w:t>
            </w:r>
          </w:p>
        </w:tc>
        <w:tc>
          <w:tcPr>
            <w:tcW w:w="1180" w:type="dxa"/>
            <w:vAlign w:val="bottom"/>
            <w:gridSpan w:val="2"/>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36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Full time equivalent employees</w:t>
            </w:r>
          </w:p>
        </w:tc>
        <w:tc>
          <w:tcPr>
            <w:tcW w:w="240" w:type="dxa"/>
            <w:vAlign w:val="bottom"/>
          </w:tcPr>
          <w:p>
            <w:pPr>
              <w:spacing w:after="0"/>
              <w:rPr>
                <w:sz w:val="10"/>
                <w:szCs w:val="10"/>
                <w:color w:val="auto"/>
              </w:rPr>
            </w:pPr>
          </w:p>
        </w:tc>
        <w:tc>
          <w:tcPr>
            <w:tcW w:w="74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21,986</w:t>
            </w: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22,424</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9"/>
                <w:szCs w:val="9"/>
                <w:color w:val="auto"/>
              </w:rPr>
              <w:t>-2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36290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97" w:lineRule="exact"/>
        <w:rPr>
          <w:sz w:val="20"/>
          <w:szCs w:val="20"/>
          <w:color w:val="auto"/>
        </w:rPr>
      </w:pPr>
    </w:p>
    <w:p>
      <w:pPr>
        <w:ind w:left="148" w:hanging="148"/>
        <w:spacing w:after="0"/>
        <w:tabs>
          <w:tab w:leader="none" w:pos="148"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common stock equivalents.</w:t>
      </w:r>
    </w:p>
    <w:p>
      <w:pPr>
        <w:ind w:left="148" w:hanging="148"/>
        <w:spacing w:after="0" w:line="225" w:lineRule="auto"/>
        <w:tabs>
          <w:tab w:leader="none" w:pos="148"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common stock issuable under deferred compensation plans.</w:t>
      </w:r>
    </w:p>
    <w:p>
      <w:pPr>
        <w:ind w:left="148" w:hanging="148"/>
        <w:spacing w:after="0" w:line="206" w:lineRule="auto"/>
        <w:tabs>
          <w:tab w:leader="none" w:pos="145"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Excludes amortization and balances related to goodwill and core deposit and other intangible assets and merger-related expenses which, except in the calculation of the efficiency ratio, are net of applicable income tax effects. Reconciliations of net income with net operating income appear on page 17.</w:t>
      </w:r>
    </w:p>
    <w:p>
      <w:pPr>
        <w:ind w:left="148" w:hanging="148"/>
        <w:spacing w:after="0"/>
        <w:tabs>
          <w:tab w:leader="none" w:pos="148"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Predominantly residential real estate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8"/>
          </w:cols>
          <w:pgMar w:left="292" w:top="158" w:right="299" w:bottom="144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333"/>
        </w:trPr>
        <w:tc>
          <w:tcPr>
            <w:tcW w:w="500" w:type="dxa"/>
            <w:vAlign w:val="bottom"/>
            <w:shd w:val="clear" w:color="auto" w:fill="007856"/>
          </w:tcPr>
          <w:p>
            <w:pPr>
              <w:spacing w:after="0"/>
              <w:rPr>
                <w:sz w:val="24"/>
                <w:szCs w:val="24"/>
                <w:color w:val="auto"/>
              </w:rPr>
            </w:pPr>
          </w:p>
        </w:tc>
        <w:tc>
          <w:tcPr>
            <w:tcW w:w="400" w:type="dxa"/>
            <w:vAlign w:val="bottom"/>
            <w:shd w:val="clear" w:color="auto" w:fill="007856"/>
          </w:tcPr>
          <w:p>
            <w:pPr>
              <w:spacing w:after="0"/>
              <w:rPr>
                <w:sz w:val="24"/>
                <w:szCs w:val="24"/>
                <w:color w:val="auto"/>
              </w:rPr>
            </w:pPr>
          </w:p>
        </w:tc>
        <w:tc>
          <w:tcPr>
            <w:tcW w:w="40" w:type="dxa"/>
            <w:vAlign w:val="bottom"/>
            <w:shd w:val="clear" w:color="auto" w:fill="007856"/>
          </w:tcPr>
          <w:p>
            <w:pPr>
              <w:spacing w:after="0"/>
              <w:rPr>
                <w:sz w:val="24"/>
                <w:szCs w:val="24"/>
                <w:color w:val="auto"/>
              </w:rPr>
            </w:pPr>
          </w:p>
        </w:tc>
        <w:tc>
          <w:tcPr>
            <w:tcW w:w="358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98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240" w:type="dxa"/>
            <w:vAlign w:val="bottom"/>
            <w:shd w:val="clear" w:color="auto" w:fill="007856"/>
          </w:tcPr>
          <w:p>
            <w:pPr>
              <w:spacing w:after="0"/>
              <w:rPr>
                <w:sz w:val="24"/>
                <w:szCs w:val="24"/>
                <w:color w:val="auto"/>
              </w:rPr>
            </w:pPr>
          </w:p>
        </w:tc>
        <w:tc>
          <w:tcPr>
            <w:tcW w:w="92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140" w:type="dxa"/>
            <w:vAlign w:val="bottom"/>
            <w:shd w:val="clear" w:color="auto" w:fill="007856"/>
          </w:tcPr>
          <w:p>
            <w:pPr>
              <w:spacing w:after="0"/>
              <w:rPr>
                <w:sz w:val="24"/>
                <w:szCs w:val="24"/>
                <w:color w:val="auto"/>
              </w:rPr>
            </w:pPr>
          </w:p>
        </w:tc>
        <w:tc>
          <w:tcPr>
            <w:tcW w:w="102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2440" w:type="dxa"/>
            <w:vAlign w:val="bottom"/>
            <w:gridSpan w:val="5"/>
            <w:shd w:val="clear" w:color="auto" w:fill="007856"/>
          </w:tcPr>
          <w:p>
            <w:pPr>
              <w:ind w:left="920"/>
              <w:spacing w:after="0"/>
              <w:rPr>
                <w:sz w:val="20"/>
                <w:szCs w:val="20"/>
                <w:color w:val="auto"/>
              </w:rPr>
            </w:pPr>
            <w:r>
              <w:rPr>
                <w:rFonts w:ascii="Times New Roman" w:cs="Times New Roman" w:eastAsia="Times New Roman" w:hAnsi="Times New Roman"/>
                <w:sz w:val="12"/>
                <w:szCs w:val="12"/>
                <w:b w:val="1"/>
                <w:bCs w:val="1"/>
                <w:color w:val="FFFFFF"/>
              </w:rPr>
              <w:t>Third Quarter 2024 Results</w:t>
            </w:r>
          </w:p>
        </w:tc>
        <w:tc>
          <w:tcPr>
            <w:tcW w:w="0" w:type="dxa"/>
            <w:vAlign w:val="bottom"/>
          </w:tcPr>
          <w:p>
            <w:pPr>
              <w:spacing w:after="0"/>
              <w:rPr>
                <w:sz w:val="1"/>
                <w:szCs w:val="1"/>
                <w:color w:val="auto"/>
              </w:rPr>
            </w:pPr>
          </w:p>
        </w:tc>
      </w:tr>
      <w:tr>
        <w:trPr>
          <w:trHeight w:val="738"/>
        </w:trPr>
        <w:tc>
          <w:tcPr>
            <w:tcW w:w="45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Financial Highlights, Five Quarter Trend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9"/>
                <w:szCs w:val="9"/>
                <w:color w:val="auto"/>
              </w:rPr>
              <w:t>Three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9"/>
                <w:szCs w:val="9"/>
                <w:color w:val="auto"/>
                <w:w w:val="99"/>
              </w:rPr>
              <w:t>September 30,</w:t>
            </w:r>
          </w:p>
        </w:tc>
        <w:tc>
          <w:tcPr>
            <w:tcW w:w="240" w:type="dxa"/>
            <w:vAlign w:val="bottom"/>
          </w:tcPr>
          <w:p>
            <w:pPr>
              <w:spacing w:after="0"/>
              <w:rPr>
                <w:sz w:val="9"/>
                <w:szCs w:val="9"/>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9"/>
                <w:szCs w:val="9"/>
                <w:color w:val="auto"/>
                <w:w w:val="99"/>
              </w:rPr>
              <w:t>June 30,</w:t>
            </w:r>
          </w:p>
        </w:tc>
        <w:tc>
          <w:tcPr>
            <w:tcW w:w="140" w:type="dxa"/>
            <w:vAlign w:val="bottom"/>
          </w:tcPr>
          <w:p>
            <w:pPr>
              <w:spacing w:after="0"/>
              <w:rPr>
                <w:sz w:val="9"/>
                <w:szCs w:val="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color w:val="auto"/>
                <w:w w:val="97"/>
              </w:rPr>
              <w:t>March 31,</w:t>
            </w:r>
          </w:p>
        </w:tc>
        <w:tc>
          <w:tcPr>
            <w:tcW w:w="200" w:type="dxa"/>
            <w:vAlign w:val="bottom"/>
          </w:tcPr>
          <w:p>
            <w:pPr>
              <w:spacing w:after="0"/>
              <w:rPr>
                <w:sz w:val="9"/>
                <w:szCs w:val="9"/>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color w:val="auto"/>
                <w:w w:val="98"/>
              </w:rPr>
              <w:t>December 31,</w:t>
            </w:r>
          </w:p>
        </w:tc>
        <w:tc>
          <w:tcPr>
            <w:tcW w:w="180" w:type="dxa"/>
            <w:vAlign w:val="bottom"/>
          </w:tcPr>
          <w:p>
            <w:pPr>
              <w:spacing w:after="0"/>
              <w:rPr>
                <w:sz w:val="9"/>
                <w:szCs w:val="9"/>
                <w:color w:val="auto"/>
              </w:rPr>
            </w:pPr>
          </w:p>
        </w:tc>
        <w:tc>
          <w:tcPr>
            <w:tcW w:w="1000" w:type="dxa"/>
            <w:vAlign w:val="bottom"/>
          </w:tcPr>
          <w:p>
            <w:pPr>
              <w:jc w:val="center"/>
              <w:ind w:right="155"/>
              <w:spacing w:after="0"/>
              <w:rPr>
                <w:sz w:val="20"/>
                <w:szCs w:val="20"/>
                <w:color w:val="auto"/>
              </w:rPr>
            </w:pPr>
            <w:r>
              <w:rPr>
                <w:rFonts w:ascii="Times New Roman" w:cs="Times New Roman" w:eastAsia="Times New Roman" w:hAnsi="Times New Roman"/>
                <w:sz w:val="9"/>
                <w:szCs w:val="9"/>
                <w:color w:val="auto"/>
                <w:w w:val="99"/>
              </w:rPr>
              <w:t>September 30,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auto"/>
              </w:rPr>
              <w:t>(Dollars in millions, except per share, shares in thousands)</w:t>
            </w: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color w:val="auto"/>
                <w:w w:val="99"/>
              </w:rPr>
              <w:t>2024</w:t>
            </w: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9"/>
                <w:szCs w:val="9"/>
                <w:color w:val="auto"/>
                <w:w w:val="99"/>
              </w:rPr>
              <w:t>2024</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9"/>
                <w:szCs w:val="9"/>
                <w:color w:val="auto"/>
                <w:w w:val="99"/>
              </w:rPr>
              <w:t>2024</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9"/>
                <w:szCs w:val="9"/>
                <w:color w:val="auto"/>
                <w:w w:val="99"/>
              </w:rPr>
              <w:t>2023</w:t>
            </w: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9"/>
                <w:szCs w:val="9"/>
                <w:color w:val="auto"/>
                <w:w w:val="99"/>
              </w:rPr>
              <w:t>2023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520" w:type="dxa"/>
            <w:vAlign w:val="bottom"/>
            <w:gridSpan w:val="4"/>
          </w:tcPr>
          <w:p>
            <w:pPr>
              <w:spacing w:after="0" w:line="89" w:lineRule="exact"/>
              <w:rPr>
                <w:sz w:val="20"/>
                <w:szCs w:val="20"/>
                <w:color w:val="auto"/>
              </w:rPr>
            </w:pPr>
            <w:r>
              <w:rPr>
                <w:rFonts w:ascii="Times New Roman" w:cs="Times New Roman" w:eastAsia="Times New Roman" w:hAnsi="Times New Roman"/>
                <w:sz w:val="9"/>
                <w:szCs w:val="9"/>
                <w:b w:val="1"/>
                <w:bCs w:val="1"/>
                <w:color w:val="auto"/>
              </w:rPr>
              <w:t>Performance</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500" w:type="dxa"/>
            <w:vAlign w:val="bottom"/>
            <w:tcBorders>
              <w:top w:val="single" w:sz="8" w:color="auto"/>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Net income</w:t>
            </w:r>
          </w:p>
        </w:tc>
        <w:tc>
          <w:tcPr>
            <w:tcW w:w="4020" w:type="dxa"/>
            <w:vAlign w:val="bottom"/>
            <w:gridSpan w:val="3"/>
            <w:shd w:val="clear" w:color="auto" w:fill="E5F1EE"/>
          </w:tcPr>
          <w:p>
            <w:pPr>
              <w:spacing w:after="0"/>
              <w:rPr>
                <w:sz w:val="10"/>
                <w:szCs w:val="10"/>
                <w:color w:val="auto"/>
              </w:rPr>
            </w:pP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721</w:t>
            </w:r>
          </w:p>
        </w:tc>
        <w:tc>
          <w:tcPr>
            <w:tcW w:w="20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655</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531</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482</w:t>
            </w: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690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income available to common shareholders</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674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626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505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457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Per common share:</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Basic earnings</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3.04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2.75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Diluted earnings</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4.02</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3.73</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3.02</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2.74</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3.98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Cash dividends</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1.35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1.30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Common shares outstanding:</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 diluted (1)</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167,567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167,659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167,084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166,731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166,570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Period end (2)</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166,157</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167,225</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166,724</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166,149</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165,970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total assets</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1.37 %</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1.24 %</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1.01 %</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.92 %</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1.33 %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common shareholders' equity</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10.26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9.95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8.14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7.41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10.99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Taxable-equivalent net interest income</w:t>
            </w: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1,739</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1,731</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1,692</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1,735</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1,790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Yield on average earning assets</w:t>
            </w:r>
          </w:p>
        </w:tc>
        <w:tc>
          <w:tcPr>
            <w:tcW w:w="2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5.82 %</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5.82 %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5.74 %</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5.73 %</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5.62 %</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Cost of interest-bearing liabilities</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3.22</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3.26</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3.26</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3.17</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2.83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spread</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2.56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2.48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2.56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Contribution of interest-free funds</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1.02</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1.03</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1.04</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1.05</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Net interest margin</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3.62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3.59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3.52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3.61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3.79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charge-offs to average total net loans (annualized)</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.35</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.41</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.42</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.44</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940" w:type="dxa"/>
            <w:vAlign w:val="bottom"/>
            <w:tcBorders>
              <w:bottom w:val="single" w:sz="8" w:color="auto"/>
            </w:tcBorders>
            <w:gridSpan w:val="3"/>
          </w:tcPr>
          <w:p>
            <w:pPr>
              <w:spacing w:after="0" w:line="99" w:lineRule="exact"/>
              <w:rPr>
                <w:sz w:val="20"/>
                <w:szCs w:val="20"/>
                <w:color w:val="auto"/>
              </w:rPr>
            </w:pPr>
            <w:r>
              <w:rPr>
                <w:rFonts w:ascii="Times New Roman" w:cs="Times New Roman" w:eastAsia="Times New Roman" w:hAnsi="Times New Roman"/>
                <w:sz w:val="9"/>
                <w:szCs w:val="9"/>
                <w:b w:val="1"/>
                <w:bCs w:val="1"/>
                <w:color w:val="auto"/>
                <w:w w:val="98"/>
              </w:rPr>
              <w:t>Net operating results (3)</w:t>
            </w:r>
          </w:p>
        </w:tc>
        <w:tc>
          <w:tcPr>
            <w:tcW w:w="3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Net operating income</w:t>
            </w: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731</w:t>
            </w:r>
          </w:p>
        </w:tc>
        <w:tc>
          <w:tcPr>
            <w:tcW w:w="20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665</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543</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494</w:t>
            </w: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702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Diluted net operating earnings per common share</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3.79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3.09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2.81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4.05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Return on (annualized):</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Average tangible assets</w:t>
            </w:r>
          </w:p>
        </w:tc>
        <w:tc>
          <w:tcPr>
            <w:tcW w:w="2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1.45 %</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1.31 %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1.08 %</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.98 %</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1.41 %</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Average tangible common equity</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15.47</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15.27</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12.67</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11.70</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17.41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Efficiency ratio</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55.0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55.3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60.8</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62.1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53.7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00" w:type="dxa"/>
            <w:vAlign w:val="bottom"/>
            <w:shd w:val="clear" w:color="auto" w:fill="E5F1EE"/>
          </w:tcPr>
          <w:p>
            <w:pPr>
              <w:spacing w:after="0"/>
              <w:rPr>
                <w:sz w:val="16"/>
                <w:szCs w:val="16"/>
                <w:color w:val="auto"/>
              </w:rPr>
            </w:pPr>
          </w:p>
        </w:tc>
        <w:tc>
          <w:tcPr>
            <w:tcW w:w="400" w:type="dxa"/>
            <w:vAlign w:val="bottom"/>
            <w:shd w:val="clear" w:color="auto" w:fill="E5F1EE"/>
          </w:tcPr>
          <w:p>
            <w:pPr>
              <w:spacing w:after="0"/>
              <w:rPr>
                <w:sz w:val="16"/>
                <w:szCs w:val="16"/>
                <w:color w:val="auto"/>
              </w:rPr>
            </w:pPr>
          </w:p>
        </w:tc>
        <w:tc>
          <w:tcPr>
            <w:tcW w:w="40" w:type="dxa"/>
            <w:vAlign w:val="bottom"/>
            <w:shd w:val="clear" w:color="auto" w:fill="E5F1EE"/>
          </w:tcPr>
          <w:p>
            <w:pPr>
              <w:spacing w:after="0"/>
              <w:rPr>
                <w:sz w:val="16"/>
                <w:szCs w:val="16"/>
                <w:color w:val="auto"/>
              </w:rPr>
            </w:pPr>
          </w:p>
        </w:tc>
        <w:tc>
          <w:tcPr>
            <w:tcW w:w="3580" w:type="dxa"/>
            <w:vAlign w:val="bottom"/>
            <w:shd w:val="clear" w:color="auto" w:fill="E5F1EE"/>
          </w:tcPr>
          <w:p>
            <w:pPr>
              <w:spacing w:after="0"/>
              <w:rPr>
                <w:sz w:val="16"/>
                <w:szCs w:val="16"/>
                <w:color w:val="auto"/>
              </w:rPr>
            </w:pPr>
          </w:p>
        </w:tc>
        <w:tc>
          <w:tcPr>
            <w:tcW w:w="200" w:type="dxa"/>
            <w:vAlign w:val="bottom"/>
            <w:shd w:val="clear" w:color="auto" w:fill="E5F1EE"/>
          </w:tcPr>
          <w:p>
            <w:pPr>
              <w:spacing w:after="0"/>
              <w:rPr>
                <w:sz w:val="16"/>
                <w:szCs w:val="16"/>
                <w:color w:val="auto"/>
              </w:rPr>
            </w:pPr>
          </w:p>
        </w:tc>
        <w:tc>
          <w:tcPr>
            <w:tcW w:w="980" w:type="dxa"/>
            <w:vAlign w:val="bottom"/>
            <w:shd w:val="clear" w:color="auto" w:fill="E5F1EE"/>
          </w:tcPr>
          <w:p>
            <w:pPr>
              <w:spacing w:after="0"/>
              <w:rPr>
                <w:sz w:val="16"/>
                <w:szCs w:val="16"/>
                <w:color w:val="auto"/>
              </w:rPr>
            </w:pPr>
          </w:p>
        </w:tc>
        <w:tc>
          <w:tcPr>
            <w:tcW w:w="200" w:type="dxa"/>
            <w:vAlign w:val="bottom"/>
            <w:shd w:val="clear" w:color="auto" w:fill="E5F1EE"/>
          </w:tcPr>
          <w:p>
            <w:pPr>
              <w:spacing w:after="0"/>
              <w:rPr>
                <w:sz w:val="16"/>
                <w:szCs w:val="16"/>
                <w:color w:val="auto"/>
              </w:rPr>
            </w:pPr>
          </w:p>
        </w:tc>
        <w:tc>
          <w:tcPr>
            <w:tcW w:w="240" w:type="dxa"/>
            <w:vAlign w:val="bottom"/>
            <w:shd w:val="clear" w:color="auto" w:fill="E5F1EE"/>
          </w:tcPr>
          <w:p>
            <w:pPr>
              <w:spacing w:after="0"/>
              <w:rPr>
                <w:sz w:val="16"/>
                <w:szCs w:val="16"/>
                <w:color w:val="auto"/>
              </w:rPr>
            </w:pPr>
          </w:p>
        </w:tc>
        <w:tc>
          <w:tcPr>
            <w:tcW w:w="920" w:type="dxa"/>
            <w:vAlign w:val="bottom"/>
            <w:shd w:val="clear" w:color="auto" w:fill="E5F1EE"/>
          </w:tcPr>
          <w:p>
            <w:pPr>
              <w:spacing w:after="0"/>
              <w:rPr>
                <w:sz w:val="16"/>
                <w:szCs w:val="16"/>
                <w:color w:val="auto"/>
              </w:rPr>
            </w:pPr>
          </w:p>
        </w:tc>
        <w:tc>
          <w:tcPr>
            <w:tcW w:w="220" w:type="dxa"/>
            <w:vAlign w:val="bottom"/>
            <w:shd w:val="clear" w:color="auto" w:fill="E5F1EE"/>
          </w:tcPr>
          <w:p>
            <w:pPr>
              <w:spacing w:after="0"/>
              <w:rPr>
                <w:sz w:val="16"/>
                <w:szCs w:val="16"/>
                <w:color w:val="auto"/>
              </w:rPr>
            </w:pPr>
          </w:p>
        </w:tc>
        <w:tc>
          <w:tcPr>
            <w:tcW w:w="140" w:type="dxa"/>
            <w:vAlign w:val="bottom"/>
            <w:shd w:val="clear" w:color="auto" w:fill="E5F1EE"/>
          </w:tcPr>
          <w:p>
            <w:pPr>
              <w:spacing w:after="0"/>
              <w:rPr>
                <w:sz w:val="16"/>
                <w:szCs w:val="16"/>
                <w:color w:val="auto"/>
              </w:rPr>
            </w:pPr>
          </w:p>
        </w:tc>
        <w:tc>
          <w:tcPr>
            <w:tcW w:w="1020" w:type="dxa"/>
            <w:vAlign w:val="bottom"/>
            <w:shd w:val="clear" w:color="auto" w:fill="E5F1EE"/>
          </w:tcPr>
          <w:p>
            <w:pPr>
              <w:spacing w:after="0"/>
              <w:rPr>
                <w:sz w:val="16"/>
                <w:szCs w:val="16"/>
                <w:color w:val="auto"/>
              </w:rPr>
            </w:pPr>
          </w:p>
        </w:tc>
        <w:tc>
          <w:tcPr>
            <w:tcW w:w="220" w:type="dxa"/>
            <w:vAlign w:val="bottom"/>
            <w:shd w:val="clear" w:color="auto" w:fill="E5F1EE"/>
          </w:tcPr>
          <w:p>
            <w:pPr>
              <w:spacing w:after="0"/>
              <w:rPr>
                <w:sz w:val="16"/>
                <w:szCs w:val="16"/>
                <w:color w:val="auto"/>
              </w:rPr>
            </w:pPr>
          </w:p>
        </w:tc>
        <w:tc>
          <w:tcPr>
            <w:tcW w:w="200" w:type="dxa"/>
            <w:vAlign w:val="bottom"/>
            <w:shd w:val="clear" w:color="auto" w:fill="E5F1EE"/>
          </w:tcPr>
          <w:p>
            <w:pPr>
              <w:spacing w:after="0"/>
              <w:rPr>
                <w:sz w:val="16"/>
                <w:szCs w:val="16"/>
                <w:color w:val="auto"/>
              </w:rPr>
            </w:pPr>
          </w:p>
        </w:tc>
        <w:tc>
          <w:tcPr>
            <w:tcW w:w="980" w:type="dxa"/>
            <w:vAlign w:val="bottom"/>
            <w:shd w:val="clear" w:color="auto" w:fill="E5F1EE"/>
          </w:tcPr>
          <w:p>
            <w:pPr>
              <w:spacing w:after="0"/>
              <w:rPr>
                <w:sz w:val="16"/>
                <w:szCs w:val="16"/>
                <w:color w:val="auto"/>
              </w:rPr>
            </w:pPr>
          </w:p>
        </w:tc>
        <w:tc>
          <w:tcPr>
            <w:tcW w:w="220" w:type="dxa"/>
            <w:vAlign w:val="bottom"/>
            <w:shd w:val="clear" w:color="auto" w:fill="E5F1EE"/>
          </w:tcPr>
          <w:p>
            <w:pPr>
              <w:spacing w:after="0"/>
              <w:rPr>
                <w:sz w:val="16"/>
                <w:szCs w:val="16"/>
                <w:color w:val="auto"/>
              </w:rPr>
            </w:pPr>
          </w:p>
        </w:tc>
        <w:tc>
          <w:tcPr>
            <w:tcW w:w="180" w:type="dxa"/>
            <w:vAlign w:val="bottom"/>
            <w:shd w:val="clear" w:color="auto" w:fill="E5F1EE"/>
          </w:tcPr>
          <w:p>
            <w:pPr>
              <w:spacing w:after="0"/>
              <w:rPr>
                <w:sz w:val="16"/>
                <w:szCs w:val="16"/>
                <w:color w:val="auto"/>
              </w:rPr>
            </w:pPr>
          </w:p>
        </w:tc>
        <w:tc>
          <w:tcPr>
            <w:tcW w:w="1000" w:type="dxa"/>
            <w:vAlign w:val="bottom"/>
            <w:shd w:val="clear" w:color="auto" w:fill="E5F1EE"/>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9"/>
                <w:szCs w:val="9"/>
                <w:color w:val="auto"/>
                <w:w w:val="99"/>
              </w:rPr>
              <w:t>September 30,</w:t>
            </w:r>
          </w:p>
        </w:tc>
        <w:tc>
          <w:tcPr>
            <w:tcW w:w="240" w:type="dxa"/>
            <w:vAlign w:val="bottom"/>
          </w:tcPr>
          <w:p>
            <w:pPr>
              <w:spacing w:after="0"/>
              <w:rPr>
                <w:sz w:val="10"/>
                <w:szCs w:val="10"/>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9"/>
                <w:szCs w:val="9"/>
                <w:color w:val="auto"/>
                <w:w w:val="99"/>
              </w:rPr>
              <w:t>June 30,</w:t>
            </w:r>
          </w:p>
        </w:tc>
        <w:tc>
          <w:tcPr>
            <w:tcW w:w="14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9"/>
                <w:szCs w:val="9"/>
                <w:color w:val="auto"/>
                <w:w w:val="97"/>
              </w:rPr>
              <w:t>March 31,</w:t>
            </w:r>
          </w:p>
        </w:tc>
        <w:tc>
          <w:tcPr>
            <w:tcW w:w="200" w:type="dxa"/>
            <w:vAlign w:val="bottom"/>
          </w:tcPr>
          <w:p>
            <w:pPr>
              <w:spacing w:after="0"/>
              <w:rPr>
                <w:sz w:val="10"/>
                <w:szCs w:val="1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9"/>
                <w:szCs w:val="9"/>
                <w:color w:val="auto"/>
                <w:w w:val="98"/>
              </w:rPr>
              <w:t>December 31,</w:t>
            </w:r>
          </w:p>
        </w:tc>
        <w:tc>
          <w:tcPr>
            <w:tcW w:w="180" w:type="dxa"/>
            <w:vAlign w:val="bottom"/>
          </w:tcPr>
          <w:p>
            <w:pPr>
              <w:spacing w:after="0"/>
              <w:rPr>
                <w:sz w:val="10"/>
                <w:szCs w:val="10"/>
                <w:color w:val="auto"/>
              </w:rPr>
            </w:pPr>
          </w:p>
        </w:tc>
        <w:tc>
          <w:tcPr>
            <w:tcW w:w="1000" w:type="dxa"/>
            <w:vAlign w:val="bottom"/>
          </w:tcPr>
          <w:p>
            <w:pPr>
              <w:jc w:val="center"/>
              <w:ind w:right="155"/>
              <w:spacing w:after="0"/>
              <w:rPr>
                <w:sz w:val="20"/>
                <w:szCs w:val="20"/>
                <w:color w:val="auto"/>
              </w:rPr>
            </w:pPr>
            <w:r>
              <w:rPr>
                <w:rFonts w:ascii="Times New Roman" w:cs="Times New Roman" w:eastAsia="Times New Roman" w:hAnsi="Times New Roman"/>
                <w:sz w:val="9"/>
                <w:szCs w:val="9"/>
                <w:color w:val="auto"/>
                <w:w w:val="99"/>
              </w:rPr>
              <w:t>September 30,</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00" w:type="dxa"/>
            <w:vAlign w:val="bottom"/>
            <w:tcBorders>
              <w:bottom w:val="single" w:sz="8" w:color="auto"/>
            </w:tcBorders>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7"/>
              </w:rPr>
              <w:t>Loan quality</w:t>
            </w:r>
          </w:p>
        </w:tc>
        <w:tc>
          <w:tcPr>
            <w:tcW w:w="4020" w:type="dxa"/>
            <w:vAlign w:val="bottom"/>
            <w:tcBorders>
              <w:bottom w:val="single" w:sz="8" w:color="E5F1EE"/>
            </w:tcBorders>
            <w:gridSpan w:val="3"/>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980" w:type="dxa"/>
            <w:vAlign w:val="bottom"/>
            <w:tcBorders>
              <w:bottom w:val="single" w:sz="8" w:color="E5F1EE"/>
            </w:tcBorders>
            <w:shd w:val="clear" w:color="auto" w:fill="E5F1EE"/>
          </w:tcPr>
          <w:p>
            <w:pPr>
              <w:jc w:val="center"/>
              <w:ind w:right="155"/>
              <w:spacing w:after="0"/>
              <w:rPr>
                <w:sz w:val="20"/>
                <w:szCs w:val="20"/>
                <w:color w:val="auto"/>
              </w:rPr>
            </w:pPr>
            <w:r>
              <w:rPr>
                <w:rFonts w:ascii="Times New Roman" w:cs="Times New Roman" w:eastAsia="Times New Roman" w:hAnsi="Times New Roman"/>
                <w:sz w:val="9"/>
                <w:szCs w:val="9"/>
                <w:color w:val="auto"/>
                <w:w w:val="99"/>
              </w:rPr>
              <w:t>2024</w:t>
            </w:r>
          </w:p>
        </w:tc>
        <w:tc>
          <w:tcPr>
            <w:tcW w:w="200" w:type="dxa"/>
            <w:vAlign w:val="bottom"/>
            <w:tcBorders>
              <w:bottom w:val="single" w:sz="8" w:color="E5F1EE"/>
            </w:tcBorders>
            <w:shd w:val="clear" w:color="auto" w:fill="E5F1EE"/>
          </w:tcPr>
          <w:p>
            <w:pPr>
              <w:spacing w:after="0"/>
              <w:rPr>
                <w:sz w:val="12"/>
                <w:szCs w:val="12"/>
                <w:color w:val="auto"/>
              </w:rPr>
            </w:pPr>
          </w:p>
        </w:tc>
        <w:tc>
          <w:tcPr>
            <w:tcW w:w="240" w:type="dxa"/>
            <w:vAlign w:val="bottom"/>
            <w:tcBorders>
              <w:bottom w:val="single" w:sz="8" w:color="E5F1EE"/>
            </w:tcBorders>
            <w:shd w:val="clear" w:color="auto" w:fill="E5F1EE"/>
          </w:tcPr>
          <w:p>
            <w:pPr>
              <w:spacing w:after="0"/>
              <w:rPr>
                <w:sz w:val="12"/>
                <w:szCs w:val="12"/>
                <w:color w:val="auto"/>
              </w:rPr>
            </w:pPr>
          </w:p>
        </w:tc>
        <w:tc>
          <w:tcPr>
            <w:tcW w:w="920" w:type="dxa"/>
            <w:vAlign w:val="bottom"/>
            <w:tcBorders>
              <w:bottom w:val="single" w:sz="8" w:color="E5F1EE"/>
            </w:tcBorders>
            <w:shd w:val="clear" w:color="auto" w:fill="E5F1EE"/>
          </w:tcPr>
          <w:p>
            <w:pPr>
              <w:jc w:val="center"/>
              <w:ind w:right="175"/>
              <w:spacing w:after="0"/>
              <w:rPr>
                <w:sz w:val="20"/>
                <w:szCs w:val="20"/>
                <w:color w:val="auto"/>
              </w:rPr>
            </w:pPr>
            <w:r>
              <w:rPr>
                <w:rFonts w:ascii="Times New Roman" w:cs="Times New Roman" w:eastAsia="Times New Roman" w:hAnsi="Times New Roman"/>
                <w:sz w:val="9"/>
                <w:szCs w:val="9"/>
                <w:color w:val="auto"/>
                <w:w w:val="99"/>
              </w:rPr>
              <w:t>2024</w:t>
            </w:r>
          </w:p>
        </w:tc>
        <w:tc>
          <w:tcPr>
            <w:tcW w:w="220" w:type="dxa"/>
            <w:vAlign w:val="bottom"/>
            <w:tcBorders>
              <w:bottom w:val="single" w:sz="8" w:color="E5F1EE"/>
            </w:tcBorders>
            <w:shd w:val="clear" w:color="auto" w:fill="E5F1EE"/>
          </w:tcPr>
          <w:p>
            <w:pPr>
              <w:spacing w:after="0"/>
              <w:rPr>
                <w:sz w:val="12"/>
                <w:szCs w:val="12"/>
                <w:color w:val="auto"/>
              </w:rPr>
            </w:pPr>
          </w:p>
        </w:tc>
        <w:tc>
          <w:tcPr>
            <w:tcW w:w="140" w:type="dxa"/>
            <w:vAlign w:val="bottom"/>
            <w:tcBorders>
              <w:bottom w:val="single" w:sz="8" w:color="E5F1EE"/>
            </w:tcBorders>
            <w:shd w:val="clear" w:color="auto" w:fill="E5F1EE"/>
          </w:tcPr>
          <w:p>
            <w:pPr>
              <w:spacing w:after="0"/>
              <w:rPr>
                <w:sz w:val="12"/>
                <w:szCs w:val="12"/>
                <w:color w:val="auto"/>
              </w:rPr>
            </w:pPr>
          </w:p>
        </w:tc>
        <w:tc>
          <w:tcPr>
            <w:tcW w:w="1020" w:type="dxa"/>
            <w:vAlign w:val="bottom"/>
            <w:tcBorders>
              <w:bottom w:val="single" w:sz="8" w:color="E5F1EE"/>
            </w:tcBorders>
            <w:shd w:val="clear" w:color="auto" w:fill="E5F1EE"/>
          </w:tcPr>
          <w:p>
            <w:pPr>
              <w:jc w:val="center"/>
              <w:ind w:right="75"/>
              <w:spacing w:after="0"/>
              <w:rPr>
                <w:sz w:val="20"/>
                <w:szCs w:val="20"/>
                <w:color w:val="auto"/>
              </w:rPr>
            </w:pPr>
            <w:r>
              <w:rPr>
                <w:rFonts w:ascii="Times New Roman" w:cs="Times New Roman" w:eastAsia="Times New Roman" w:hAnsi="Times New Roman"/>
                <w:sz w:val="9"/>
                <w:szCs w:val="9"/>
                <w:color w:val="auto"/>
                <w:w w:val="99"/>
              </w:rPr>
              <w:t>2024</w:t>
            </w:r>
          </w:p>
        </w:tc>
        <w:tc>
          <w:tcPr>
            <w:tcW w:w="2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E5F1EE"/>
            </w:tcBorders>
            <w:shd w:val="clear" w:color="auto" w:fill="E5F1EE"/>
          </w:tcPr>
          <w:p>
            <w:pPr>
              <w:spacing w:after="0"/>
              <w:rPr>
                <w:sz w:val="12"/>
                <w:szCs w:val="12"/>
                <w:color w:val="auto"/>
              </w:rPr>
            </w:pPr>
          </w:p>
        </w:tc>
        <w:tc>
          <w:tcPr>
            <w:tcW w:w="980" w:type="dxa"/>
            <w:vAlign w:val="bottom"/>
            <w:tcBorders>
              <w:bottom w:val="single" w:sz="8" w:color="E5F1EE"/>
            </w:tcBorders>
            <w:shd w:val="clear" w:color="auto" w:fill="E5F1EE"/>
          </w:tcPr>
          <w:p>
            <w:pPr>
              <w:jc w:val="center"/>
              <w:ind w:right="155"/>
              <w:spacing w:after="0"/>
              <w:rPr>
                <w:sz w:val="20"/>
                <w:szCs w:val="20"/>
                <w:color w:val="auto"/>
              </w:rPr>
            </w:pPr>
            <w:r>
              <w:rPr>
                <w:rFonts w:ascii="Times New Roman" w:cs="Times New Roman" w:eastAsia="Times New Roman" w:hAnsi="Times New Roman"/>
                <w:sz w:val="9"/>
                <w:szCs w:val="9"/>
                <w:color w:val="auto"/>
                <w:w w:val="99"/>
              </w:rPr>
              <w:t>2023</w:t>
            </w:r>
          </w:p>
        </w:tc>
        <w:tc>
          <w:tcPr>
            <w:tcW w:w="220" w:type="dxa"/>
            <w:vAlign w:val="bottom"/>
            <w:tcBorders>
              <w:bottom w:val="single" w:sz="8" w:color="E5F1EE"/>
            </w:tcBorders>
            <w:shd w:val="clear" w:color="auto" w:fill="E5F1EE"/>
          </w:tcPr>
          <w:p>
            <w:pPr>
              <w:spacing w:after="0"/>
              <w:rPr>
                <w:sz w:val="12"/>
                <w:szCs w:val="12"/>
                <w:color w:val="auto"/>
              </w:rPr>
            </w:pPr>
          </w:p>
        </w:tc>
        <w:tc>
          <w:tcPr>
            <w:tcW w:w="180" w:type="dxa"/>
            <w:vAlign w:val="bottom"/>
            <w:tcBorders>
              <w:bottom w:val="single" w:sz="8" w:color="E5F1EE"/>
            </w:tcBorders>
            <w:shd w:val="clear" w:color="auto" w:fill="E5F1EE"/>
          </w:tcPr>
          <w:p>
            <w:pPr>
              <w:spacing w:after="0"/>
              <w:rPr>
                <w:sz w:val="12"/>
                <w:szCs w:val="12"/>
                <w:color w:val="auto"/>
              </w:rPr>
            </w:pPr>
          </w:p>
        </w:tc>
        <w:tc>
          <w:tcPr>
            <w:tcW w:w="1000" w:type="dxa"/>
            <w:vAlign w:val="bottom"/>
            <w:tcBorders>
              <w:bottom w:val="single" w:sz="8" w:color="E5F1EE"/>
            </w:tcBorders>
            <w:shd w:val="clear" w:color="auto" w:fill="E5F1EE"/>
          </w:tcPr>
          <w:p>
            <w:pPr>
              <w:jc w:val="center"/>
              <w:ind w:right="135"/>
              <w:spacing w:after="0"/>
              <w:rPr>
                <w:sz w:val="20"/>
                <w:szCs w:val="20"/>
                <w:color w:val="auto"/>
              </w:rPr>
            </w:pPr>
            <w:r>
              <w:rPr>
                <w:rFonts w:ascii="Times New Roman" w:cs="Times New Roman" w:eastAsia="Times New Roman" w:hAnsi="Times New Roman"/>
                <w:sz w:val="9"/>
                <w:szCs w:val="9"/>
                <w:color w:val="auto"/>
                <w:w w:val="99"/>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4520" w:type="dxa"/>
            <w:vAlign w:val="bottom"/>
            <w:gridSpan w:val="4"/>
          </w:tcPr>
          <w:p>
            <w:pPr>
              <w:spacing w:after="0" w:line="97" w:lineRule="exact"/>
              <w:rPr>
                <w:sz w:val="20"/>
                <w:szCs w:val="20"/>
                <w:color w:val="auto"/>
              </w:rPr>
            </w:pPr>
            <w:r>
              <w:rPr>
                <w:rFonts w:ascii="Times New Roman" w:cs="Times New Roman" w:eastAsia="Times New Roman" w:hAnsi="Times New Roman"/>
                <w:sz w:val="9"/>
                <w:szCs w:val="9"/>
                <w:color w:val="auto"/>
              </w:rPr>
              <w:t>Nonaccrual loans</w:t>
            </w:r>
          </w:p>
        </w:tc>
        <w:tc>
          <w:tcPr>
            <w:tcW w:w="200" w:type="dxa"/>
            <w:vAlign w:val="bottom"/>
            <w:tcBorders>
              <w:top w:val="single" w:sz="8" w:color="auto"/>
            </w:tcBorders>
          </w:tcPr>
          <w:p>
            <w:pPr>
              <w:jc w:val="right"/>
              <w:ind w:right="9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980" w:type="dxa"/>
            <w:vAlign w:val="bottom"/>
            <w:tcBorders>
              <w:top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9"/>
                <w:szCs w:val="9"/>
                <w:color w:val="auto"/>
              </w:rPr>
              <w:t>1,926</w:t>
            </w:r>
          </w:p>
        </w:tc>
        <w:tc>
          <w:tcPr>
            <w:tcW w:w="200" w:type="dxa"/>
            <w:vAlign w:val="bottom"/>
          </w:tcPr>
          <w:p>
            <w:pPr>
              <w:spacing w:after="0"/>
              <w:rPr>
                <w:sz w:val="8"/>
                <w:szCs w:val="8"/>
                <w:color w:val="auto"/>
              </w:rPr>
            </w:pPr>
          </w:p>
        </w:tc>
        <w:tc>
          <w:tcPr>
            <w:tcW w:w="240" w:type="dxa"/>
            <w:vAlign w:val="bottom"/>
            <w:tcBorders>
              <w:top w:val="single" w:sz="8" w:color="auto"/>
            </w:tcBorders>
          </w:tcPr>
          <w:p>
            <w:pPr>
              <w:jc w:val="right"/>
              <w:ind w:right="13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top w:val="single" w:sz="8" w:color="auto"/>
            </w:tcBorders>
          </w:tcPr>
          <w:p>
            <w:pPr>
              <w:jc w:val="right"/>
              <w:ind w:right="55"/>
              <w:spacing w:after="0" w:line="98" w:lineRule="exact"/>
              <w:rPr>
                <w:sz w:val="20"/>
                <w:szCs w:val="20"/>
                <w:color w:val="auto"/>
              </w:rPr>
            </w:pPr>
            <w:r>
              <w:rPr>
                <w:rFonts w:ascii="Times New Roman" w:cs="Times New Roman" w:eastAsia="Times New Roman" w:hAnsi="Times New Roman"/>
                <w:sz w:val="9"/>
                <w:szCs w:val="9"/>
                <w:color w:val="auto"/>
              </w:rPr>
              <w:t>2,024</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ind w:right="3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top w:val="single" w:sz="8" w:color="auto"/>
            </w:tcBorders>
          </w:tcPr>
          <w:p>
            <w:pPr>
              <w:jc w:val="right"/>
              <w:ind w:right="55"/>
              <w:spacing w:after="0" w:line="98" w:lineRule="exact"/>
              <w:rPr>
                <w:sz w:val="20"/>
                <w:szCs w:val="20"/>
                <w:color w:val="auto"/>
              </w:rPr>
            </w:pPr>
            <w:r>
              <w:rPr>
                <w:rFonts w:ascii="Times New Roman" w:cs="Times New Roman" w:eastAsia="Times New Roman" w:hAnsi="Times New Roman"/>
                <w:sz w:val="9"/>
                <w:szCs w:val="9"/>
                <w:color w:val="auto"/>
              </w:rPr>
              <w:t>2,302</w:t>
            </w:r>
          </w:p>
        </w:tc>
        <w:tc>
          <w:tcPr>
            <w:tcW w:w="220" w:type="dxa"/>
            <w:vAlign w:val="bottom"/>
          </w:tcPr>
          <w:p>
            <w:pPr>
              <w:spacing w:after="0"/>
              <w:rPr>
                <w:sz w:val="8"/>
                <w:szCs w:val="8"/>
                <w:color w:val="auto"/>
              </w:rPr>
            </w:pPr>
          </w:p>
        </w:tc>
        <w:tc>
          <w:tcPr>
            <w:tcW w:w="200" w:type="dxa"/>
            <w:vAlign w:val="bottom"/>
            <w:tcBorders>
              <w:top w:val="single" w:sz="8" w:color="auto"/>
            </w:tcBorders>
          </w:tcPr>
          <w:p>
            <w:pPr>
              <w:jc w:val="right"/>
              <w:ind w:right="9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980" w:type="dxa"/>
            <w:vAlign w:val="bottom"/>
            <w:tcBorders>
              <w:top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9"/>
                <w:szCs w:val="9"/>
                <w:color w:val="auto"/>
              </w:rPr>
              <w:t>2,166</w:t>
            </w:r>
          </w:p>
        </w:tc>
        <w:tc>
          <w:tcPr>
            <w:tcW w:w="220" w:type="dxa"/>
            <w:vAlign w:val="bottom"/>
          </w:tcPr>
          <w:p>
            <w:pPr>
              <w:spacing w:after="0"/>
              <w:rPr>
                <w:sz w:val="8"/>
                <w:szCs w:val="8"/>
                <w:color w:val="auto"/>
              </w:rPr>
            </w:pPr>
          </w:p>
        </w:tc>
        <w:tc>
          <w:tcPr>
            <w:tcW w:w="180" w:type="dxa"/>
            <w:vAlign w:val="bottom"/>
            <w:tcBorders>
              <w:top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9"/>
                <w:szCs w:val="9"/>
                <w:color w:val="auto"/>
                <w:w w:val="87"/>
              </w:rPr>
              <w:t>$</w:t>
            </w:r>
          </w:p>
        </w:tc>
        <w:tc>
          <w:tcPr>
            <w:tcW w:w="1000" w:type="dxa"/>
            <w:vAlign w:val="bottom"/>
            <w:tcBorders>
              <w:top w:val="single" w:sz="8" w:color="auto"/>
            </w:tcBorders>
          </w:tcPr>
          <w:p>
            <w:pPr>
              <w:jc w:val="right"/>
              <w:ind w:right="75"/>
              <w:spacing w:after="0" w:line="98" w:lineRule="exact"/>
              <w:rPr>
                <w:sz w:val="20"/>
                <w:szCs w:val="20"/>
                <w:color w:val="auto"/>
              </w:rPr>
            </w:pPr>
            <w:r>
              <w:rPr>
                <w:rFonts w:ascii="Times New Roman" w:cs="Times New Roman" w:eastAsia="Times New Roman" w:hAnsi="Times New Roman"/>
                <w:sz w:val="9"/>
                <w:szCs w:val="9"/>
                <w:color w:val="auto"/>
              </w:rPr>
              <w:t>2,342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Real estate and other foreclosed assets</w:t>
            </w:r>
          </w:p>
        </w:tc>
        <w:tc>
          <w:tcPr>
            <w:tcW w:w="200" w:type="dxa"/>
            <w:vAlign w:val="bottom"/>
            <w:tcBorders>
              <w:bottom w:val="single" w:sz="8" w:color="auto"/>
            </w:tcBorders>
            <w:shd w:val="clear" w:color="auto" w:fill="E5F1EE"/>
          </w:tcPr>
          <w:p>
            <w:pPr>
              <w:spacing w:after="0"/>
              <w:rPr>
                <w:sz w:val="11"/>
                <w:szCs w:val="11"/>
                <w:color w:val="auto"/>
              </w:rPr>
            </w:pPr>
          </w:p>
        </w:tc>
        <w:tc>
          <w:tcPr>
            <w:tcW w:w="9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37</w:t>
            </w:r>
          </w:p>
        </w:tc>
        <w:tc>
          <w:tcPr>
            <w:tcW w:w="200" w:type="dxa"/>
            <w:vAlign w:val="bottom"/>
            <w:shd w:val="clear" w:color="auto" w:fill="E5F1EE"/>
          </w:tcPr>
          <w:p>
            <w:pPr>
              <w:spacing w:after="0"/>
              <w:rPr>
                <w:sz w:val="11"/>
                <w:szCs w:val="11"/>
                <w:color w:val="auto"/>
              </w:rPr>
            </w:pPr>
          </w:p>
        </w:tc>
        <w:tc>
          <w:tcPr>
            <w:tcW w:w="240" w:type="dxa"/>
            <w:vAlign w:val="bottom"/>
            <w:tcBorders>
              <w:bottom w:val="single" w:sz="8" w:color="auto"/>
            </w:tcBorders>
            <w:shd w:val="clear" w:color="auto" w:fill="E5F1EE"/>
          </w:tcPr>
          <w:p>
            <w:pPr>
              <w:spacing w:after="0"/>
              <w:rPr>
                <w:sz w:val="11"/>
                <w:szCs w:val="11"/>
                <w:color w:val="auto"/>
              </w:rPr>
            </w:pPr>
          </w:p>
        </w:tc>
        <w:tc>
          <w:tcPr>
            <w:tcW w:w="920" w:type="dxa"/>
            <w:vAlign w:val="bottom"/>
            <w:tcBorders>
              <w:bottom w:val="single" w:sz="8" w:color="auto"/>
            </w:tcBorders>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33</w:t>
            </w:r>
          </w:p>
        </w:tc>
        <w:tc>
          <w:tcPr>
            <w:tcW w:w="220" w:type="dxa"/>
            <w:vAlign w:val="bottom"/>
            <w:shd w:val="clear" w:color="auto" w:fill="E5F1EE"/>
          </w:tcPr>
          <w:p>
            <w:pPr>
              <w:spacing w:after="0"/>
              <w:rPr>
                <w:sz w:val="11"/>
                <w:szCs w:val="11"/>
                <w:color w:val="auto"/>
              </w:rPr>
            </w:pPr>
          </w:p>
        </w:tc>
        <w:tc>
          <w:tcPr>
            <w:tcW w:w="140" w:type="dxa"/>
            <w:vAlign w:val="bottom"/>
            <w:tcBorders>
              <w:bottom w:val="single" w:sz="8" w:color="auto"/>
            </w:tcBorders>
            <w:shd w:val="clear" w:color="auto" w:fill="E5F1EE"/>
          </w:tcPr>
          <w:p>
            <w:pPr>
              <w:spacing w:after="0"/>
              <w:rPr>
                <w:sz w:val="11"/>
                <w:szCs w:val="11"/>
                <w:color w:val="auto"/>
              </w:rPr>
            </w:pPr>
          </w:p>
        </w:tc>
        <w:tc>
          <w:tcPr>
            <w:tcW w:w="1020" w:type="dxa"/>
            <w:vAlign w:val="bottom"/>
            <w:tcBorders>
              <w:bottom w:val="single" w:sz="8" w:color="auto"/>
            </w:tcBorders>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38</w:t>
            </w:r>
          </w:p>
        </w:tc>
        <w:tc>
          <w:tcPr>
            <w:tcW w:w="220" w:type="dxa"/>
            <w:vAlign w:val="bottom"/>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spacing w:after="0"/>
              <w:rPr>
                <w:sz w:val="11"/>
                <w:szCs w:val="11"/>
                <w:color w:val="auto"/>
              </w:rPr>
            </w:pPr>
          </w:p>
        </w:tc>
        <w:tc>
          <w:tcPr>
            <w:tcW w:w="98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39</w:t>
            </w:r>
          </w:p>
        </w:tc>
        <w:tc>
          <w:tcPr>
            <w:tcW w:w="220" w:type="dxa"/>
            <w:vAlign w:val="bottom"/>
            <w:shd w:val="clear" w:color="auto" w:fill="E5F1EE"/>
          </w:tcPr>
          <w:p>
            <w:pPr>
              <w:spacing w:after="0"/>
              <w:rPr>
                <w:sz w:val="11"/>
                <w:szCs w:val="11"/>
                <w:color w:val="auto"/>
              </w:rPr>
            </w:pPr>
          </w:p>
        </w:tc>
        <w:tc>
          <w:tcPr>
            <w:tcW w:w="180" w:type="dxa"/>
            <w:vAlign w:val="bottom"/>
            <w:tcBorders>
              <w:bottom w:val="single" w:sz="8" w:color="auto"/>
            </w:tcBorders>
            <w:shd w:val="clear" w:color="auto" w:fill="E5F1EE"/>
          </w:tcPr>
          <w:p>
            <w:pPr>
              <w:spacing w:after="0"/>
              <w:rPr>
                <w:sz w:val="11"/>
                <w:szCs w:val="11"/>
                <w:color w:val="auto"/>
              </w:rPr>
            </w:pPr>
          </w:p>
        </w:tc>
        <w:tc>
          <w:tcPr>
            <w:tcW w:w="1000" w:type="dxa"/>
            <w:vAlign w:val="bottom"/>
            <w:tcBorders>
              <w:bottom w:val="single" w:sz="8" w:color="auto"/>
            </w:tcBorders>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520" w:type="dxa"/>
            <w:vAlign w:val="bottom"/>
            <w:tcBorders>
              <w:bottom w:val="single" w:sz="8" w:color="E5F1EE"/>
            </w:tcBorders>
            <w:gridSpan w:val="4"/>
          </w:tcPr>
          <w:p>
            <w:pPr>
              <w:spacing w:after="0" w:line="97" w:lineRule="exact"/>
              <w:rPr>
                <w:sz w:val="20"/>
                <w:szCs w:val="20"/>
                <w:color w:val="auto"/>
              </w:rPr>
            </w:pPr>
            <w:r>
              <w:rPr>
                <w:rFonts w:ascii="Times New Roman" w:cs="Times New Roman" w:eastAsia="Times New Roman" w:hAnsi="Times New Roman"/>
                <w:sz w:val="9"/>
                <w:szCs w:val="9"/>
                <w:color w:val="auto"/>
              </w:rPr>
              <w:t>Total nonperforming assets</w:t>
            </w:r>
          </w:p>
        </w:tc>
        <w:tc>
          <w:tcPr>
            <w:tcW w:w="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1,963</w:t>
            </w:r>
          </w:p>
        </w:tc>
        <w:tc>
          <w:tcPr>
            <w:tcW w:w="200" w:type="dxa"/>
            <w:vAlign w:val="bottom"/>
            <w:tcBorders>
              <w:bottom w:val="single" w:sz="8" w:color="E5F1EE"/>
            </w:tcBorders>
          </w:tcPr>
          <w:p>
            <w:pPr>
              <w:spacing w:after="0"/>
              <w:rPr>
                <w:sz w:val="11"/>
                <w:szCs w:val="11"/>
                <w:color w:val="auto"/>
              </w:rPr>
            </w:pPr>
          </w:p>
        </w:tc>
        <w:tc>
          <w:tcPr>
            <w:tcW w:w="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2,057</w:t>
            </w:r>
          </w:p>
        </w:tc>
        <w:tc>
          <w:tcPr>
            <w:tcW w:w="220" w:type="dxa"/>
            <w:vAlign w:val="bottom"/>
            <w:tcBorders>
              <w:bottom w:val="single" w:sz="8" w:color="E5F1EE"/>
            </w:tcBorders>
          </w:tcPr>
          <w:p>
            <w:pPr>
              <w:spacing w:after="0"/>
              <w:rPr>
                <w:sz w:val="11"/>
                <w:szCs w:val="11"/>
                <w:color w:val="auto"/>
              </w:rPr>
            </w:pPr>
          </w:p>
        </w:tc>
        <w:tc>
          <w:tcPr>
            <w:tcW w:w="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2,340</w:t>
            </w:r>
          </w:p>
        </w:tc>
        <w:tc>
          <w:tcPr>
            <w:tcW w:w="220" w:type="dxa"/>
            <w:vAlign w:val="bottom"/>
            <w:tcBorders>
              <w:bottom w:val="single" w:sz="8" w:color="E5F1EE"/>
            </w:tcBorders>
          </w:tcPr>
          <w:p>
            <w:pPr>
              <w:spacing w:after="0"/>
              <w:rPr>
                <w:sz w:val="11"/>
                <w:szCs w:val="11"/>
                <w:color w:val="auto"/>
              </w:rPr>
            </w:pPr>
          </w:p>
        </w:tc>
        <w:tc>
          <w:tcPr>
            <w:tcW w:w="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2,205</w:t>
            </w:r>
          </w:p>
        </w:tc>
        <w:tc>
          <w:tcPr>
            <w:tcW w:w="220" w:type="dxa"/>
            <w:vAlign w:val="bottom"/>
            <w:tcBorders>
              <w:bottom w:val="single" w:sz="8" w:color="E5F1EE"/>
            </w:tcBorders>
          </w:tcPr>
          <w:p>
            <w:pPr>
              <w:spacing w:after="0"/>
              <w:rPr>
                <w:sz w:val="11"/>
                <w:szCs w:val="11"/>
                <w:color w:val="auto"/>
              </w:rPr>
            </w:pPr>
          </w:p>
        </w:tc>
        <w:tc>
          <w:tcPr>
            <w:tcW w:w="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color w:val="auto"/>
              </w:rPr>
              <w:t>2,379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520" w:type="dxa"/>
            <w:vAlign w:val="bottom"/>
            <w:gridSpan w:val="4"/>
            <w:shd w:val="clear" w:color="auto" w:fill="E5F1EE"/>
          </w:tcPr>
          <w:p>
            <w:pPr>
              <w:spacing w:after="0" w:line="97" w:lineRule="exact"/>
              <w:rPr>
                <w:sz w:val="20"/>
                <w:szCs w:val="20"/>
                <w:color w:val="auto"/>
              </w:rPr>
            </w:pPr>
            <w:r>
              <w:rPr>
                <w:rFonts w:ascii="Times New Roman" w:cs="Times New Roman" w:eastAsia="Times New Roman" w:hAnsi="Times New Roman"/>
                <w:sz w:val="9"/>
                <w:szCs w:val="9"/>
                <w:color w:val="auto"/>
              </w:rPr>
              <w:t>Accruing loans past due 90 days or more (4)</w:t>
            </w: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288</w:t>
            </w:r>
          </w:p>
        </w:tc>
        <w:tc>
          <w:tcPr>
            <w:tcW w:w="20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233</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297</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339</w:t>
            </w: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354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Government guaranteed loans included in totals above:</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ind w:left="140"/>
              <w:spacing w:after="0"/>
              <w:rPr>
                <w:sz w:val="20"/>
                <w:szCs w:val="20"/>
                <w:color w:val="auto"/>
              </w:rPr>
            </w:pPr>
            <w:r>
              <w:rPr>
                <w:rFonts w:ascii="Times New Roman" w:cs="Times New Roman" w:eastAsia="Times New Roman" w:hAnsi="Times New Roman"/>
                <w:sz w:val="9"/>
                <w:szCs w:val="9"/>
                <w:color w:val="auto"/>
              </w:rPr>
              <w:t>Nonaccrual loans</w:t>
            </w: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69</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64</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62</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53</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ind w:left="140"/>
              <w:spacing w:after="0"/>
              <w:rPr>
                <w:sz w:val="20"/>
                <w:szCs w:val="20"/>
                <w:color w:val="auto"/>
              </w:rPr>
            </w:pPr>
            <w:r>
              <w:rPr>
                <w:rFonts w:ascii="Times New Roman" w:cs="Times New Roman" w:eastAsia="Times New Roman" w:hAnsi="Times New Roman"/>
                <w:sz w:val="9"/>
                <w:szCs w:val="9"/>
                <w:color w:val="auto"/>
              </w:rPr>
              <w:t>Accruing loans past due 90 days or more</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215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244</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298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Nonaccrual loans to total loans</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1.42 %</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1.50 %</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1.71 %</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1.62 %</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9"/>
                <w:szCs w:val="9"/>
                <w:color w:val="auto"/>
              </w:rPr>
              <w:t>1.77 %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Allowance for credit losses to total loans</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1.62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1.55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900" w:type="dxa"/>
            <w:vAlign w:val="bottom"/>
            <w:tcBorders>
              <w:bottom w:val="single" w:sz="8" w:color="auto"/>
            </w:tcBorders>
            <w:gridSpan w:val="2"/>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w w:val="98"/>
              </w:rPr>
              <w:t>Additional information</w:t>
            </w:r>
          </w:p>
        </w:tc>
        <w:tc>
          <w:tcPr>
            <w:tcW w:w="3620" w:type="dxa"/>
            <w:vAlign w:val="bottom"/>
            <w:tcBorders>
              <w:bottom w:val="single" w:sz="8" w:color="E5F1EE"/>
            </w:tcBorders>
            <w:gridSpan w:val="2"/>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98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240" w:type="dxa"/>
            <w:vAlign w:val="bottom"/>
            <w:tcBorders>
              <w:bottom w:val="single" w:sz="8" w:color="E5F1EE"/>
            </w:tcBorders>
            <w:shd w:val="clear" w:color="auto" w:fill="E5F1EE"/>
          </w:tcPr>
          <w:p>
            <w:pPr>
              <w:spacing w:after="0"/>
              <w:rPr>
                <w:sz w:val="9"/>
                <w:szCs w:val="9"/>
                <w:color w:val="auto"/>
              </w:rPr>
            </w:pPr>
          </w:p>
        </w:tc>
        <w:tc>
          <w:tcPr>
            <w:tcW w:w="92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140" w:type="dxa"/>
            <w:vAlign w:val="bottom"/>
            <w:tcBorders>
              <w:bottom w:val="single" w:sz="8" w:color="E5F1EE"/>
            </w:tcBorders>
            <w:shd w:val="clear" w:color="auto" w:fill="E5F1EE"/>
          </w:tcPr>
          <w:p>
            <w:pPr>
              <w:spacing w:after="0"/>
              <w:rPr>
                <w:sz w:val="9"/>
                <w:szCs w:val="9"/>
                <w:color w:val="auto"/>
              </w:rPr>
            </w:pPr>
          </w:p>
        </w:tc>
        <w:tc>
          <w:tcPr>
            <w:tcW w:w="102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E5F1EE"/>
            </w:tcBorders>
            <w:shd w:val="clear" w:color="auto" w:fill="E5F1EE"/>
          </w:tcPr>
          <w:p>
            <w:pPr>
              <w:spacing w:after="0"/>
              <w:rPr>
                <w:sz w:val="9"/>
                <w:szCs w:val="9"/>
                <w:color w:val="auto"/>
              </w:rPr>
            </w:pPr>
          </w:p>
        </w:tc>
        <w:tc>
          <w:tcPr>
            <w:tcW w:w="980" w:type="dxa"/>
            <w:vAlign w:val="bottom"/>
            <w:tcBorders>
              <w:bottom w:val="single" w:sz="8" w:color="E5F1EE"/>
            </w:tcBorders>
            <w:shd w:val="clear" w:color="auto" w:fill="E5F1EE"/>
          </w:tcPr>
          <w:p>
            <w:pPr>
              <w:spacing w:after="0"/>
              <w:rPr>
                <w:sz w:val="9"/>
                <w:szCs w:val="9"/>
                <w:color w:val="auto"/>
              </w:rPr>
            </w:pPr>
          </w:p>
        </w:tc>
        <w:tc>
          <w:tcPr>
            <w:tcW w:w="220" w:type="dxa"/>
            <w:vAlign w:val="bottom"/>
            <w:tcBorders>
              <w:bottom w:val="single" w:sz="8" w:color="E5F1EE"/>
            </w:tcBorders>
            <w:shd w:val="clear" w:color="auto" w:fill="E5F1EE"/>
          </w:tcPr>
          <w:p>
            <w:pPr>
              <w:spacing w:after="0"/>
              <w:rPr>
                <w:sz w:val="9"/>
                <w:szCs w:val="9"/>
                <w:color w:val="auto"/>
              </w:rPr>
            </w:pPr>
          </w:p>
        </w:tc>
        <w:tc>
          <w:tcPr>
            <w:tcW w:w="180" w:type="dxa"/>
            <w:vAlign w:val="bottom"/>
            <w:tcBorders>
              <w:bottom w:val="single" w:sz="8" w:color="E5F1EE"/>
            </w:tcBorders>
            <w:shd w:val="clear" w:color="auto" w:fill="E5F1EE"/>
          </w:tcPr>
          <w:p>
            <w:pPr>
              <w:spacing w:after="0"/>
              <w:rPr>
                <w:sz w:val="9"/>
                <w:szCs w:val="9"/>
                <w:color w:val="auto"/>
              </w:rPr>
            </w:pPr>
          </w:p>
        </w:tc>
        <w:tc>
          <w:tcPr>
            <w:tcW w:w="1000" w:type="dxa"/>
            <w:vAlign w:val="bottom"/>
            <w:tcBorders>
              <w:bottom w:val="single" w:sz="8" w:color="E5F1EE"/>
            </w:tcBorders>
            <w:shd w:val="clear" w:color="auto" w:fill="E5F1E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Period end common stock price</w:t>
            </w:r>
          </w:p>
        </w:tc>
        <w:tc>
          <w:tcPr>
            <w:tcW w:w="2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178.12</w:t>
            </w:r>
          </w:p>
        </w:tc>
        <w:tc>
          <w:tcPr>
            <w:tcW w:w="200" w:type="dxa"/>
            <w:vAlign w:val="bottom"/>
          </w:tcPr>
          <w:p>
            <w:pPr>
              <w:spacing w:after="0"/>
              <w:rPr>
                <w:sz w:val="10"/>
                <w:szCs w:val="10"/>
                <w:color w:val="auto"/>
              </w:rPr>
            </w:pPr>
          </w:p>
        </w:tc>
        <w:tc>
          <w:tcPr>
            <w:tcW w:w="24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151.36</w:t>
            </w:r>
          </w:p>
        </w:tc>
        <w:tc>
          <w:tcPr>
            <w:tcW w:w="220" w:type="dxa"/>
            <w:vAlign w:val="bottom"/>
          </w:tcPr>
          <w:p>
            <w:pPr>
              <w:spacing w:after="0"/>
              <w:rPr>
                <w:sz w:val="10"/>
                <w:szCs w:val="10"/>
                <w:color w:val="auto"/>
              </w:rPr>
            </w:pPr>
          </w:p>
        </w:tc>
        <w:tc>
          <w:tcPr>
            <w:tcW w:w="14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w w:val="87"/>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145.44</w:t>
            </w:r>
          </w:p>
        </w:tc>
        <w:tc>
          <w:tcPr>
            <w:tcW w:w="220" w:type="dxa"/>
            <w:vAlign w:val="bottom"/>
          </w:tcPr>
          <w:p>
            <w:pPr>
              <w:spacing w:after="0"/>
              <w:rPr>
                <w:sz w:val="10"/>
                <w:szCs w:val="10"/>
                <w:color w:val="auto"/>
              </w:rPr>
            </w:pPr>
          </w:p>
        </w:tc>
        <w:tc>
          <w:tcPr>
            <w:tcW w:w="20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w w:val="87"/>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137.08</w:t>
            </w:r>
          </w:p>
        </w:tc>
        <w:tc>
          <w:tcPr>
            <w:tcW w:w="220" w:type="dxa"/>
            <w:vAlign w:val="bottom"/>
          </w:tcPr>
          <w:p>
            <w:pPr>
              <w:spacing w:after="0"/>
              <w:rPr>
                <w:sz w:val="10"/>
                <w:szCs w:val="10"/>
                <w:color w:val="auto"/>
              </w:rPr>
            </w:pPr>
          </w:p>
        </w:tc>
        <w:tc>
          <w:tcPr>
            <w:tcW w:w="1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w w:val="87"/>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126.45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gridSpan w:val="4"/>
            <w:shd w:val="clear" w:color="auto" w:fill="E5F1EE"/>
          </w:tcPr>
          <w:p>
            <w:pPr>
              <w:spacing w:after="0"/>
              <w:rPr>
                <w:sz w:val="20"/>
                <w:szCs w:val="20"/>
                <w:color w:val="auto"/>
              </w:rPr>
            </w:pPr>
            <w:r>
              <w:rPr>
                <w:rFonts w:ascii="Times New Roman" w:cs="Times New Roman" w:eastAsia="Times New Roman" w:hAnsi="Times New Roman"/>
                <w:sz w:val="9"/>
                <w:szCs w:val="9"/>
                <w:color w:val="auto"/>
              </w:rPr>
              <w:t>Domestic banking offices</w:t>
            </w: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957</w:t>
            </w:r>
          </w:p>
        </w:tc>
        <w:tc>
          <w:tcPr>
            <w:tcW w:w="20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957</w:t>
            </w:r>
          </w:p>
        </w:tc>
        <w:tc>
          <w:tcPr>
            <w:tcW w:w="220" w:type="dxa"/>
            <w:vAlign w:val="bottom"/>
            <w:shd w:val="clear" w:color="auto" w:fill="E5F1EE"/>
          </w:tcPr>
          <w:p>
            <w:pPr>
              <w:spacing w:after="0"/>
              <w:rPr>
                <w:sz w:val="11"/>
                <w:szCs w:val="11"/>
                <w:color w:val="auto"/>
              </w:rPr>
            </w:pPr>
          </w:p>
        </w:tc>
        <w:tc>
          <w:tcPr>
            <w:tcW w:w="140" w:type="dxa"/>
            <w:vAlign w:val="bottom"/>
            <w:shd w:val="clear" w:color="auto" w:fill="E5F1EE"/>
          </w:tcPr>
          <w:p>
            <w:pPr>
              <w:spacing w:after="0"/>
              <w:rPr>
                <w:sz w:val="11"/>
                <w:szCs w:val="11"/>
                <w:color w:val="auto"/>
              </w:rPr>
            </w:pPr>
          </w:p>
        </w:tc>
        <w:tc>
          <w:tcPr>
            <w:tcW w:w="1020" w:type="dxa"/>
            <w:vAlign w:val="bottom"/>
            <w:shd w:val="clear" w:color="auto" w:fill="E5F1EE"/>
          </w:tcPr>
          <w:p>
            <w:pPr>
              <w:jc w:val="right"/>
              <w:ind w:right="55"/>
              <w:spacing w:after="0"/>
              <w:rPr>
                <w:sz w:val="20"/>
                <w:szCs w:val="20"/>
                <w:color w:val="auto"/>
              </w:rPr>
            </w:pPr>
            <w:r>
              <w:rPr>
                <w:rFonts w:ascii="Times New Roman" w:cs="Times New Roman" w:eastAsia="Times New Roman" w:hAnsi="Times New Roman"/>
                <w:sz w:val="9"/>
                <w:szCs w:val="9"/>
                <w:color w:val="auto"/>
              </w:rPr>
              <w:t>958</w:t>
            </w:r>
          </w:p>
        </w:tc>
        <w:tc>
          <w:tcPr>
            <w:tcW w:w="2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98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961</w:t>
            </w: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1000" w:type="dxa"/>
            <w:vAlign w:val="bottom"/>
            <w:shd w:val="clear" w:color="auto" w:fill="E5F1EE"/>
          </w:tcPr>
          <w:p>
            <w:pPr>
              <w:jc w:val="right"/>
              <w:ind w:right="75"/>
              <w:spacing w:after="0"/>
              <w:rPr>
                <w:sz w:val="20"/>
                <w:szCs w:val="20"/>
                <w:color w:val="auto"/>
              </w:rPr>
            </w:pPr>
            <w:r>
              <w:rPr>
                <w:rFonts w:ascii="Times New Roman" w:cs="Times New Roman" w:eastAsia="Times New Roman" w:hAnsi="Times New Roman"/>
                <w:sz w:val="9"/>
                <w:szCs w:val="9"/>
                <w:color w:val="auto"/>
              </w:rPr>
              <w:t>967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520" w:type="dxa"/>
            <w:vAlign w:val="bottom"/>
            <w:gridSpan w:val="4"/>
          </w:tcPr>
          <w:p>
            <w:pPr>
              <w:spacing w:after="0"/>
              <w:rPr>
                <w:sz w:val="20"/>
                <w:szCs w:val="20"/>
                <w:color w:val="auto"/>
              </w:rPr>
            </w:pPr>
            <w:r>
              <w:rPr>
                <w:rFonts w:ascii="Times New Roman" w:cs="Times New Roman" w:eastAsia="Times New Roman" w:hAnsi="Times New Roman"/>
                <w:sz w:val="9"/>
                <w:szCs w:val="9"/>
                <w:color w:val="auto"/>
              </w:rPr>
              <w:t>Full time equivalent employees</w:t>
            </w: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21,986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22,110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21,927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21,980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9"/>
                <w:szCs w:val="9"/>
                <w:color w:val="auto"/>
              </w:rPr>
              <w:t>22,424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160655</wp:posOffset>
            </wp:positionV>
            <wp:extent cx="36290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312" w:lineRule="exact"/>
        <w:rPr>
          <w:sz w:val="20"/>
          <w:szCs w:val="20"/>
          <w:color w:val="auto"/>
        </w:rPr>
      </w:pPr>
    </w:p>
    <w:p>
      <w:pPr>
        <w:ind w:left="148" w:hanging="148"/>
        <w:spacing w:after="0"/>
        <w:tabs>
          <w:tab w:leader="none" w:pos="148"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common stock equivalents.</w:t>
      </w:r>
    </w:p>
    <w:p>
      <w:pPr>
        <w:spacing w:after="0" w:line="3" w:lineRule="exact"/>
        <w:rPr>
          <w:rFonts w:ascii="Times New Roman" w:cs="Times New Roman" w:eastAsia="Times New Roman" w:hAnsi="Times New Roman"/>
          <w:sz w:val="10"/>
          <w:szCs w:val="10"/>
          <w:color w:val="auto"/>
        </w:rPr>
      </w:pPr>
    </w:p>
    <w:p>
      <w:pPr>
        <w:ind w:left="148" w:hanging="148"/>
        <w:spacing w:after="0"/>
        <w:tabs>
          <w:tab w:leader="none" w:pos="148"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common stock issuable under deferred compensation plans.</w:t>
      </w:r>
    </w:p>
    <w:p>
      <w:pPr>
        <w:spacing w:after="0" w:line="2" w:lineRule="exact"/>
        <w:rPr>
          <w:rFonts w:ascii="Times New Roman" w:cs="Times New Roman" w:eastAsia="Times New Roman" w:hAnsi="Times New Roman"/>
          <w:sz w:val="10"/>
          <w:szCs w:val="10"/>
          <w:color w:val="auto"/>
        </w:rPr>
      </w:pPr>
    </w:p>
    <w:p>
      <w:pPr>
        <w:ind w:left="148" w:hanging="148"/>
        <w:spacing w:after="0" w:line="225" w:lineRule="auto"/>
        <w:tabs>
          <w:tab w:leader="none" w:pos="145"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Excludes amortization and balances related to goodwill and core deposit and other intangible assets and merger-related expenses which, except in the calculation of the efficiency ratio, are net of applicable income tax effects. Reconciliations of net income with net operating income appear on page 18.</w:t>
      </w:r>
    </w:p>
    <w:p>
      <w:pPr>
        <w:ind w:left="148" w:hanging="148"/>
        <w:spacing w:after="0"/>
        <w:tabs>
          <w:tab w:leader="none" w:pos="148"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Predominantly residential real estate loans.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158" w:right="299" w:bottom="1440" w:gutter="0" w:footer="0" w:header="0"/>
        </w:sectPr>
      </w:pPr>
    </w:p>
    <w:bookmarkStart w:id="14" w:name="page15"/>
    <w:bookmarkEnd w:id="14"/>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Statement of Income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Three months ended</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Nine months ended</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36"/>
        </w:trPr>
        <w:tc>
          <w:tcPr>
            <w:tcW w:w="44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September 30,</w:t>
            </w: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September 30,</w:t>
            </w: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29"/>
        </w:trPr>
        <w:tc>
          <w:tcPr>
            <w:tcW w:w="4460" w:type="dxa"/>
            <w:vAlign w:val="bottom"/>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220" w:type="dxa"/>
            <w:vAlign w:val="bottom"/>
          </w:tcPr>
          <w:p>
            <w:pPr>
              <w:spacing w:after="0"/>
              <w:rPr>
                <w:sz w:val="11"/>
                <w:szCs w:val="11"/>
                <w:color w:val="auto"/>
              </w:rPr>
            </w:pPr>
          </w:p>
        </w:tc>
        <w:tc>
          <w:tcPr>
            <w:tcW w:w="700" w:type="dxa"/>
            <w:vAlign w:val="bottom"/>
          </w:tcPr>
          <w:p>
            <w:pPr>
              <w:jc w:val="right"/>
              <w:ind w:right="301"/>
              <w:spacing w:after="0"/>
              <w:rPr>
                <w:sz w:val="20"/>
                <w:szCs w:val="20"/>
                <w:color w:val="auto"/>
              </w:rPr>
            </w:pPr>
            <w:r>
              <w:rPr>
                <w:rFonts w:ascii="Times New Roman" w:cs="Times New Roman" w:eastAsia="Times New Roman" w:hAnsi="Times New Roman"/>
                <w:sz w:val="10"/>
                <w:szCs w:val="10"/>
                <w:color w:val="auto"/>
              </w:rPr>
              <w:t>2024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jc w:val="right"/>
              <w:ind w:right="300"/>
              <w:spacing w:after="0"/>
              <w:rPr>
                <w:sz w:val="20"/>
                <w:szCs w:val="20"/>
                <w:color w:val="auto"/>
              </w:rPr>
            </w:pPr>
            <w:r>
              <w:rPr>
                <w:rFonts w:ascii="Times New Roman" w:cs="Times New Roman" w:eastAsia="Times New Roman" w:hAnsi="Times New Roman"/>
                <w:sz w:val="10"/>
                <w:szCs w:val="10"/>
                <w:color w:val="auto"/>
              </w:rPr>
              <w:t>2023</w:t>
            </w:r>
          </w:p>
        </w:tc>
        <w:tc>
          <w:tcPr>
            <w:tcW w:w="220" w:type="dxa"/>
            <w:vAlign w:val="bottom"/>
          </w:tcPr>
          <w:p>
            <w:pPr>
              <w:spacing w:after="0"/>
              <w:rPr>
                <w:sz w:val="11"/>
                <w:szCs w:val="11"/>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0"/>
                <w:szCs w:val="10"/>
                <w:color w:val="auto"/>
              </w:rPr>
              <w:t>Change</w:t>
            </w:r>
          </w:p>
        </w:tc>
        <w:tc>
          <w:tcPr>
            <w:tcW w:w="220" w:type="dxa"/>
            <w:vAlign w:val="bottom"/>
          </w:tcPr>
          <w:p>
            <w:pPr>
              <w:spacing w:after="0"/>
              <w:rPr>
                <w:sz w:val="11"/>
                <w:szCs w:val="11"/>
                <w:color w:val="auto"/>
              </w:rPr>
            </w:pPr>
          </w:p>
        </w:tc>
        <w:tc>
          <w:tcPr>
            <w:tcW w:w="720" w:type="dxa"/>
            <w:vAlign w:val="bottom"/>
          </w:tcPr>
          <w:p>
            <w:pPr>
              <w:jc w:val="right"/>
              <w:ind w:right="321"/>
              <w:spacing w:after="0"/>
              <w:rPr>
                <w:sz w:val="20"/>
                <w:szCs w:val="20"/>
                <w:color w:val="auto"/>
              </w:rPr>
            </w:pPr>
            <w:r>
              <w:rPr>
                <w:rFonts w:ascii="Times New Roman" w:cs="Times New Roman" w:eastAsia="Times New Roman" w:hAnsi="Times New Roman"/>
                <w:sz w:val="10"/>
                <w:szCs w:val="10"/>
                <w:color w:val="auto"/>
              </w:rPr>
              <w:t>2024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ind w:right="320"/>
              <w:spacing w:after="0"/>
              <w:rPr>
                <w:sz w:val="20"/>
                <w:szCs w:val="20"/>
                <w:color w:val="auto"/>
              </w:rPr>
            </w:pPr>
            <w:r>
              <w:rPr>
                <w:rFonts w:ascii="Times New Roman" w:cs="Times New Roman" w:eastAsia="Times New Roman" w:hAnsi="Times New Roman"/>
                <w:sz w:val="10"/>
                <w:szCs w:val="10"/>
                <w:color w:val="auto"/>
              </w:rPr>
              <w:t>2023</w:t>
            </w:r>
          </w:p>
        </w:tc>
        <w:tc>
          <w:tcPr>
            <w:tcW w:w="200" w:type="dxa"/>
            <w:vAlign w:val="bottom"/>
          </w:tcPr>
          <w:p>
            <w:pPr>
              <w:spacing w:after="0"/>
              <w:rPr>
                <w:sz w:val="11"/>
                <w:szCs w:val="11"/>
                <w:color w:val="auto"/>
              </w:rPr>
            </w:pPr>
          </w:p>
        </w:tc>
        <w:tc>
          <w:tcPr>
            <w:tcW w:w="1040" w:type="dxa"/>
            <w:vAlign w:val="bottom"/>
          </w:tcPr>
          <w:p>
            <w:pPr>
              <w:jc w:val="right"/>
              <w:ind w:right="324"/>
              <w:spacing w:after="0"/>
              <w:rPr>
                <w:sz w:val="20"/>
                <w:szCs w:val="20"/>
                <w:color w:val="auto"/>
              </w:rPr>
            </w:pPr>
            <w:r>
              <w:rPr>
                <w:rFonts w:ascii="Times New Roman" w:cs="Times New Roman" w:eastAsia="Times New Roman" w:hAnsi="Times New Roman"/>
                <w:sz w:val="10"/>
                <w:szCs w:val="10"/>
                <w:color w:val="auto"/>
              </w:rPr>
              <w:t>Change</w:t>
            </w:r>
          </w:p>
        </w:tc>
      </w:tr>
      <w:tr>
        <w:trPr>
          <w:trHeight w:val="148"/>
        </w:trPr>
        <w:tc>
          <w:tcPr>
            <w:tcW w:w="4460" w:type="dxa"/>
            <w:vAlign w:val="bottom"/>
            <w:tcBorders>
              <w:top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20" w:type="dxa"/>
            <w:vAlign w:val="bottom"/>
            <w:tcBorders>
              <w:top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2,785</w:t>
            </w:r>
          </w:p>
        </w:tc>
        <w:tc>
          <w:tcPr>
            <w:tcW w:w="220" w:type="dxa"/>
            <w:vAlign w:val="bottom"/>
            <w:tcBorders>
              <w:top w:val="single" w:sz="8" w:color="E5F1EE"/>
            </w:tcBorders>
            <w:shd w:val="clear" w:color="auto" w:fill="E5F1EE"/>
          </w:tcPr>
          <w:p>
            <w:pPr>
              <w:spacing w:after="0"/>
              <w:rPr>
                <w:sz w:val="12"/>
                <w:szCs w:val="12"/>
                <w:color w:val="auto"/>
              </w:rPr>
            </w:pPr>
          </w:p>
        </w:tc>
        <w:tc>
          <w:tcPr>
            <w:tcW w:w="320" w:type="dxa"/>
            <w:vAlign w:val="bottom"/>
            <w:tcBorders>
              <w:top w:val="single" w:sz="8" w:color="auto"/>
            </w:tcBorders>
            <w:shd w:val="clear" w:color="auto" w:fill="E5F1EE"/>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2,641</w:t>
            </w:r>
          </w:p>
        </w:tc>
        <w:tc>
          <w:tcPr>
            <w:tcW w:w="220" w:type="dxa"/>
            <w:vAlign w:val="bottom"/>
            <w:tcBorders>
              <w:top w:val="single" w:sz="8" w:color="E5F1EE"/>
            </w:tcBorders>
            <w:shd w:val="clear" w:color="auto" w:fill="E5F1EE"/>
          </w:tcPr>
          <w:p>
            <w:pPr>
              <w:spacing w:after="0"/>
              <w:rPr>
                <w:sz w:val="12"/>
                <w:szCs w:val="12"/>
                <w:color w:val="auto"/>
              </w:rPr>
            </w:pPr>
          </w:p>
        </w:tc>
        <w:tc>
          <w:tcPr>
            <w:tcW w:w="10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220" w:type="dxa"/>
            <w:vAlign w:val="bottom"/>
            <w:tcBorders>
              <w:top w:val="single" w:sz="8" w:color="E5F1EE"/>
            </w:tcBorders>
            <w:shd w:val="clear" w:color="auto" w:fill="E5F1EE"/>
          </w:tcPr>
          <w:p>
            <w:pPr>
              <w:spacing w:after="0"/>
              <w:rPr>
                <w:sz w:val="12"/>
                <w:szCs w:val="12"/>
                <w:color w:val="auto"/>
              </w:rPr>
            </w:pPr>
          </w:p>
        </w:tc>
        <w:tc>
          <w:tcPr>
            <w:tcW w:w="220" w:type="dxa"/>
            <w:vAlign w:val="bottom"/>
            <w:tcBorders>
              <w:top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8,319</w:t>
            </w:r>
          </w:p>
        </w:tc>
        <w:tc>
          <w:tcPr>
            <w:tcW w:w="200" w:type="dxa"/>
            <w:vAlign w:val="bottom"/>
            <w:tcBorders>
              <w:top w:val="single" w:sz="8" w:color="E5F1EE"/>
            </w:tcBorders>
            <w:shd w:val="clear" w:color="auto" w:fill="E5F1EE"/>
          </w:tcPr>
          <w:p>
            <w:pPr>
              <w:spacing w:after="0"/>
              <w:rPr>
                <w:sz w:val="12"/>
                <w:szCs w:val="12"/>
                <w:color w:val="auto"/>
              </w:rPr>
            </w:pPr>
          </w:p>
        </w:tc>
        <w:tc>
          <w:tcPr>
            <w:tcW w:w="320" w:type="dxa"/>
            <w:vAlign w:val="bottom"/>
            <w:tcBorders>
              <w:top w:val="single" w:sz="8" w:color="auto"/>
            </w:tcBorders>
            <w:shd w:val="clear" w:color="auto" w:fill="E5F1EE"/>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7,484</w:t>
            </w:r>
          </w:p>
        </w:tc>
        <w:tc>
          <w:tcPr>
            <w:tcW w:w="200" w:type="dxa"/>
            <w:vAlign w:val="bottom"/>
            <w:tcBorders>
              <w:top w:val="single" w:sz="8" w:color="E5F1EE"/>
            </w:tcBorders>
            <w:shd w:val="clear" w:color="auto" w:fill="E5F1EE"/>
          </w:tcPr>
          <w:p>
            <w:pPr>
              <w:spacing w:after="0"/>
              <w:rPr>
                <w:sz w:val="12"/>
                <w:szCs w:val="12"/>
                <w:color w:val="auto"/>
              </w:rPr>
            </w:pPr>
          </w:p>
        </w:tc>
        <w:tc>
          <w:tcPr>
            <w:tcW w:w="1040" w:type="dxa"/>
            <w:vAlign w:val="bottom"/>
            <w:tcBorders>
              <w:top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11 %</w:t>
            </w:r>
          </w:p>
        </w:tc>
      </w:tr>
      <w:tr>
        <w:trPr>
          <w:trHeight w:val="153"/>
        </w:trPr>
        <w:tc>
          <w:tcPr>
            <w:tcW w:w="446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22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1240" w:type="dxa"/>
            <w:vAlign w:val="bottom"/>
            <w:tcBorders>
              <w:bottom w:val="single" w:sz="8" w:color="E5F1EE"/>
            </w:tcBorders>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3,195</w:t>
            </w:r>
          </w:p>
        </w:tc>
        <w:tc>
          <w:tcPr>
            <w:tcW w:w="20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2,091</w:t>
            </w:r>
          </w:p>
        </w:tc>
        <w:tc>
          <w:tcPr>
            <w:tcW w:w="1240" w:type="dxa"/>
            <w:vAlign w:val="bottom"/>
            <w:tcBorders>
              <w:bottom w:val="single" w:sz="8" w:color="E5F1EE"/>
            </w:tcBorders>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53</w:t>
            </w:r>
          </w:p>
        </w:tc>
      </w:tr>
      <w:tr>
        <w:trPr>
          <w:trHeight w:val="142"/>
        </w:trPr>
        <w:tc>
          <w:tcPr>
            <w:tcW w:w="446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w:t>
            </w:r>
          </w:p>
        </w:tc>
        <w:tc>
          <w:tcPr>
            <w:tcW w:w="220" w:type="dxa"/>
            <w:vAlign w:val="bottom"/>
            <w:shd w:val="clear" w:color="auto" w:fill="E5F1EE"/>
          </w:tcPr>
          <w:p>
            <w:pPr>
              <w:spacing w:after="0"/>
              <w:rPr>
                <w:sz w:val="12"/>
                <w:szCs w:val="12"/>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1,726</w:t>
            </w:r>
          </w:p>
        </w:tc>
        <w:tc>
          <w:tcPr>
            <w:tcW w:w="220" w:type="dxa"/>
            <w:vAlign w:val="bottom"/>
            <w:shd w:val="clear" w:color="auto" w:fill="E5F1EE"/>
          </w:tcPr>
          <w:p>
            <w:pPr>
              <w:spacing w:after="0"/>
              <w:rPr>
                <w:sz w:val="12"/>
                <w:szCs w:val="12"/>
                <w:color w:val="auto"/>
              </w:rPr>
            </w:pPr>
          </w:p>
        </w:tc>
        <w:tc>
          <w:tcPr>
            <w:tcW w:w="320" w:type="dxa"/>
            <w:vAlign w:val="bottom"/>
            <w:shd w:val="clear" w:color="auto" w:fill="E5F1EE"/>
          </w:tcPr>
          <w:p>
            <w:pPr>
              <w:spacing w:after="0"/>
              <w:rPr>
                <w:sz w:val="12"/>
                <w:szCs w:val="12"/>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1,775</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5,124</w:t>
            </w:r>
          </w:p>
        </w:tc>
        <w:tc>
          <w:tcPr>
            <w:tcW w:w="200" w:type="dxa"/>
            <w:vAlign w:val="bottom"/>
            <w:shd w:val="clear" w:color="auto" w:fill="E5F1EE"/>
          </w:tcPr>
          <w:p>
            <w:pPr>
              <w:spacing w:after="0"/>
              <w:rPr>
                <w:sz w:val="12"/>
                <w:szCs w:val="12"/>
                <w:color w:val="auto"/>
              </w:rPr>
            </w:pPr>
          </w:p>
        </w:tc>
        <w:tc>
          <w:tcPr>
            <w:tcW w:w="320" w:type="dxa"/>
            <w:vAlign w:val="bottom"/>
            <w:shd w:val="clear" w:color="auto" w:fill="E5F1EE"/>
          </w:tcPr>
          <w:p>
            <w:pPr>
              <w:spacing w:after="0"/>
              <w:rPr>
                <w:sz w:val="12"/>
                <w:szCs w:val="12"/>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5,393</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-5</w:t>
            </w:r>
          </w:p>
        </w:tc>
      </w:tr>
      <w:tr>
        <w:trPr>
          <w:trHeight w:val="153"/>
        </w:trPr>
        <w:tc>
          <w:tcPr>
            <w:tcW w:w="446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2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1240" w:type="dxa"/>
            <w:vAlign w:val="bottom"/>
            <w:tcBorders>
              <w:bottom w:val="single" w:sz="8" w:color="E5F1EE"/>
            </w:tcBorders>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-20</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470</w:t>
            </w:r>
          </w:p>
        </w:tc>
        <w:tc>
          <w:tcPr>
            <w:tcW w:w="20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1240" w:type="dxa"/>
            <w:vAlign w:val="bottom"/>
            <w:tcBorders>
              <w:bottom w:val="single" w:sz="8" w:color="E5F1EE"/>
            </w:tcBorders>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12</w:t>
            </w:r>
          </w:p>
        </w:tc>
      </w:tr>
      <w:tr>
        <w:trPr>
          <w:trHeight w:val="142"/>
        </w:trPr>
        <w:tc>
          <w:tcPr>
            <w:tcW w:w="446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 after provision for credit losses</w:t>
            </w:r>
          </w:p>
        </w:tc>
        <w:tc>
          <w:tcPr>
            <w:tcW w:w="220" w:type="dxa"/>
            <w:vAlign w:val="bottom"/>
            <w:tcBorders>
              <w:bottom w:val="single" w:sz="8" w:color="auto"/>
            </w:tcBorders>
            <w:shd w:val="clear" w:color="auto" w:fill="E5F1EE"/>
          </w:tcPr>
          <w:p>
            <w:pPr>
              <w:spacing w:after="0"/>
              <w:rPr>
                <w:sz w:val="12"/>
                <w:szCs w:val="12"/>
                <w:color w:val="auto"/>
              </w:rPr>
            </w:pPr>
          </w:p>
        </w:tc>
        <w:tc>
          <w:tcPr>
            <w:tcW w:w="7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220" w:type="dxa"/>
            <w:vAlign w:val="bottom"/>
            <w:shd w:val="clear" w:color="auto" w:fill="E5F1EE"/>
          </w:tcPr>
          <w:p>
            <w:pPr>
              <w:spacing w:after="0"/>
              <w:rPr>
                <w:sz w:val="12"/>
                <w:szCs w:val="12"/>
                <w:color w:val="auto"/>
              </w:rPr>
            </w:pPr>
          </w:p>
        </w:tc>
        <w:tc>
          <w:tcPr>
            <w:tcW w:w="320" w:type="dxa"/>
            <w:vAlign w:val="bottom"/>
            <w:tcBorders>
              <w:bottom w:val="single" w:sz="8" w:color="auto"/>
            </w:tcBorders>
            <w:shd w:val="clear" w:color="auto" w:fill="E5F1EE"/>
          </w:tcPr>
          <w:p>
            <w:pPr>
              <w:spacing w:after="0"/>
              <w:rPr>
                <w:sz w:val="12"/>
                <w:szCs w:val="12"/>
                <w:color w:val="auto"/>
              </w:rPr>
            </w:pPr>
          </w:p>
        </w:tc>
        <w:tc>
          <w:tcPr>
            <w:tcW w:w="6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1,625</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E5F1EE"/>
          </w:tcPr>
          <w:p>
            <w:pPr>
              <w:spacing w:after="0"/>
              <w:rPr>
                <w:sz w:val="12"/>
                <w:szCs w:val="12"/>
                <w:color w:val="auto"/>
              </w:rPr>
            </w:pPr>
          </w:p>
        </w:tc>
        <w:tc>
          <w:tcPr>
            <w:tcW w:w="220" w:type="dxa"/>
            <w:vAlign w:val="bottom"/>
            <w:tcBorders>
              <w:bottom w:val="single" w:sz="8" w:color="auto"/>
            </w:tcBorders>
            <w:shd w:val="clear" w:color="auto" w:fill="E5F1EE"/>
          </w:tcPr>
          <w:p>
            <w:pPr>
              <w:spacing w:after="0"/>
              <w:rPr>
                <w:sz w:val="12"/>
                <w:szCs w:val="12"/>
                <w:color w:val="auto"/>
              </w:rPr>
            </w:pPr>
          </w:p>
        </w:tc>
        <w:tc>
          <w:tcPr>
            <w:tcW w:w="72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4,654</w:t>
            </w:r>
          </w:p>
        </w:tc>
        <w:tc>
          <w:tcPr>
            <w:tcW w:w="200" w:type="dxa"/>
            <w:vAlign w:val="bottom"/>
            <w:shd w:val="clear" w:color="auto" w:fill="E5F1EE"/>
          </w:tcPr>
          <w:p>
            <w:pPr>
              <w:spacing w:after="0"/>
              <w:rPr>
                <w:sz w:val="12"/>
                <w:szCs w:val="12"/>
                <w:color w:val="auto"/>
              </w:rPr>
            </w:pPr>
          </w:p>
        </w:tc>
        <w:tc>
          <w:tcPr>
            <w:tcW w:w="320" w:type="dxa"/>
            <w:vAlign w:val="bottom"/>
            <w:tcBorders>
              <w:bottom w:val="single" w:sz="8" w:color="auto"/>
            </w:tcBorders>
            <w:shd w:val="clear" w:color="auto" w:fill="E5F1EE"/>
          </w:tcPr>
          <w:p>
            <w:pPr>
              <w:spacing w:after="0"/>
              <w:rPr>
                <w:sz w:val="12"/>
                <w:szCs w:val="12"/>
                <w:color w:val="auto"/>
              </w:rPr>
            </w:pP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4,973</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-6</w:t>
            </w:r>
          </w:p>
        </w:tc>
      </w:tr>
      <w:tr>
        <w:trPr>
          <w:trHeight w:val="133"/>
        </w:trPr>
        <w:tc>
          <w:tcPr>
            <w:tcW w:w="44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income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53"/>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Mortgage banking revenues</w:t>
            </w:r>
          </w:p>
        </w:tc>
        <w:tc>
          <w:tcPr>
            <w:tcW w:w="220" w:type="dxa"/>
            <w:vAlign w:val="bottom"/>
            <w:shd w:val="clear" w:color="auto" w:fill="E5F1EE"/>
          </w:tcPr>
          <w:p>
            <w:pPr>
              <w:spacing w:after="0"/>
              <w:rPr>
                <w:sz w:val="13"/>
                <w:szCs w:val="13"/>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2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319</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7</w:t>
            </w:r>
          </w:p>
        </w:tc>
      </w:tr>
      <w:tr>
        <w:trPr>
          <w:trHeight w:val="153"/>
        </w:trPr>
        <w:tc>
          <w:tcPr>
            <w:tcW w:w="4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Service charges on deposit accounts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24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383</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1240" w:type="dxa"/>
            <w:vAlign w:val="bottom"/>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8</w:t>
            </w:r>
          </w:p>
        </w:tc>
      </w:tr>
      <w:tr>
        <w:trPr>
          <w:trHeight w:val="153"/>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Trust income</w:t>
            </w:r>
          </w:p>
        </w:tc>
        <w:tc>
          <w:tcPr>
            <w:tcW w:w="220" w:type="dxa"/>
            <w:vAlign w:val="bottom"/>
            <w:shd w:val="clear" w:color="auto" w:fill="E5F1EE"/>
          </w:tcPr>
          <w:p>
            <w:pPr>
              <w:spacing w:after="0"/>
              <w:rPr>
                <w:sz w:val="13"/>
                <w:szCs w:val="13"/>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2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500</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4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Brokerage services income</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24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240" w:type="dxa"/>
            <w:vAlign w:val="bottom"/>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19</w:t>
            </w:r>
          </w:p>
        </w:tc>
      </w:tr>
      <w:tr>
        <w:trPr>
          <w:trHeight w:val="117"/>
        </w:trPr>
        <w:tc>
          <w:tcPr>
            <w:tcW w:w="4460" w:type="dxa"/>
            <w:vAlign w:val="bottom"/>
            <w:shd w:val="clear" w:color="auto" w:fill="E5F1EE"/>
          </w:tcPr>
          <w:p>
            <w:pPr>
              <w:ind w:left="140"/>
              <w:spacing w:after="0" w:line="117" w:lineRule="exact"/>
              <w:rPr>
                <w:sz w:val="20"/>
                <w:szCs w:val="20"/>
                <w:color w:val="auto"/>
              </w:rPr>
            </w:pPr>
            <w:r>
              <w:rPr>
                <w:rFonts w:ascii="Times New Roman" w:cs="Times New Roman" w:eastAsia="Times New Roman" w:hAnsi="Times New Roman"/>
                <w:sz w:val="12"/>
                <w:szCs w:val="12"/>
                <w:color w:val="auto"/>
              </w:rPr>
              <w:t>Trading account and other non-hedging</w:t>
            </w:r>
          </w:p>
        </w:tc>
        <w:tc>
          <w:tcPr>
            <w:tcW w:w="220" w:type="dxa"/>
            <w:vAlign w:val="bottom"/>
            <w:shd w:val="clear" w:color="auto" w:fill="E5F1EE"/>
          </w:tcPr>
          <w:p>
            <w:pPr>
              <w:spacing w:after="0"/>
              <w:rPr>
                <w:sz w:val="10"/>
                <w:szCs w:val="10"/>
                <w:color w:val="auto"/>
              </w:rPr>
            </w:pPr>
          </w:p>
        </w:tc>
        <w:tc>
          <w:tcPr>
            <w:tcW w:w="70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60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0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7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6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1040" w:type="dxa"/>
            <w:vAlign w:val="bottom"/>
            <w:shd w:val="clear" w:color="auto" w:fill="E5F1EE"/>
          </w:tcPr>
          <w:p>
            <w:pPr>
              <w:spacing w:after="0"/>
              <w:rPr>
                <w:sz w:val="10"/>
                <w:szCs w:val="10"/>
                <w:color w:val="auto"/>
              </w:rPr>
            </w:pPr>
          </w:p>
        </w:tc>
      </w:tr>
      <w:tr>
        <w:trPr>
          <w:trHeight w:val="162"/>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derivative gains</w:t>
            </w:r>
          </w:p>
        </w:tc>
        <w:tc>
          <w:tcPr>
            <w:tcW w:w="220" w:type="dxa"/>
            <w:vAlign w:val="bottom"/>
            <w:shd w:val="clear" w:color="auto" w:fill="E5F1EE"/>
          </w:tcPr>
          <w:p>
            <w:pPr>
              <w:spacing w:after="0"/>
              <w:rPr>
                <w:sz w:val="14"/>
                <w:szCs w:val="14"/>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shd w:val="clear" w:color="auto" w:fill="E5F1EE"/>
          </w:tcPr>
          <w:p>
            <w:pPr>
              <w:spacing w:after="0"/>
              <w:rPr>
                <w:sz w:val="14"/>
                <w:szCs w:val="14"/>
                <w:color w:val="auto"/>
              </w:rPr>
            </w:pPr>
          </w:p>
        </w:tc>
        <w:tc>
          <w:tcPr>
            <w:tcW w:w="320" w:type="dxa"/>
            <w:vAlign w:val="bottom"/>
            <w:shd w:val="clear" w:color="auto" w:fill="E5F1EE"/>
          </w:tcPr>
          <w:p>
            <w:pPr>
              <w:spacing w:after="0"/>
              <w:rPr>
                <w:sz w:val="14"/>
                <w:szCs w:val="14"/>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46</w:t>
            </w:r>
          </w:p>
        </w:tc>
        <w:tc>
          <w:tcPr>
            <w:tcW w:w="220" w:type="dxa"/>
            <w:vAlign w:val="bottom"/>
            <w:shd w:val="clear" w:color="auto" w:fill="E5F1EE"/>
          </w:tcPr>
          <w:p>
            <w:pPr>
              <w:spacing w:after="0"/>
              <w:rPr>
                <w:sz w:val="14"/>
                <w:szCs w:val="14"/>
                <w:color w:val="auto"/>
              </w:rPr>
            </w:pPr>
          </w:p>
        </w:tc>
        <w:tc>
          <w:tcPr>
            <w:tcW w:w="220" w:type="dxa"/>
            <w:vAlign w:val="bottom"/>
            <w:shd w:val="clear" w:color="auto" w:fill="E5F1EE"/>
          </w:tcPr>
          <w:p>
            <w:pPr>
              <w:spacing w:after="0"/>
              <w:rPr>
                <w:sz w:val="14"/>
                <w:szCs w:val="14"/>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29</w:t>
            </w:r>
          </w:p>
        </w:tc>
        <w:tc>
          <w:tcPr>
            <w:tcW w:w="200" w:type="dxa"/>
            <w:vAlign w:val="bottom"/>
            <w:shd w:val="clear" w:color="auto" w:fill="E5F1EE"/>
          </w:tcPr>
          <w:p>
            <w:pPr>
              <w:spacing w:after="0"/>
              <w:rPr>
                <w:sz w:val="14"/>
                <w:szCs w:val="14"/>
                <w:color w:val="auto"/>
              </w:rPr>
            </w:pPr>
          </w:p>
        </w:tc>
        <w:tc>
          <w:tcPr>
            <w:tcW w:w="320" w:type="dxa"/>
            <w:vAlign w:val="bottom"/>
            <w:shd w:val="clear" w:color="auto" w:fill="E5F1EE"/>
          </w:tcPr>
          <w:p>
            <w:pPr>
              <w:spacing w:after="0"/>
              <w:rPr>
                <w:sz w:val="14"/>
                <w:szCs w:val="14"/>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-22</w:t>
            </w:r>
          </w:p>
        </w:tc>
      </w:tr>
      <w:tr>
        <w:trPr>
          <w:trHeight w:val="153"/>
        </w:trPr>
        <w:tc>
          <w:tcPr>
            <w:tcW w:w="4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(loss) on bank investment securities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revenues from operations</w:t>
            </w:r>
          </w:p>
        </w:tc>
        <w:tc>
          <w:tcPr>
            <w:tcW w:w="220" w:type="dxa"/>
            <w:vAlign w:val="bottom"/>
            <w:tcBorders>
              <w:bottom w:val="single" w:sz="8" w:color="auto"/>
            </w:tcBorders>
            <w:shd w:val="clear" w:color="auto" w:fill="E5F1EE"/>
          </w:tcPr>
          <w:p>
            <w:pPr>
              <w:spacing w:after="0"/>
              <w:rPr>
                <w:sz w:val="13"/>
                <w:szCs w:val="13"/>
                <w:color w:val="auto"/>
              </w:rPr>
            </w:pPr>
          </w:p>
        </w:tc>
        <w:tc>
          <w:tcPr>
            <w:tcW w:w="7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spacing w:after="0"/>
              <w:rPr>
                <w:sz w:val="13"/>
                <w:szCs w:val="13"/>
                <w:color w:val="auto"/>
              </w:rPr>
            </w:pPr>
          </w:p>
        </w:tc>
        <w:tc>
          <w:tcPr>
            <w:tcW w:w="6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72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456</w:t>
            </w:r>
          </w:p>
        </w:tc>
        <w:tc>
          <w:tcPr>
            <w:tcW w:w="200" w:type="dxa"/>
            <w:vAlign w:val="bottom"/>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spacing w:after="0"/>
              <w:rPr>
                <w:sz w:val="13"/>
                <w:szCs w:val="13"/>
                <w:color w:val="auto"/>
              </w:rPr>
            </w:pP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-31</w:t>
            </w:r>
          </w:p>
        </w:tc>
      </w:tr>
      <w:tr>
        <w:trPr>
          <w:trHeight w:val="142"/>
        </w:trPr>
        <w:tc>
          <w:tcPr>
            <w:tcW w:w="446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income</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220" w:type="dxa"/>
            <w:vAlign w:val="bottom"/>
            <w:tcBorders>
              <w:bottom w:val="single" w:sz="8" w:color="E5F1EE"/>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w:t>
            </w:r>
          </w:p>
        </w:tc>
        <w:tc>
          <w:tcPr>
            <w:tcW w:w="1240" w:type="dxa"/>
            <w:vAlign w:val="bottom"/>
            <w:tcBorders>
              <w:bottom w:val="single" w:sz="8" w:color="E5F1EE"/>
            </w:tcBorders>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Borders>
              <w:bottom w:val="single" w:sz="8" w:color="E5F1EE"/>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1,770</w:t>
            </w:r>
          </w:p>
        </w:tc>
        <w:tc>
          <w:tcPr>
            <w:tcW w:w="200" w:type="dxa"/>
            <w:vAlign w:val="bottom"/>
            <w:tcBorders>
              <w:bottom w:val="single" w:sz="8" w:color="E5F1EE"/>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1,950</w:t>
            </w:r>
          </w:p>
        </w:tc>
        <w:tc>
          <w:tcPr>
            <w:tcW w:w="1240" w:type="dxa"/>
            <w:vAlign w:val="bottom"/>
            <w:tcBorders>
              <w:bottom w:val="single" w:sz="8" w:color="E5F1EE"/>
            </w:tcBorders>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-9</w:t>
            </w:r>
          </w:p>
        </w:tc>
      </w:tr>
      <w:tr>
        <w:trPr>
          <w:trHeight w:val="133"/>
        </w:trPr>
        <w:tc>
          <w:tcPr>
            <w:tcW w:w="4460" w:type="dxa"/>
            <w:vAlign w:val="bottom"/>
            <w:shd w:val="clear" w:color="auto" w:fill="E5F1EE"/>
          </w:tcPr>
          <w:p>
            <w:pPr>
              <w:spacing w:after="0" w:line="133" w:lineRule="exact"/>
              <w:rPr>
                <w:sz w:val="20"/>
                <w:szCs w:val="20"/>
                <w:color w:val="auto"/>
              </w:rPr>
            </w:pPr>
            <w:r>
              <w:rPr>
                <w:rFonts w:ascii="Times New Roman" w:cs="Times New Roman" w:eastAsia="Times New Roman" w:hAnsi="Times New Roman"/>
                <w:sz w:val="12"/>
                <w:szCs w:val="12"/>
                <w:color w:val="auto"/>
              </w:rPr>
              <w:t>Other expense</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0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1040" w:type="dxa"/>
            <w:vAlign w:val="bottom"/>
            <w:shd w:val="clear" w:color="auto" w:fill="E5F1EE"/>
          </w:tcPr>
          <w:p>
            <w:pPr>
              <w:spacing w:after="0"/>
              <w:rPr>
                <w:sz w:val="11"/>
                <w:szCs w:val="11"/>
                <w:color w:val="auto"/>
              </w:rPr>
            </w:pPr>
          </w:p>
        </w:tc>
      </w:tr>
      <w:tr>
        <w:trPr>
          <w:trHeight w:val="153"/>
        </w:trPr>
        <w:tc>
          <w:tcPr>
            <w:tcW w:w="4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727</w:t>
            </w:r>
          </w:p>
        </w:tc>
        <w:tc>
          <w:tcPr>
            <w:tcW w:w="124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2,372</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w:t>
            </w:r>
          </w:p>
        </w:tc>
        <w:tc>
          <w:tcPr>
            <w:tcW w:w="1240" w:type="dxa"/>
            <w:vAlign w:val="bottom"/>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Equipment and net occupancy</w:t>
            </w:r>
          </w:p>
        </w:tc>
        <w:tc>
          <w:tcPr>
            <w:tcW w:w="220" w:type="dxa"/>
            <w:vAlign w:val="bottom"/>
            <w:shd w:val="clear" w:color="auto" w:fill="E5F1EE"/>
          </w:tcPr>
          <w:p>
            <w:pPr>
              <w:spacing w:after="0"/>
              <w:rPr>
                <w:sz w:val="13"/>
                <w:szCs w:val="13"/>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131</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379</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4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Outside data processing and software</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124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367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240" w:type="dxa"/>
            <w:vAlign w:val="bottom"/>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Professional and other services</w:t>
            </w:r>
          </w:p>
        </w:tc>
        <w:tc>
          <w:tcPr>
            <w:tcW w:w="220" w:type="dxa"/>
            <w:vAlign w:val="bottom"/>
            <w:shd w:val="clear" w:color="auto" w:fill="E5F1EE"/>
          </w:tcPr>
          <w:p>
            <w:pPr>
              <w:spacing w:after="0"/>
              <w:rPr>
                <w:sz w:val="13"/>
                <w:szCs w:val="13"/>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2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264</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4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FDIC assessments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24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122</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240" w:type="dxa"/>
            <w:vAlign w:val="bottom"/>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40</w:t>
            </w:r>
          </w:p>
        </w:tc>
      </w:tr>
      <w:tr>
        <w:trPr>
          <w:trHeight w:val="153"/>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Advertising and marketing</w:t>
            </w:r>
          </w:p>
        </w:tc>
        <w:tc>
          <w:tcPr>
            <w:tcW w:w="220" w:type="dxa"/>
            <w:vAlign w:val="bottom"/>
            <w:shd w:val="clear" w:color="auto" w:fill="E5F1EE"/>
          </w:tcPr>
          <w:p>
            <w:pPr>
              <w:spacing w:after="0"/>
              <w:rPr>
                <w:sz w:val="13"/>
                <w:szCs w:val="13"/>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18</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74</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-10</w:t>
            </w:r>
          </w:p>
        </w:tc>
      </w:tr>
      <w:tr>
        <w:trPr>
          <w:trHeight w:val="117"/>
        </w:trPr>
        <w:tc>
          <w:tcPr>
            <w:tcW w:w="4460" w:type="dxa"/>
            <w:vAlign w:val="bottom"/>
          </w:tcPr>
          <w:p>
            <w:pPr>
              <w:ind w:left="140"/>
              <w:spacing w:after="0" w:line="117" w:lineRule="exact"/>
              <w:rPr>
                <w:sz w:val="20"/>
                <w:szCs w:val="20"/>
                <w:color w:val="auto"/>
              </w:rPr>
            </w:pPr>
            <w:r>
              <w:rPr>
                <w:rFonts w:ascii="Times New Roman" w:cs="Times New Roman" w:eastAsia="Times New Roman" w:hAnsi="Times New Roman"/>
                <w:sz w:val="12"/>
                <w:szCs w:val="12"/>
                <w:color w:val="auto"/>
              </w:rPr>
              <w:t>Amortization of core deposit and other</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62"/>
        </w:trPr>
        <w:tc>
          <w:tcPr>
            <w:tcW w:w="4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40" w:type="dxa"/>
            <w:vAlign w:val="bottom"/>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240" w:type="dxa"/>
            <w:vAlign w:val="bottom"/>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446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costs of operations</w:t>
            </w:r>
          </w:p>
        </w:tc>
        <w:tc>
          <w:tcPr>
            <w:tcW w:w="220" w:type="dxa"/>
            <w:vAlign w:val="bottom"/>
            <w:tcBorders>
              <w:bottom w:val="single" w:sz="8" w:color="auto"/>
            </w:tcBorders>
            <w:shd w:val="clear" w:color="auto" w:fill="E5F1EE"/>
          </w:tcPr>
          <w:p>
            <w:pPr>
              <w:spacing w:after="0"/>
              <w:rPr>
                <w:sz w:val="13"/>
                <w:szCs w:val="13"/>
                <w:color w:val="auto"/>
              </w:rPr>
            </w:pPr>
          </w:p>
        </w:tc>
        <w:tc>
          <w:tcPr>
            <w:tcW w:w="7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20" w:type="dxa"/>
            <w:vAlign w:val="bottom"/>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spacing w:after="0"/>
              <w:rPr>
                <w:sz w:val="13"/>
                <w:szCs w:val="13"/>
                <w:color w:val="auto"/>
              </w:rPr>
            </w:pPr>
          </w:p>
        </w:tc>
        <w:tc>
          <w:tcPr>
            <w:tcW w:w="6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240" w:type="dxa"/>
            <w:vAlign w:val="bottom"/>
            <w:gridSpan w:val="2"/>
            <w:shd w:val="clear" w:color="auto" w:fill="E5F1EE"/>
          </w:tcPr>
          <w:p>
            <w:pPr>
              <w:jc w:val="right"/>
              <w:ind w:right="83"/>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72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378</w:t>
            </w:r>
          </w:p>
        </w:tc>
        <w:tc>
          <w:tcPr>
            <w:tcW w:w="200" w:type="dxa"/>
            <w:vAlign w:val="bottom"/>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spacing w:after="0"/>
              <w:rPr>
                <w:sz w:val="13"/>
                <w:szCs w:val="13"/>
                <w:color w:val="auto"/>
              </w:rPr>
            </w:pP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-9</w:t>
            </w:r>
          </w:p>
        </w:tc>
      </w:tr>
      <w:tr>
        <w:trPr>
          <w:trHeight w:val="142"/>
        </w:trPr>
        <w:tc>
          <w:tcPr>
            <w:tcW w:w="446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expense</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220" w:type="dxa"/>
            <w:vAlign w:val="bottom"/>
            <w:tcBorders>
              <w:bottom w:val="single" w:sz="8" w:color="E5F1EE"/>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1,278</w:t>
            </w:r>
          </w:p>
        </w:tc>
        <w:tc>
          <w:tcPr>
            <w:tcW w:w="1240" w:type="dxa"/>
            <w:vAlign w:val="bottom"/>
            <w:tcBorders>
              <w:bottom w:val="single" w:sz="8" w:color="E5F1EE"/>
            </w:tcBorders>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Borders>
              <w:bottom w:val="single" w:sz="8" w:color="E5F1EE"/>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3,996</w:t>
            </w:r>
          </w:p>
        </w:tc>
        <w:tc>
          <w:tcPr>
            <w:tcW w:w="200" w:type="dxa"/>
            <w:vAlign w:val="bottom"/>
            <w:tcBorders>
              <w:bottom w:val="single" w:sz="8" w:color="E5F1EE"/>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3,930</w:t>
            </w:r>
          </w:p>
        </w:tc>
        <w:tc>
          <w:tcPr>
            <w:tcW w:w="1240" w:type="dxa"/>
            <w:vAlign w:val="bottom"/>
            <w:tcBorders>
              <w:bottom w:val="single" w:sz="8" w:color="E5F1EE"/>
            </w:tcBorders>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2</w:t>
            </w:r>
          </w:p>
        </w:tc>
      </w:tr>
      <w:tr>
        <w:trPr>
          <w:trHeight w:val="142"/>
        </w:trPr>
        <w:tc>
          <w:tcPr>
            <w:tcW w:w="446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Income before taxes</w:t>
            </w:r>
          </w:p>
        </w:tc>
        <w:tc>
          <w:tcPr>
            <w:tcW w:w="220" w:type="dxa"/>
            <w:vAlign w:val="bottom"/>
            <w:shd w:val="clear" w:color="auto" w:fill="E5F1EE"/>
          </w:tcPr>
          <w:p>
            <w:pPr>
              <w:spacing w:after="0"/>
              <w:rPr>
                <w:sz w:val="12"/>
                <w:szCs w:val="12"/>
                <w:color w:val="auto"/>
              </w:rPr>
            </w:pPr>
          </w:p>
        </w:tc>
        <w:tc>
          <w:tcPr>
            <w:tcW w:w="7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909</w:t>
            </w:r>
          </w:p>
        </w:tc>
        <w:tc>
          <w:tcPr>
            <w:tcW w:w="220" w:type="dxa"/>
            <w:vAlign w:val="bottom"/>
            <w:shd w:val="clear" w:color="auto" w:fill="E5F1EE"/>
          </w:tcPr>
          <w:p>
            <w:pPr>
              <w:spacing w:after="0"/>
              <w:rPr>
                <w:sz w:val="12"/>
                <w:szCs w:val="12"/>
                <w:color w:val="auto"/>
              </w:rPr>
            </w:pPr>
          </w:p>
        </w:tc>
        <w:tc>
          <w:tcPr>
            <w:tcW w:w="320" w:type="dxa"/>
            <w:vAlign w:val="bottom"/>
            <w:shd w:val="clear" w:color="auto" w:fill="E5F1EE"/>
          </w:tcPr>
          <w:p>
            <w:pPr>
              <w:spacing w:after="0"/>
              <w:rPr>
                <w:sz w:val="12"/>
                <w:szCs w:val="12"/>
                <w:color w:val="auto"/>
              </w:rPr>
            </w:pPr>
          </w:p>
        </w:tc>
        <w:tc>
          <w:tcPr>
            <w:tcW w:w="6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907</w:t>
            </w:r>
          </w:p>
        </w:tc>
        <w:tc>
          <w:tcPr>
            <w:tcW w:w="220" w:type="dxa"/>
            <w:vAlign w:val="bottom"/>
            <w:shd w:val="clear" w:color="auto" w:fill="E5F1EE"/>
          </w:tcPr>
          <w:p>
            <w:pPr>
              <w:spacing w:after="0"/>
              <w:rPr>
                <w:sz w:val="12"/>
                <w:szCs w:val="12"/>
                <w:color w:val="auto"/>
              </w:rPr>
            </w:pPr>
          </w:p>
        </w:tc>
        <w:tc>
          <w:tcPr>
            <w:tcW w:w="1240" w:type="dxa"/>
            <w:vAlign w:val="bottom"/>
            <w:gridSpan w:val="2"/>
            <w:shd w:val="clear" w:color="auto" w:fill="E5F1EE"/>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E5F1EE"/>
          </w:tcPr>
          <w:p>
            <w:pPr>
              <w:spacing w:after="0"/>
              <w:rPr>
                <w:sz w:val="12"/>
                <w:szCs w:val="12"/>
                <w:color w:val="auto"/>
              </w:rPr>
            </w:pPr>
          </w:p>
        </w:tc>
        <w:tc>
          <w:tcPr>
            <w:tcW w:w="72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2,428</w:t>
            </w:r>
          </w:p>
        </w:tc>
        <w:tc>
          <w:tcPr>
            <w:tcW w:w="200" w:type="dxa"/>
            <w:vAlign w:val="bottom"/>
            <w:shd w:val="clear" w:color="auto" w:fill="E5F1EE"/>
          </w:tcPr>
          <w:p>
            <w:pPr>
              <w:spacing w:after="0"/>
              <w:rPr>
                <w:sz w:val="12"/>
                <w:szCs w:val="12"/>
                <w:color w:val="auto"/>
              </w:rPr>
            </w:pPr>
          </w:p>
        </w:tc>
        <w:tc>
          <w:tcPr>
            <w:tcW w:w="320" w:type="dxa"/>
            <w:vAlign w:val="bottom"/>
            <w:shd w:val="clear" w:color="auto" w:fill="E5F1EE"/>
          </w:tcPr>
          <w:p>
            <w:pPr>
              <w:spacing w:after="0"/>
              <w:rPr>
                <w:sz w:val="12"/>
                <w:szCs w:val="12"/>
                <w:color w:val="auto"/>
              </w:rPr>
            </w:pPr>
          </w:p>
        </w:tc>
        <w:tc>
          <w:tcPr>
            <w:tcW w:w="6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2,993</w:t>
            </w:r>
          </w:p>
        </w:tc>
        <w:tc>
          <w:tcPr>
            <w:tcW w:w="1240" w:type="dxa"/>
            <w:vAlign w:val="bottom"/>
            <w:gridSpan w:val="2"/>
            <w:shd w:val="clear" w:color="auto" w:fill="E5F1EE"/>
          </w:tcPr>
          <w:p>
            <w:pPr>
              <w:jc w:val="right"/>
              <w:ind w:right="104"/>
              <w:spacing w:after="0"/>
              <w:rPr>
                <w:sz w:val="20"/>
                <w:szCs w:val="20"/>
                <w:color w:val="auto"/>
              </w:rPr>
            </w:pPr>
            <w:r>
              <w:rPr>
                <w:rFonts w:ascii="Times New Roman" w:cs="Times New Roman" w:eastAsia="Times New Roman" w:hAnsi="Times New Roman"/>
                <w:sz w:val="12"/>
                <w:szCs w:val="12"/>
                <w:color w:val="auto"/>
              </w:rPr>
              <w:t>-19</w:t>
            </w:r>
          </w:p>
        </w:tc>
      </w:tr>
      <w:tr>
        <w:trPr>
          <w:trHeight w:val="153"/>
        </w:trPr>
        <w:tc>
          <w:tcPr>
            <w:tcW w:w="446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2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1240" w:type="dxa"/>
            <w:vAlign w:val="bottom"/>
            <w:tcBorders>
              <w:bottom w:val="single" w:sz="8" w:color="E5F1EE"/>
            </w:tcBorders>
            <w:gridSpan w:val="2"/>
          </w:tcPr>
          <w:p>
            <w:pPr>
              <w:jc w:val="right"/>
              <w:ind w:right="83"/>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521</w:t>
            </w:r>
          </w:p>
        </w:tc>
        <w:tc>
          <w:tcPr>
            <w:tcW w:w="20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734</w:t>
            </w:r>
          </w:p>
        </w:tc>
        <w:tc>
          <w:tcPr>
            <w:tcW w:w="1240" w:type="dxa"/>
            <w:vAlign w:val="bottom"/>
            <w:tcBorders>
              <w:bottom w:val="single" w:sz="8" w:color="E5F1EE"/>
            </w:tcBorders>
            <w:gridSpan w:val="2"/>
          </w:tcPr>
          <w:p>
            <w:pPr>
              <w:jc w:val="right"/>
              <w:ind w:right="104"/>
              <w:spacing w:after="0"/>
              <w:rPr>
                <w:sz w:val="20"/>
                <w:szCs w:val="20"/>
                <w:color w:val="auto"/>
              </w:rPr>
            </w:pPr>
            <w:r>
              <w:rPr>
                <w:rFonts w:ascii="Times New Roman" w:cs="Times New Roman" w:eastAsia="Times New Roman" w:hAnsi="Times New Roman"/>
                <w:sz w:val="12"/>
                <w:szCs w:val="12"/>
                <w:color w:val="auto"/>
              </w:rPr>
              <w:t>-29</w:t>
            </w:r>
          </w:p>
        </w:tc>
      </w:tr>
      <w:tr>
        <w:trPr>
          <w:trHeight w:val="158"/>
        </w:trPr>
        <w:tc>
          <w:tcPr>
            <w:tcW w:w="446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income</w:t>
            </w:r>
          </w:p>
        </w:tc>
        <w:tc>
          <w:tcPr>
            <w:tcW w:w="220" w:type="dxa"/>
            <w:vAlign w:val="bottom"/>
            <w:tcBorders>
              <w:bottom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220" w:type="dxa"/>
            <w:vAlign w:val="bottom"/>
            <w:tcBorders>
              <w:bottom w:val="single" w:sz="8" w:color="E5F1EE"/>
            </w:tcBorders>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2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220" w:type="dxa"/>
            <w:vAlign w:val="bottom"/>
            <w:tcBorders>
              <w:bottom w:val="single" w:sz="8" w:color="E5F1EE"/>
            </w:tcBorders>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1,907</w:t>
            </w:r>
          </w:p>
        </w:tc>
        <w:tc>
          <w:tcPr>
            <w:tcW w:w="200" w:type="dxa"/>
            <w:vAlign w:val="bottom"/>
            <w:tcBorders>
              <w:bottom w:val="single" w:sz="8" w:color="E5F1EE"/>
            </w:tcBorders>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2,259</w:t>
            </w:r>
          </w:p>
        </w:tc>
        <w:tc>
          <w:tcPr>
            <w:tcW w:w="1240" w:type="dxa"/>
            <w:vAlign w:val="bottom"/>
            <w:tcBorders>
              <w:bottom w:val="single" w:sz="8" w:color="E5F1EE"/>
            </w:tcBorders>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332" w:right="299" w:bottom="1440" w:gutter="0" w:footer="0" w:header="0"/>
        </w:sectPr>
      </w:pPr>
    </w:p>
    <w:bookmarkStart w:id="15" w:name="page16"/>
    <w:bookmarkEnd w:id="15"/>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Statement of Income, Five Quarter Trend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4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5"/>
              </w:rPr>
              <w:t>Three months ended</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18"/>
        </w:trPr>
        <w:tc>
          <w:tcPr>
            <w:tcW w:w="4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September 30,</w:t>
            </w:r>
          </w:p>
        </w:tc>
        <w:tc>
          <w:tcPr>
            <w:tcW w:w="240" w:type="dxa"/>
            <w:vAlign w:val="bottom"/>
          </w:tcPr>
          <w:p>
            <w:pPr>
              <w:spacing w:after="0"/>
              <w:rPr>
                <w:sz w:val="10"/>
                <w:szCs w:val="10"/>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June 30,</w:t>
            </w:r>
          </w:p>
        </w:tc>
        <w:tc>
          <w:tcPr>
            <w:tcW w:w="12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w w:val="97"/>
              </w:rPr>
              <w:t>March 31,</w:t>
            </w: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December 31,</w:t>
            </w:r>
          </w:p>
        </w:tc>
        <w:tc>
          <w:tcPr>
            <w:tcW w:w="180" w:type="dxa"/>
            <w:vAlign w:val="bottom"/>
          </w:tcPr>
          <w:p>
            <w:pPr>
              <w:spacing w:after="0"/>
              <w:rPr>
                <w:sz w:val="10"/>
                <w:szCs w:val="10"/>
                <w:color w:val="auto"/>
              </w:rPr>
            </w:pPr>
          </w:p>
        </w:tc>
        <w:tc>
          <w:tcPr>
            <w:tcW w:w="960" w:type="dxa"/>
            <w:vAlign w:val="bottom"/>
          </w:tcPr>
          <w:p>
            <w:pPr>
              <w:jc w:val="right"/>
              <w:ind w:right="241"/>
              <w:spacing w:after="0"/>
              <w:rPr>
                <w:sz w:val="20"/>
                <w:szCs w:val="20"/>
                <w:color w:val="auto"/>
              </w:rPr>
            </w:pPr>
            <w:r>
              <w:rPr>
                <w:rFonts w:ascii="Times New Roman" w:cs="Times New Roman" w:eastAsia="Times New Roman" w:hAnsi="Times New Roman"/>
                <w:sz w:val="10"/>
                <w:szCs w:val="10"/>
                <w:color w:val="auto"/>
              </w:rPr>
              <w:t>September 30,</w:t>
            </w:r>
          </w:p>
        </w:tc>
      </w:tr>
      <w:tr>
        <w:trPr>
          <w:trHeight w:val="138"/>
        </w:trPr>
        <w:tc>
          <w:tcPr>
            <w:tcW w:w="47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2024</w:t>
            </w:r>
          </w:p>
        </w:tc>
        <w:tc>
          <w:tcPr>
            <w:tcW w:w="220" w:type="dxa"/>
            <w:vAlign w:val="bottom"/>
            <w:tcBorders>
              <w:bottom w:val="single" w:sz="8" w:color="E5F1EE"/>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2024</w:t>
            </w:r>
          </w:p>
        </w:tc>
        <w:tc>
          <w:tcPr>
            <w:tcW w:w="220" w:type="dxa"/>
            <w:vAlign w:val="bottom"/>
            <w:tcBorders>
              <w:bottom w:val="single" w:sz="8" w:color="E5F1EE"/>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0"/>
                <w:szCs w:val="10"/>
                <w:color w:val="auto"/>
                <w:w w:val="89"/>
              </w:rPr>
              <w:t>2024</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2023</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2023</w:t>
            </w:r>
          </w:p>
        </w:tc>
      </w:tr>
      <w:tr>
        <w:trPr>
          <w:trHeight w:val="150"/>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2,785</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2,789</w:t>
            </w:r>
          </w:p>
        </w:tc>
        <w:tc>
          <w:tcPr>
            <w:tcW w:w="220" w:type="dxa"/>
            <w:vAlign w:val="bottom"/>
            <w:shd w:val="clear" w:color="auto" w:fill="E5F1EE"/>
          </w:tcPr>
          <w:p>
            <w:pPr>
              <w:spacing w:after="0"/>
              <w:rPr>
                <w:sz w:val="13"/>
                <w:szCs w:val="13"/>
                <w:color w:val="auto"/>
              </w:rPr>
            </w:pPr>
          </w:p>
        </w:tc>
        <w:tc>
          <w:tcPr>
            <w:tcW w:w="120" w:type="dxa"/>
            <w:vAlign w:val="bottom"/>
            <w:shd w:val="clear" w:color="auto" w:fill="E5F1EE"/>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2,745</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2,740</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2,641</w:t>
            </w:r>
          </w:p>
        </w:tc>
      </w:tr>
      <w:tr>
        <w:trPr>
          <w:trHeight w:val="153"/>
        </w:trPr>
        <w:tc>
          <w:tcPr>
            <w:tcW w:w="47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22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1,071</w:t>
            </w:r>
          </w:p>
        </w:tc>
        <w:tc>
          <w:tcPr>
            <w:tcW w:w="220" w:type="dxa"/>
            <w:vAlign w:val="bottom"/>
            <w:tcBorders>
              <w:bottom w:val="single" w:sz="8" w:color="E5F1EE"/>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1,018</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866</w:t>
            </w:r>
          </w:p>
        </w:tc>
      </w:tr>
      <w:tr>
        <w:trPr>
          <w:trHeight w:val="142"/>
        </w:trPr>
        <w:tc>
          <w:tcPr>
            <w:tcW w:w="47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w:t>
            </w: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1,726</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1,718</w:t>
            </w:r>
          </w:p>
        </w:tc>
        <w:tc>
          <w:tcPr>
            <w:tcW w:w="220" w:type="dxa"/>
            <w:vAlign w:val="bottom"/>
            <w:shd w:val="clear" w:color="auto" w:fill="E5F1EE"/>
          </w:tcPr>
          <w:p>
            <w:pPr>
              <w:spacing w:after="0"/>
              <w:rPr>
                <w:sz w:val="12"/>
                <w:szCs w:val="12"/>
                <w:color w:val="auto"/>
              </w:rPr>
            </w:pPr>
          </w:p>
        </w:tc>
        <w:tc>
          <w:tcPr>
            <w:tcW w:w="120" w:type="dxa"/>
            <w:vAlign w:val="bottom"/>
            <w:shd w:val="clear" w:color="auto" w:fill="E5F1EE"/>
          </w:tcPr>
          <w:p>
            <w:pPr>
              <w:spacing w:after="0"/>
              <w:rPr>
                <w:sz w:val="12"/>
                <w:szCs w:val="12"/>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1,680</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1,722</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1,775</w:t>
            </w:r>
          </w:p>
        </w:tc>
      </w:tr>
      <w:tr>
        <w:trPr>
          <w:trHeight w:val="153"/>
        </w:trPr>
        <w:tc>
          <w:tcPr>
            <w:tcW w:w="47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2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220" w:type="dxa"/>
            <w:vAlign w:val="bottom"/>
            <w:tcBorders>
              <w:bottom w:val="single" w:sz="8" w:color="E5F1EE"/>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225</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150</w:t>
            </w:r>
          </w:p>
        </w:tc>
      </w:tr>
      <w:tr>
        <w:trPr>
          <w:trHeight w:val="142"/>
        </w:trPr>
        <w:tc>
          <w:tcPr>
            <w:tcW w:w="47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Net interest income after provision for credit losses</w:t>
            </w:r>
          </w:p>
        </w:tc>
        <w:tc>
          <w:tcPr>
            <w:tcW w:w="180" w:type="dxa"/>
            <w:vAlign w:val="bottom"/>
            <w:tcBorders>
              <w:bottom w:val="single" w:sz="8" w:color="auto"/>
            </w:tcBorders>
            <w:shd w:val="clear" w:color="auto" w:fill="E5F1EE"/>
          </w:tcPr>
          <w:p>
            <w:pPr>
              <w:spacing w:after="0"/>
              <w:rPr>
                <w:sz w:val="12"/>
                <w:szCs w:val="12"/>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1,606</w:t>
            </w:r>
          </w:p>
        </w:tc>
        <w:tc>
          <w:tcPr>
            <w:tcW w:w="220" w:type="dxa"/>
            <w:vAlign w:val="bottom"/>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1,568</w:t>
            </w:r>
          </w:p>
        </w:tc>
        <w:tc>
          <w:tcPr>
            <w:tcW w:w="220" w:type="dxa"/>
            <w:vAlign w:val="bottom"/>
            <w:shd w:val="clear" w:color="auto" w:fill="E5F1EE"/>
          </w:tcPr>
          <w:p>
            <w:pPr>
              <w:spacing w:after="0"/>
              <w:rPr>
                <w:sz w:val="12"/>
                <w:szCs w:val="12"/>
                <w:color w:val="auto"/>
              </w:rPr>
            </w:pPr>
          </w:p>
        </w:tc>
        <w:tc>
          <w:tcPr>
            <w:tcW w:w="120" w:type="dxa"/>
            <w:vAlign w:val="bottom"/>
            <w:tcBorders>
              <w:bottom w:val="single" w:sz="8" w:color="auto"/>
            </w:tcBorders>
            <w:shd w:val="clear" w:color="auto" w:fill="E5F1EE"/>
          </w:tcPr>
          <w:p>
            <w:pPr>
              <w:spacing w:after="0"/>
              <w:rPr>
                <w:sz w:val="12"/>
                <w:szCs w:val="12"/>
                <w:color w:val="auto"/>
              </w:rPr>
            </w:pP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220" w:type="dxa"/>
            <w:vAlign w:val="bottom"/>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spacing w:after="0"/>
              <w:rPr>
                <w:sz w:val="12"/>
                <w:szCs w:val="12"/>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1,497</w:t>
            </w:r>
          </w:p>
        </w:tc>
        <w:tc>
          <w:tcPr>
            <w:tcW w:w="220" w:type="dxa"/>
            <w:vAlign w:val="bottom"/>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spacing w:after="0"/>
              <w:rPr>
                <w:sz w:val="12"/>
                <w:szCs w:val="12"/>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1,625</w:t>
            </w:r>
          </w:p>
        </w:tc>
      </w:tr>
      <w:tr>
        <w:trPr>
          <w:trHeight w:val="133"/>
        </w:trPr>
        <w:tc>
          <w:tcPr>
            <w:tcW w:w="47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income</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Mortgage banking revenues</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20" w:type="dxa"/>
            <w:vAlign w:val="bottom"/>
            <w:shd w:val="clear" w:color="auto" w:fill="E5F1EE"/>
          </w:tcPr>
          <w:p>
            <w:pPr>
              <w:spacing w:after="0"/>
              <w:rPr>
                <w:sz w:val="13"/>
                <w:szCs w:val="13"/>
                <w:color w:val="auto"/>
              </w:rPr>
            </w:pPr>
          </w:p>
        </w:tc>
        <w:tc>
          <w:tcPr>
            <w:tcW w:w="12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112</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105</w:t>
            </w: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Service charges on deposit accounts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121</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Trust income</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20" w:type="dxa"/>
            <w:vAlign w:val="bottom"/>
            <w:shd w:val="clear" w:color="auto" w:fill="E5F1EE"/>
          </w:tcPr>
          <w:p>
            <w:pPr>
              <w:spacing w:after="0"/>
              <w:rPr>
                <w:sz w:val="13"/>
                <w:szCs w:val="13"/>
                <w:color w:val="auto"/>
              </w:rPr>
            </w:pPr>
          </w:p>
        </w:tc>
        <w:tc>
          <w:tcPr>
            <w:tcW w:w="12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159</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155</w:t>
            </w: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Brokerage services income</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w:t>
            </w:r>
          </w:p>
        </w:tc>
      </w:tr>
      <w:tr>
        <w:trPr>
          <w:trHeight w:val="117"/>
        </w:trPr>
        <w:tc>
          <w:tcPr>
            <w:tcW w:w="4720" w:type="dxa"/>
            <w:vAlign w:val="bottom"/>
            <w:shd w:val="clear" w:color="auto" w:fill="E5F1EE"/>
          </w:tcPr>
          <w:p>
            <w:pPr>
              <w:ind w:left="140"/>
              <w:spacing w:after="0" w:line="117" w:lineRule="exact"/>
              <w:rPr>
                <w:sz w:val="20"/>
                <w:szCs w:val="20"/>
                <w:color w:val="auto"/>
              </w:rPr>
            </w:pPr>
            <w:r>
              <w:rPr>
                <w:rFonts w:ascii="Times New Roman" w:cs="Times New Roman" w:eastAsia="Times New Roman" w:hAnsi="Times New Roman"/>
                <w:sz w:val="12"/>
                <w:szCs w:val="12"/>
                <w:color w:val="auto"/>
              </w:rPr>
              <w:t>Trading account and other non-hedging</w:t>
            </w:r>
          </w:p>
        </w:tc>
        <w:tc>
          <w:tcPr>
            <w:tcW w:w="180" w:type="dxa"/>
            <w:vAlign w:val="bottom"/>
            <w:shd w:val="clear" w:color="auto" w:fill="E5F1EE"/>
          </w:tcPr>
          <w:p>
            <w:pPr>
              <w:spacing w:after="0"/>
              <w:rPr>
                <w:sz w:val="10"/>
                <w:szCs w:val="10"/>
                <w:color w:val="auto"/>
              </w:rPr>
            </w:pPr>
          </w:p>
        </w:tc>
        <w:tc>
          <w:tcPr>
            <w:tcW w:w="96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90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10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96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80" w:type="dxa"/>
            <w:vAlign w:val="bottom"/>
            <w:shd w:val="clear" w:color="auto" w:fill="E5F1EE"/>
          </w:tcPr>
          <w:p>
            <w:pPr>
              <w:spacing w:after="0"/>
              <w:rPr>
                <w:sz w:val="10"/>
                <w:szCs w:val="10"/>
                <w:color w:val="auto"/>
              </w:rPr>
            </w:pPr>
          </w:p>
        </w:tc>
        <w:tc>
          <w:tcPr>
            <w:tcW w:w="960" w:type="dxa"/>
            <w:vAlign w:val="bottom"/>
            <w:shd w:val="clear" w:color="auto" w:fill="E5F1EE"/>
          </w:tcPr>
          <w:p>
            <w:pPr>
              <w:spacing w:after="0"/>
              <w:rPr>
                <w:sz w:val="10"/>
                <w:szCs w:val="10"/>
                <w:color w:val="auto"/>
              </w:rPr>
            </w:pPr>
          </w:p>
        </w:tc>
      </w:tr>
      <w:tr>
        <w:trPr>
          <w:trHeight w:val="162"/>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derivative gains</w:t>
            </w:r>
          </w:p>
        </w:tc>
        <w:tc>
          <w:tcPr>
            <w:tcW w:w="180" w:type="dxa"/>
            <w:vAlign w:val="bottom"/>
            <w:shd w:val="clear" w:color="auto" w:fill="E5F1EE"/>
          </w:tcPr>
          <w:p>
            <w:pPr>
              <w:spacing w:after="0"/>
              <w:rPr>
                <w:sz w:val="14"/>
                <w:szCs w:val="14"/>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shd w:val="clear" w:color="auto" w:fill="E5F1EE"/>
          </w:tcPr>
          <w:p>
            <w:pPr>
              <w:spacing w:after="0"/>
              <w:rPr>
                <w:sz w:val="14"/>
                <w:szCs w:val="14"/>
                <w:color w:val="auto"/>
              </w:rPr>
            </w:pPr>
          </w:p>
        </w:tc>
        <w:tc>
          <w:tcPr>
            <w:tcW w:w="240" w:type="dxa"/>
            <w:vAlign w:val="bottom"/>
            <w:shd w:val="clear" w:color="auto" w:fill="E5F1EE"/>
          </w:tcPr>
          <w:p>
            <w:pPr>
              <w:spacing w:after="0"/>
              <w:rPr>
                <w:sz w:val="14"/>
                <w:szCs w:val="14"/>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shd w:val="clear" w:color="auto" w:fill="E5F1EE"/>
          </w:tcPr>
          <w:p>
            <w:pPr>
              <w:spacing w:after="0"/>
              <w:rPr>
                <w:sz w:val="14"/>
                <w:szCs w:val="14"/>
                <w:color w:val="auto"/>
              </w:rPr>
            </w:pPr>
          </w:p>
        </w:tc>
        <w:tc>
          <w:tcPr>
            <w:tcW w:w="180" w:type="dxa"/>
            <w:vAlign w:val="bottom"/>
            <w:shd w:val="clear" w:color="auto" w:fill="E5F1EE"/>
          </w:tcPr>
          <w:p>
            <w:pPr>
              <w:spacing w:after="0"/>
              <w:rPr>
                <w:sz w:val="14"/>
                <w:szCs w:val="14"/>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shd w:val="clear" w:color="auto" w:fill="E5F1EE"/>
          </w:tcPr>
          <w:p>
            <w:pPr>
              <w:spacing w:after="0"/>
              <w:rPr>
                <w:sz w:val="14"/>
                <w:szCs w:val="14"/>
                <w:color w:val="auto"/>
              </w:rPr>
            </w:pPr>
          </w:p>
        </w:tc>
        <w:tc>
          <w:tcPr>
            <w:tcW w:w="180" w:type="dxa"/>
            <w:vAlign w:val="bottom"/>
            <w:shd w:val="clear" w:color="auto" w:fill="E5F1EE"/>
          </w:tcPr>
          <w:p>
            <w:pPr>
              <w:spacing w:after="0"/>
              <w:rPr>
                <w:sz w:val="14"/>
                <w:szCs w:val="14"/>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9</w:t>
            </w: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Gain (loss) on bank investment securities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revenues from operations</w:t>
            </w: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spacing w:after="0"/>
              <w:rPr>
                <w:sz w:val="13"/>
                <w:szCs w:val="13"/>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shd w:val="clear" w:color="auto" w:fill="E5F1EE"/>
          </w:tcPr>
          <w:p>
            <w:pPr>
              <w:spacing w:after="0"/>
              <w:rPr>
                <w:sz w:val="13"/>
                <w:szCs w:val="13"/>
                <w:color w:val="auto"/>
              </w:rPr>
            </w:pPr>
          </w:p>
        </w:tc>
        <w:tc>
          <w:tcPr>
            <w:tcW w:w="120" w:type="dxa"/>
            <w:vAlign w:val="bottom"/>
            <w:tcBorders>
              <w:bottom w:val="single" w:sz="8" w:color="auto"/>
            </w:tcBorders>
            <w:shd w:val="clear" w:color="auto" w:fill="E5F1EE"/>
          </w:tcPr>
          <w:p>
            <w:pPr>
              <w:spacing w:after="0"/>
              <w:rPr>
                <w:sz w:val="13"/>
                <w:szCs w:val="13"/>
                <w:color w:val="auto"/>
              </w:rPr>
            </w:pP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143</w:t>
            </w:r>
          </w:p>
        </w:tc>
      </w:tr>
      <w:tr>
        <w:trPr>
          <w:trHeight w:val="142"/>
        </w:trPr>
        <w:tc>
          <w:tcPr>
            <w:tcW w:w="472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income</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220" w:type="dxa"/>
            <w:vAlign w:val="bottom"/>
            <w:tcBorders>
              <w:bottom w:val="single" w:sz="8" w:color="E5F1EE"/>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220" w:type="dxa"/>
            <w:vAlign w:val="bottom"/>
            <w:tcBorders>
              <w:bottom w:val="single" w:sz="8" w:color="E5F1EE"/>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578</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560</w:t>
            </w:r>
          </w:p>
        </w:tc>
      </w:tr>
      <w:tr>
        <w:trPr>
          <w:trHeight w:val="133"/>
        </w:trPr>
        <w:tc>
          <w:tcPr>
            <w:tcW w:w="4720" w:type="dxa"/>
            <w:vAlign w:val="bottom"/>
            <w:shd w:val="clear" w:color="auto" w:fill="E5F1EE"/>
          </w:tcPr>
          <w:p>
            <w:pPr>
              <w:spacing w:after="0" w:line="133" w:lineRule="exact"/>
              <w:rPr>
                <w:sz w:val="20"/>
                <w:szCs w:val="20"/>
                <w:color w:val="auto"/>
              </w:rPr>
            </w:pPr>
            <w:r>
              <w:rPr>
                <w:rFonts w:ascii="Times New Roman" w:cs="Times New Roman" w:eastAsia="Times New Roman" w:hAnsi="Times New Roman"/>
                <w:sz w:val="12"/>
                <w:szCs w:val="12"/>
                <w:color w:val="auto"/>
              </w:rPr>
              <w:t>Other expense</w:t>
            </w: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40" w:type="dxa"/>
            <w:vAlign w:val="bottom"/>
            <w:shd w:val="clear" w:color="auto" w:fill="E5F1EE"/>
          </w:tcPr>
          <w:p>
            <w:pPr>
              <w:spacing w:after="0"/>
              <w:rPr>
                <w:sz w:val="11"/>
                <w:szCs w:val="11"/>
                <w:color w:val="auto"/>
              </w:rPr>
            </w:pPr>
          </w:p>
        </w:tc>
        <w:tc>
          <w:tcPr>
            <w:tcW w:w="9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10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180" w:type="dxa"/>
            <w:vAlign w:val="bottom"/>
            <w:shd w:val="clear" w:color="auto" w:fill="E5F1EE"/>
          </w:tcPr>
          <w:p>
            <w:pPr>
              <w:spacing w:after="0"/>
              <w:rPr>
                <w:sz w:val="11"/>
                <w:szCs w:val="11"/>
                <w:color w:val="auto"/>
              </w:rPr>
            </w:pPr>
          </w:p>
        </w:tc>
        <w:tc>
          <w:tcPr>
            <w:tcW w:w="960" w:type="dxa"/>
            <w:vAlign w:val="bottom"/>
            <w:shd w:val="clear" w:color="auto" w:fill="E5F1EE"/>
          </w:tcPr>
          <w:p>
            <w:pPr>
              <w:spacing w:after="0"/>
              <w:rPr>
                <w:sz w:val="11"/>
                <w:szCs w:val="11"/>
                <w:color w:val="auto"/>
              </w:rPr>
            </w:pP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727</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Equipment and net occupancy</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shd w:val="clear" w:color="auto" w:fill="E5F1EE"/>
          </w:tcPr>
          <w:p>
            <w:pPr>
              <w:spacing w:after="0"/>
              <w:rPr>
                <w:sz w:val="13"/>
                <w:szCs w:val="13"/>
                <w:color w:val="auto"/>
              </w:rPr>
            </w:pPr>
          </w:p>
        </w:tc>
        <w:tc>
          <w:tcPr>
            <w:tcW w:w="12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134</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131</w:t>
            </w: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Outside data processing and software</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111</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Professional and other services</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220" w:type="dxa"/>
            <w:vAlign w:val="bottom"/>
            <w:shd w:val="clear" w:color="auto" w:fill="E5F1EE"/>
          </w:tcPr>
          <w:p>
            <w:pPr>
              <w:spacing w:after="0"/>
              <w:rPr>
                <w:sz w:val="13"/>
                <w:szCs w:val="13"/>
                <w:color w:val="auto"/>
              </w:rPr>
            </w:pPr>
          </w:p>
        </w:tc>
        <w:tc>
          <w:tcPr>
            <w:tcW w:w="12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99</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89</w:t>
            </w: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FDIC assessments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228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Advertising and marketing</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20" w:type="dxa"/>
            <w:vAlign w:val="bottom"/>
            <w:shd w:val="clear" w:color="auto" w:fill="E5F1EE"/>
          </w:tcPr>
          <w:p>
            <w:pPr>
              <w:spacing w:after="0"/>
              <w:rPr>
                <w:sz w:val="13"/>
                <w:szCs w:val="13"/>
                <w:color w:val="auto"/>
              </w:rPr>
            </w:pPr>
          </w:p>
        </w:tc>
        <w:tc>
          <w:tcPr>
            <w:tcW w:w="120" w:type="dxa"/>
            <w:vAlign w:val="bottom"/>
            <w:shd w:val="clear" w:color="auto" w:fill="E5F1EE"/>
          </w:tcPr>
          <w:p>
            <w:pPr>
              <w:spacing w:after="0"/>
              <w:rPr>
                <w:sz w:val="13"/>
                <w:szCs w:val="13"/>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23</w:t>
            </w:r>
          </w:p>
        </w:tc>
      </w:tr>
      <w:tr>
        <w:trPr>
          <w:trHeight w:val="117"/>
        </w:trPr>
        <w:tc>
          <w:tcPr>
            <w:tcW w:w="4720" w:type="dxa"/>
            <w:vAlign w:val="bottom"/>
          </w:tcPr>
          <w:p>
            <w:pPr>
              <w:ind w:left="140"/>
              <w:spacing w:after="0" w:line="117" w:lineRule="exact"/>
              <w:rPr>
                <w:sz w:val="20"/>
                <w:szCs w:val="20"/>
                <w:color w:val="auto"/>
              </w:rPr>
            </w:pPr>
            <w:r>
              <w:rPr>
                <w:rFonts w:ascii="Times New Roman" w:cs="Times New Roman" w:eastAsia="Times New Roman" w:hAnsi="Times New Roman"/>
                <w:sz w:val="12"/>
                <w:szCs w:val="12"/>
                <w:color w:val="auto"/>
              </w:rPr>
              <w:t>Amortization of core deposit and other</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2"/>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intangible assets</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Other costs of operations</w:t>
            </w: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20" w:type="dxa"/>
            <w:vAlign w:val="bottom"/>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spacing w:after="0"/>
              <w:rPr>
                <w:sz w:val="13"/>
                <w:szCs w:val="13"/>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20" w:type="dxa"/>
            <w:vAlign w:val="bottom"/>
            <w:shd w:val="clear" w:color="auto" w:fill="E5F1EE"/>
          </w:tcPr>
          <w:p>
            <w:pPr>
              <w:spacing w:after="0"/>
              <w:rPr>
                <w:sz w:val="13"/>
                <w:szCs w:val="13"/>
                <w:color w:val="auto"/>
              </w:rPr>
            </w:pPr>
          </w:p>
        </w:tc>
        <w:tc>
          <w:tcPr>
            <w:tcW w:w="120" w:type="dxa"/>
            <w:vAlign w:val="bottom"/>
            <w:tcBorders>
              <w:bottom w:val="single" w:sz="8" w:color="auto"/>
            </w:tcBorders>
            <w:shd w:val="clear" w:color="auto" w:fill="E5F1EE"/>
          </w:tcPr>
          <w:p>
            <w:pPr>
              <w:spacing w:after="0"/>
              <w:rPr>
                <w:sz w:val="13"/>
                <w:szCs w:val="13"/>
                <w:color w:val="auto"/>
              </w:rPr>
            </w:pP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110</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153</w:t>
            </w:r>
          </w:p>
        </w:tc>
      </w:tr>
      <w:tr>
        <w:trPr>
          <w:trHeight w:val="142"/>
        </w:trPr>
        <w:tc>
          <w:tcPr>
            <w:tcW w:w="472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other expense</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220" w:type="dxa"/>
            <w:vAlign w:val="bottom"/>
            <w:tcBorders>
              <w:bottom w:val="single" w:sz="8" w:color="E5F1EE"/>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1,297</w:t>
            </w:r>
          </w:p>
        </w:tc>
        <w:tc>
          <w:tcPr>
            <w:tcW w:w="220" w:type="dxa"/>
            <w:vAlign w:val="bottom"/>
            <w:tcBorders>
              <w:bottom w:val="single" w:sz="8" w:color="E5F1EE"/>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1,396</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1,450</w:t>
            </w:r>
          </w:p>
        </w:tc>
        <w:tc>
          <w:tcPr>
            <w:tcW w:w="220" w:type="dxa"/>
            <w:vAlign w:val="bottom"/>
            <w:tcBorders>
              <w:bottom w:val="single" w:sz="8" w:color="E5F1EE"/>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1,278</w:t>
            </w:r>
          </w:p>
        </w:tc>
      </w:tr>
      <w:tr>
        <w:trPr>
          <w:trHeight w:val="142"/>
        </w:trPr>
        <w:tc>
          <w:tcPr>
            <w:tcW w:w="47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Income before taxes</w:t>
            </w: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909</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855</w:t>
            </w:r>
          </w:p>
        </w:tc>
        <w:tc>
          <w:tcPr>
            <w:tcW w:w="220" w:type="dxa"/>
            <w:vAlign w:val="bottom"/>
            <w:shd w:val="clear" w:color="auto" w:fill="E5F1EE"/>
          </w:tcPr>
          <w:p>
            <w:pPr>
              <w:spacing w:after="0"/>
              <w:rPr>
                <w:sz w:val="12"/>
                <w:szCs w:val="12"/>
                <w:color w:val="auto"/>
              </w:rPr>
            </w:pPr>
          </w:p>
        </w:tc>
        <w:tc>
          <w:tcPr>
            <w:tcW w:w="120" w:type="dxa"/>
            <w:vAlign w:val="bottom"/>
            <w:shd w:val="clear" w:color="auto" w:fill="E5F1EE"/>
          </w:tcPr>
          <w:p>
            <w:pPr>
              <w:spacing w:after="0"/>
              <w:rPr>
                <w:sz w:val="12"/>
                <w:szCs w:val="12"/>
                <w:color w:val="auto"/>
              </w:rPr>
            </w:pPr>
          </w:p>
        </w:tc>
        <w:tc>
          <w:tcPr>
            <w:tcW w:w="10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664</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625</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907</w:t>
            </w:r>
          </w:p>
        </w:tc>
      </w:tr>
      <w:tr>
        <w:trPr>
          <w:trHeight w:val="153"/>
        </w:trPr>
        <w:tc>
          <w:tcPr>
            <w:tcW w:w="47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Income taxes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2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220" w:type="dxa"/>
            <w:vAlign w:val="bottom"/>
            <w:tcBorders>
              <w:bottom w:val="single" w:sz="8" w:color="E5F1EE"/>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143</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217</w:t>
            </w:r>
          </w:p>
        </w:tc>
      </w:tr>
      <w:tr>
        <w:trPr>
          <w:trHeight w:val="158"/>
        </w:trPr>
        <w:tc>
          <w:tcPr>
            <w:tcW w:w="472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12"/>
                <w:szCs w:val="12"/>
                <w:color w:val="auto"/>
              </w:rPr>
              <w:t>Net income</w:t>
            </w:r>
          </w:p>
        </w:tc>
        <w:tc>
          <w:tcPr>
            <w:tcW w:w="180" w:type="dxa"/>
            <w:vAlign w:val="bottom"/>
            <w:tcBorders>
              <w:bottom w:val="single" w:sz="8" w:color="auto"/>
            </w:tcBorders>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721</w:t>
            </w:r>
          </w:p>
        </w:tc>
        <w:tc>
          <w:tcPr>
            <w:tcW w:w="220" w:type="dxa"/>
            <w:vAlign w:val="bottom"/>
            <w:tcBorders>
              <w:bottom w:val="single" w:sz="8" w:color="E5F1EE"/>
            </w:tcBorders>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655</w:t>
            </w:r>
          </w:p>
        </w:tc>
        <w:tc>
          <w:tcPr>
            <w:tcW w:w="220" w:type="dxa"/>
            <w:vAlign w:val="bottom"/>
            <w:tcBorders>
              <w:bottom w:val="single" w:sz="8" w:color="E5F1EE"/>
            </w:tcBorders>
            <w:shd w:val="clear" w:color="auto" w:fill="E5F1EE"/>
          </w:tcPr>
          <w:p>
            <w:pPr>
              <w:spacing w:after="0"/>
              <w:rPr>
                <w:sz w:val="13"/>
                <w:szCs w:val="13"/>
                <w:color w:val="auto"/>
              </w:rPr>
            </w:pPr>
          </w:p>
        </w:tc>
        <w:tc>
          <w:tcPr>
            <w:tcW w:w="120" w:type="dxa"/>
            <w:vAlign w:val="bottom"/>
            <w:tcBorders>
              <w:bottom w:val="single" w:sz="8" w:color="auto"/>
            </w:tcBorders>
            <w:shd w:val="clear" w:color="auto" w:fill="E5F1EE"/>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531</w:t>
            </w:r>
          </w:p>
        </w:tc>
        <w:tc>
          <w:tcPr>
            <w:tcW w:w="220" w:type="dxa"/>
            <w:vAlign w:val="bottom"/>
            <w:tcBorders>
              <w:bottom w:val="single" w:sz="8" w:color="E5F1EE"/>
            </w:tcBorders>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482</w:t>
            </w:r>
          </w:p>
        </w:tc>
        <w:tc>
          <w:tcPr>
            <w:tcW w:w="220" w:type="dxa"/>
            <w:vAlign w:val="bottom"/>
            <w:tcBorders>
              <w:bottom w:val="single" w:sz="8" w:color="E5F1EE"/>
            </w:tcBorders>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690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332" w:right="299" w:bottom="1440" w:gutter="0" w:footer="0" w:header="0"/>
        </w:sectPr>
      </w:pPr>
    </w:p>
    <w:bookmarkStart w:id="16" w:name="page17"/>
    <w:bookmarkEnd w:id="16"/>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Balance Sheet</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0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0"/>
                <w:szCs w:val="10"/>
                <w:color w:val="auto"/>
              </w:rPr>
              <w:t>September 30,</w:t>
            </w:r>
          </w:p>
        </w:tc>
        <w:tc>
          <w:tcPr>
            <w:tcW w:w="8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020" w:type="dxa"/>
            <w:vAlign w:val="bottom"/>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(Dollars in millions)</w:t>
            </w:r>
          </w:p>
        </w:tc>
        <w:tc>
          <w:tcPr>
            <w:tcW w:w="33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2024</w:t>
            </w:r>
          </w:p>
        </w:tc>
        <w:tc>
          <w:tcPr>
            <w:tcW w:w="20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0"/>
                <w:szCs w:val="10"/>
                <w:color w:val="auto"/>
              </w:rPr>
              <w:t>2023</w:t>
            </w:r>
          </w:p>
        </w:tc>
        <w:tc>
          <w:tcPr>
            <w:tcW w:w="200" w:type="dxa"/>
            <w:vAlign w:val="bottom"/>
          </w:tcPr>
          <w:p>
            <w:pPr>
              <w:spacing w:after="0"/>
              <w:rPr>
                <w:sz w:val="10"/>
                <w:szCs w:val="10"/>
                <w:color w:val="auto"/>
              </w:rPr>
            </w:pPr>
          </w:p>
        </w:tc>
        <w:tc>
          <w:tcPr>
            <w:tcW w:w="12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0"/>
                <w:szCs w:val="10"/>
                <w:color w:val="auto"/>
              </w:rPr>
              <w:t>Change</w:t>
            </w:r>
          </w:p>
        </w:tc>
        <w:tc>
          <w:tcPr>
            <w:tcW w:w="0" w:type="dxa"/>
            <w:vAlign w:val="bottom"/>
          </w:tcPr>
          <w:p>
            <w:pPr>
              <w:spacing w:after="0"/>
              <w:rPr>
                <w:sz w:val="1"/>
                <w:szCs w:val="1"/>
                <w:color w:val="auto"/>
              </w:rPr>
            </w:pPr>
          </w:p>
        </w:tc>
      </w:tr>
      <w:tr>
        <w:trPr>
          <w:trHeight w:val="144"/>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ASSETS</w:t>
            </w: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Cash and due from banks</w:t>
            </w:r>
          </w:p>
        </w:tc>
        <w:tc>
          <w:tcPr>
            <w:tcW w:w="3640" w:type="dxa"/>
            <w:vAlign w:val="bottom"/>
            <w:gridSpan w:val="2"/>
            <w:shd w:val="clear" w:color="auto" w:fill="E5F1EE"/>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2,216</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1,769</w:t>
            </w:r>
          </w:p>
        </w:tc>
        <w:tc>
          <w:tcPr>
            <w:tcW w:w="14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25 %</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deposits at banks</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24,417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30,114</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Trading account</w:t>
            </w:r>
          </w:p>
        </w:tc>
        <w:tc>
          <w:tcPr>
            <w:tcW w:w="336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102</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Investment securities</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32,327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27,336</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Loans and leases, net of unearned discount:</w:t>
            </w:r>
          </w:p>
        </w:tc>
        <w:tc>
          <w:tcPr>
            <w:tcW w:w="336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86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820" w:type="dxa"/>
            <w:vAlign w:val="bottom"/>
            <w:shd w:val="clear" w:color="auto" w:fill="E5F1EE"/>
          </w:tcPr>
          <w:p>
            <w:pPr>
              <w:spacing w:after="0"/>
              <w:rPr>
                <w:sz w:val="13"/>
                <w:szCs w:val="13"/>
                <w:color w:val="auto"/>
              </w:rPr>
            </w:pPr>
          </w:p>
        </w:tc>
        <w:tc>
          <w:tcPr>
            <w:tcW w:w="200" w:type="dxa"/>
            <w:vAlign w:val="bottom"/>
            <w:shd w:val="clear" w:color="auto" w:fill="E5F1EE"/>
          </w:tcPr>
          <w:p>
            <w:pPr>
              <w:spacing w:after="0"/>
              <w:rPr>
                <w:sz w:val="13"/>
                <w:szCs w:val="13"/>
                <w:color w:val="auto"/>
              </w:rPr>
            </w:pPr>
          </w:p>
        </w:tc>
        <w:tc>
          <w:tcPr>
            <w:tcW w:w="1240" w:type="dxa"/>
            <w:vAlign w:val="bottom"/>
            <w:shd w:val="clear" w:color="auto" w:fill="E5F1E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61,012</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54,891</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11</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Real estate - commercial</w:t>
            </w:r>
          </w:p>
        </w:tc>
        <w:tc>
          <w:tcPr>
            <w:tcW w:w="336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28,683</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33,741</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53"/>
        </w:trPr>
        <w:tc>
          <w:tcPr>
            <w:tcW w:w="4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Real estate - consumer</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23,019</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23,448</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Consumer</w:t>
            </w:r>
          </w:p>
        </w:tc>
        <w:tc>
          <w:tcPr>
            <w:tcW w:w="336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8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23,206</w:t>
            </w:r>
          </w:p>
        </w:tc>
        <w:tc>
          <w:tcPr>
            <w:tcW w:w="200" w:type="dxa"/>
            <w:vAlign w:val="bottom"/>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20,275</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loans and leases, net</w:t>
            </w: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135,920</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132,355</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Less: allowance for credit losses</w:t>
            </w:r>
          </w:p>
        </w:tc>
        <w:tc>
          <w:tcPr>
            <w:tcW w:w="336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8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2,204</w:t>
            </w:r>
          </w:p>
        </w:tc>
        <w:tc>
          <w:tcPr>
            <w:tcW w:w="200" w:type="dxa"/>
            <w:vAlign w:val="bottom"/>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2,052</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loans and leases</w:t>
            </w:r>
          </w:p>
        </w:tc>
        <w:tc>
          <w:tcPr>
            <w:tcW w:w="3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133,716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130,303</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Goodwill</w:t>
            </w:r>
          </w:p>
        </w:tc>
        <w:tc>
          <w:tcPr>
            <w:tcW w:w="336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8,465</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00" w:type="dxa"/>
            <w:vAlign w:val="bottom"/>
            <w:shd w:val="clear" w:color="auto" w:fill="E5F1EE"/>
          </w:tcPr>
          <w:p>
            <w:pPr>
              <w:spacing w:after="0"/>
              <w:rPr>
                <w:sz w:val="13"/>
                <w:szCs w:val="13"/>
                <w:color w:val="auto"/>
              </w:rPr>
            </w:pPr>
          </w:p>
        </w:tc>
        <w:tc>
          <w:tcPr>
            <w:tcW w:w="1240" w:type="dxa"/>
            <w:vAlign w:val="bottom"/>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107</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360" w:type="dxa"/>
            <w:vAlign w:val="bottom"/>
            <w:shd w:val="clear" w:color="auto" w:fill="E5F1EE"/>
          </w:tcPr>
          <w:p>
            <w:pPr>
              <w:spacing w:after="0"/>
              <w:rPr>
                <w:sz w:val="13"/>
                <w:szCs w:val="13"/>
                <w:color w:val="auto"/>
              </w:rPr>
            </w:pPr>
          </w:p>
        </w:tc>
        <w:tc>
          <w:tcPr>
            <w:tcW w:w="280" w:type="dxa"/>
            <w:vAlign w:val="bottom"/>
            <w:tcBorders>
              <w:bottom w:val="single" w:sz="8" w:color="auto"/>
            </w:tcBorders>
            <w:shd w:val="clear" w:color="auto" w:fill="E5F1EE"/>
          </w:tcPr>
          <w:p>
            <w:pPr>
              <w:spacing w:after="0"/>
              <w:rPr>
                <w:sz w:val="13"/>
                <w:szCs w:val="13"/>
                <w:color w:val="auto"/>
              </w:rPr>
            </w:pPr>
          </w:p>
        </w:tc>
        <w:tc>
          <w:tcPr>
            <w:tcW w:w="8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10,435</w:t>
            </w:r>
          </w:p>
        </w:tc>
        <w:tc>
          <w:tcPr>
            <w:tcW w:w="200" w:type="dxa"/>
            <w:vAlign w:val="bottom"/>
            <w:shd w:val="clear" w:color="auto" w:fill="E5F1EE"/>
          </w:tcPr>
          <w:p>
            <w:pPr>
              <w:spacing w:after="0"/>
              <w:rPr>
                <w:sz w:val="13"/>
                <w:szCs w:val="13"/>
                <w:color w:val="auto"/>
              </w:rPr>
            </w:pPr>
          </w:p>
        </w:tc>
        <w:tc>
          <w:tcPr>
            <w:tcW w:w="320" w:type="dxa"/>
            <w:vAlign w:val="bottom"/>
            <w:tcBorders>
              <w:bottom w:val="single" w:sz="8" w:color="auto"/>
            </w:tcBorders>
            <w:shd w:val="clear" w:color="auto" w:fill="E5F1EE"/>
          </w:tcPr>
          <w:p>
            <w:pPr>
              <w:spacing w:after="0"/>
              <w:rPr>
                <w:sz w:val="13"/>
                <w:szCs w:val="13"/>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10,838</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8"/>
        </w:trPr>
        <w:tc>
          <w:tcPr>
            <w:tcW w:w="4020" w:type="dxa"/>
            <w:vAlign w:val="bottom"/>
            <w:tcBorders>
              <w:bottom w:val="single" w:sz="8" w:color="E5F1EE"/>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336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211,785</w:t>
            </w:r>
          </w:p>
        </w:tc>
        <w:tc>
          <w:tcPr>
            <w:tcW w:w="20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209,124</w:t>
            </w:r>
          </w:p>
        </w:tc>
        <w:tc>
          <w:tcPr>
            <w:tcW w:w="144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162"/>
        </w:trPr>
        <w:tc>
          <w:tcPr>
            <w:tcW w:w="4020" w:type="dxa"/>
            <w:vAlign w:val="bottom"/>
            <w:shd w:val="clear" w:color="auto" w:fill="E5F1EE"/>
          </w:tcPr>
          <w:p>
            <w:pPr>
              <w:spacing w:after="0"/>
              <w:rPr>
                <w:sz w:val="14"/>
                <w:szCs w:val="14"/>
                <w:color w:val="auto"/>
              </w:rPr>
            </w:pPr>
          </w:p>
        </w:tc>
        <w:tc>
          <w:tcPr>
            <w:tcW w:w="3360" w:type="dxa"/>
            <w:vAlign w:val="bottom"/>
            <w:shd w:val="clear" w:color="auto" w:fill="E5F1EE"/>
          </w:tcPr>
          <w:p>
            <w:pPr>
              <w:spacing w:after="0"/>
              <w:rPr>
                <w:sz w:val="14"/>
                <w:szCs w:val="14"/>
                <w:color w:val="auto"/>
              </w:rPr>
            </w:pPr>
          </w:p>
        </w:tc>
        <w:tc>
          <w:tcPr>
            <w:tcW w:w="280" w:type="dxa"/>
            <w:vAlign w:val="bottom"/>
            <w:shd w:val="clear" w:color="auto" w:fill="E5F1EE"/>
          </w:tcPr>
          <w:p>
            <w:pPr>
              <w:spacing w:after="0"/>
              <w:rPr>
                <w:sz w:val="14"/>
                <w:szCs w:val="14"/>
                <w:color w:val="auto"/>
              </w:rPr>
            </w:pPr>
          </w:p>
        </w:tc>
        <w:tc>
          <w:tcPr>
            <w:tcW w:w="860" w:type="dxa"/>
            <w:vAlign w:val="bottom"/>
            <w:shd w:val="clear" w:color="auto" w:fill="E5F1EE"/>
          </w:tcPr>
          <w:p>
            <w:pPr>
              <w:spacing w:after="0"/>
              <w:rPr>
                <w:sz w:val="14"/>
                <w:szCs w:val="14"/>
                <w:color w:val="auto"/>
              </w:rPr>
            </w:pPr>
          </w:p>
        </w:tc>
        <w:tc>
          <w:tcPr>
            <w:tcW w:w="200" w:type="dxa"/>
            <w:vAlign w:val="bottom"/>
            <w:shd w:val="clear" w:color="auto" w:fill="E5F1EE"/>
          </w:tcPr>
          <w:p>
            <w:pPr>
              <w:spacing w:after="0"/>
              <w:rPr>
                <w:sz w:val="14"/>
                <w:szCs w:val="14"/>
                <w:color w:val="auto"/>
              </w:rPr>
            </w:pPr>
          </w:p>
        </w:tc>
        <w:tc>
          <w:tcPr>
            <w:tcW w:w="320" w:type="dxa"/>
            <w:vAlign w:val="bottom"/>
            <w:shd w:val="clear" w:color="auto" w:fill="E5F1EE"/>
          </w:tcPr>
          <w:p>
            <w:pPr>
              <w:spacing w:after="0"/>
              <w:rPr>
                <w:sz w:val="14"/>
                <w:szCs w:val="14"/>
                <w:color w:val="auto"/>
              </w:rPr>
            </w:pPr>
          </w:p>
        </w:tc>
        <w:tc>
          <w:tcPr>
            <w:tcW w:w="820" w:type="dxa"/>
            <w:vAlign w:val="bottom"/>
            <w:shd w:val="clear" w:color="auto" w:fill="E5F1EE"/>
          </w:tcPr>
          <w:p>
            <w:pPr>
              <w:spacing w:after="0"/>
              <w:rPr>
                <w:sz w:val="14"/>
                <w:szCs w:val="14"/>
                <w:color w:val="auto"/>
              </w:rPr>
            </w:pPr>
          </w:p>
        </w:tc>
        <w:tc>
          <w:tcPr>
            <w:tcW w:w="200" w:type="dxa"/>
            <w:vAlign w:val="bottom"/>
            <w:shd w:val="clear" w:color="auto" w:fill="E5F1EE"/>
          </w:tcPr>
          <w:p>
            <w:pPr>
              <w:spacing w:after="0"/>
              <w:rPr>
                <w:sz w:val="14"/>
                <w:szCs w:val="14"/>
                <w:color w:val="auto"/>
              </w:rPr>
            </w:pPr>
          </w:p>
        </w:tc>
        <w:tc>
          <w:tcPr>
            <w:tcW w:w="1240" w:type="dxa"/>
            <w:vAlign w:val="bottom"/>
            <w:shd w:val="clear" w:color="auto" w:fill="E5F1E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SHAREHOLDERS' EQUITY</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Noninterest-bearing deposits</w:t>
            </w:r>
          </w:p>
        </w:tc>
        <w:tc>
          <w:tcPr>
            <w:tcW w:w="3640" w:type="dxa"/>
            <w:vAlign w:val="bottom"/>
            <w:gridSpan w:val="2"/>
            <w:shd w:val="clear" w:color="auto" w:fill="E5F1EE"/>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47,344</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53,787</w:t>
            </w:r>
          </w:p>
        </w:tc>
        <w:tc>
          <w:tcPr>
            <w:tcW w:w="144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-12 %</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Interest-bearing deposits</w:t>
            </w:r>
          </w:p>
        </w:tc>
        <w:tc>
          <w:tcPr>
            <w:tcW w:w="336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117,210</w:t>
            </w:r>
          </w:p>
        </w:tc>
        <w:tc>
          <w:tcPr>
            <w:tcW w:w="20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110,341</w:t>
            </w:r>
          </w:p>
        </w:tc>
        <w:tc>
          <w:tcPr>
            <w:tcW w:w="1440" w:type="dxa"/>
            <w:vAlign w:val="bottom"/>
            <w:tcBorders>
              <w:bottom w:val="single" w:sz="8" w:color="E5F1EE"/>
            </w:tcBorders>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42"/>
        </w:trPr>
        <w:tc>
          <w:tcPr>
            <w:tcW w:w="40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deposits</w:t>
            </w:r>
          </w:p>
        </w:tc>
        <w:tc>
          <w:tcPr>
            <w:tcW w:w="3360" w:type="dxa"/>
            <w:vAlign w:val="bottom"/>
            <w:shd w:val="clear" w:color="auto" w:fill="E5F1EE"/>
          </w:tcPr>
          <w:p>
            <w:pPr>
              <w:spacing w:after="0"/>
              <w:rPr>
                <w:sz w:val="12"/>
                <w:szCs w:val="12"/>
                <w:color w:val="auto"/>
              </w:rPr>
            </w:pPr>
          </w:p>
        </w:tc>
        <w:tc>
          <w:tcPr>
            <w:tcW w:w="280" w:type="dxa"/>
            <w:vAlign w:val="bottom"/>
            <w:shd w:val="clear" w:color="auto" w:fill="E5F1EE"/>
          </w:tcPr>
          <w:p>
            <w:pPr>
              <w:spacing w:after="0"/>
              <w:rPr>
                <w:sz w:val="12"/>
                <w:szCs w:val="12"/>
                <w:color w:val="auto"/>
              </w:rPr>
            </w:pP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164,554</w:t>
            </w:r>
          </w:p>
        </w:tc>
        <w:tc>
          <w:tcPr>
            <w:tcW w:w="200" w:type="dxa"/>
            <w:vAlign w:val="bottom"/>
            <w:shd w:val="clear" w:color="auto" w:fill="E5F1EE"/>
          </w:tcPr>
          <w:p>
            <w:pPr>
              <w:spacing w:after="0"/>
              <w:rPr>
                <w:sz w:val="12"/>
                <w:szCs w:val="12"/>
                <w:color w:val="auto"/>
              </w:rPr>
            </w:pPr>
          </w:p>
        </w:tc>
        <w:tc>
          <w:tcPr>
            <w:tcW w:w="320" w:type="dxa"/>
            <w:vAlign w:val="bottom"/>
            <w:shd w:val="clear" w:color="auto" w:fill="E5F1EE"/>
          </w:tcPr>
          <w:p>
            <w:pPr>
              <w:spacing w:after="0"/>
              <w:rPr>
                <w:sz w:val="12"/>
                <w:szCs w:val="12"/>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164,128</w:t>
            </w:r>
          </w:p>
        </w:tc>
        <w:tc>
          <w:tcPr>
            <w:tcW w:w="200" w:type="dxa"/>
            <w:vAlign w:val="bottom"/>
            <w:shd w:val="clear" w:color="auto" w:fill="E5F1EE"/>
          </w:tcPr>
          <w:p>
            <w:pPr>
              <w:spacing w:after="0"/>
              <w:rPr>
                <w:sz w:val="12"/>
                <w:szCs w:val="12"/>
                <w:color w:val="auto"/>
              </w:rPr>
            </w:pPr>
          </w:p>
        </w:tc>
        <w:tc>
          <w:tcPr>
            <w:tcW w:w="1240" w:type="dxa"/>
            <w:vAlign w:val="bottom"/>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2,605</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6,731</w:t>
            </w:r>
          </w:p>
        </w:tc>
        <w:tc>
          <w:tcPr>
            <w:tcW w:w="1440" w:type="dxa"/>
            <w:vAlign w:val="bottom"/>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Accrued interest and other liabilities</w:t>
            </w:r>
          </w:p>
        </w:tc>
        <w:tc>
          <w:tcPr>
            <w:tcW w:w="336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4,167</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4,946</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Long-term borrowings</w:t>
            </w:r>
          </w:p>
        </w:tc>
        <w:tc>
          <w:tcPr>
            <w:tcW w:w="336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11,583</w:t>
            </w:r>
          </w:p>
        </w:tc>
        <w:tc>
          <w:tcPr>
            <w:tcW w:w="20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7,123</w:t>
            </w:r>
          </w:p>
        </w:tc>
        <w:tc>
          <w:tcPr>
            <w:tcW w:w="1440" w:type="dxa"/>
            <w:vAlign w:val="bottom"/>
            <w:tcBorders>
              <w:bottom w:val="single" w:sz="8" w:color="E5F1EE"/>
            </w:tcBorders>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42"/>
        </w:trPr>
        <w:tc>
          <w:tcPr>
            <w:tcW w:w="40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3360" w:type="dxa"/>
            <w:vAlign w:val="bottom"/>
            <w:shd w:val="clear" w:color="auto" w:fill="E5F1EE"/>
          </w:tcPr>
          <w:p>
            <w:pPr>
              <w:spacing w:after="0"/>
              <w:rPr>
                <w:sz w:val="12"/>
                <w:szCs w:val="12"/>
                <w:color w:val="auto"/>
              </w:rPr>
            </w:pPr>
          </w:p>
        </w:tc>
        <w:tc>
          <w:tcPr>
            <w:tcW w:w="280" w:type="dxa"/>
            <w:vAlign w:val="bottom"/>
            <w:tcBorders>
              <w:bottom w:val="single" w:sz="8" w:color="auto"/>
            </w:tcBorders>
            <w:shd w:val="clear" w:color="auto" w:fill="E5F1EE"/>
          </w:tcPr>
          <w:p>
            <w:pPr>
              <w:spacing w:after="0"/>
              <w:rPr>
                <w:sz w:val="12"/>
                <w:szCs w:val="12"/>
                <w:color w:val="auto"/>
              </w:rPr>
            </w:pPr>
          </w:p>
        </w:tc>
        <w:tc>
          <w:tcPr>
            <w:tcW w:w="8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182,909</w:t>
            </w:r>
          </w:p>
        </w:tc>
        <w:tc>
          <w:tcPr>
            <w:tcW w:w="200" w:type="dxa"/>
            <w:vAlign w:val="bottom"/>
            <w:shd w:val="clear" w:color="auto" w:fill="E5F1EE"/>
          </w:tcPr>
          <w:p>
            <w:pPr>
              <w:spacing w:after="0"/>
              <w:rPr>
                <w:sz w:val="12"/>
                <w:szCs w:val="12"/>
                <w:color w:val="auto"/>
              </w:rPr>
            </w:pPr>
          </w:p>
        </w:tc>
        <w:tc>
          <w:tcPr>
            <w:tcW w:w="320" w:type="dxa"/>
            <w:vAlign w:val="bottom"/>
            <w:tcBorders>
              <w:bottom w:val="single" w:sz="8" w:color="auto"/>
            </w:tcBorders>
            <w:shd w:val="clear" w:color="auto" w:fill="E5F1EE"/>
          </w:tcPr>
          <w:p>
            <w:pPr>
              <w:spacing w:after="0"/>
              <w:rPr>
                <w:sz w:val="12"/>
                <w:szCs w:val="12"/>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182,928</w:t>
            </w:r>
          </w:p>
        </w:tc>
        <w:tc>
          <w:tcPr>
            <w:tcW w:w="200" w:type="dxa"/>
            <w:vAlign w:val="bottom"/>
            <w:shd w:val="clear" w:color="auto" w:fill="E5F1EE"/>
          </w:tcPr>
          <w:p>
            <w:pPr>
              <w:spacing w:after="0"/>
              <w:rPr>
                <w:sz w:val="12"/>
                <w:szCs w:val="12"/>
                <w:color w:val="auto"/>
              </w:rPr>
            </w:pPr>
          </w:p>
        </w:tc>
        <w:tc>
          <w:tcPr>
            <w:tcW w:w="1240" w:type="dxa"/>
            <w:vAlign w:val="bottom"/>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4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Shareholders' equity:</w:t>
            </w:r>
          </w:p>
        </w:tc>
        <w:tc>
          <w:tcPr>
            <w:tcW w:w="3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Preferred</w:t>
            </w:r>
          </w:p>
        </w:tc>
        <w:tc>
          <w:tcPr>
            <w:tcW w:w="3360" w:type="dxa"/>
            <w:vAlign w:val="bottom"/>
            <w:shd w:val="clear" w:color="auto" w:fill="E5F1EE"/>
          </w:tcPr>
          <w:p>
            <w:pPr>
              <w:spacing w:after="0"/>
              <w:rPr>
                <w:sz w:val="13"/>
                <w:szCs w:val="13"/>
                <w:color w:val="auto"/>
              </w:rPr>
            </w:pPr>
          </w:p>
        </w:tc>
        <w:tc>
          <w:tcPr>
            <w:tcW w:w="280" w:type="dxa"/>
            <w:vAlign w:val="bottom"/>
            <w:shd w:val="clear" w:color="auto" w:fill="E5F1EE"/>
          </w:tcPr>
          <w:p>
            <w:pPr>
              <w:spacing w:after="0"/>
              <w:rPr>
                <w:sz w:val="13"/>
                <w:szCs w:val="13"/>
                <w:color w:val="auto"/>
              </w:rPr>
            </w:pPr>
          </w:p>
        </w:tc>
        <w:tc>
          <w:tcPr>
            <w:tcW w:w="8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2,394</w:t>
            </w:r>
          </w:p>
        </w:tc>
        <w:tc>
          <w:tcPr>
            <w:tcW w:w="200" w:type="dxa"/>
            <w:vAlign w:val="bottom"/>
            <w:shd w:val="clear" w:color="auto" w:fill="E5F1EE"/>
          </w:tcPr>
          <w:p>
            <w:pPr>
              <w:spacing w:after="0"/>
              <w:rPr>
                <w:sz w:val="13"/>
                <w:szCs w:val="13"/>
                <w:color w:val="auto"/>
              </w:rPr>
            </w:pPr>
          </w:p>
        </w:tc>
        <w:tc>
          <w:tcPr>
            <w:tcW w:w="320" w:type="dxa"/>
            <w:vAlign w:val="bottom"/>
            <w:shd w:val="clear" w:color="auto" w:fill="E5F1EE"/>
          </w:tcPr>
          <w:p>
            <w:pPr>
              <w:spacing w:after="0"/>
              <w:rPr>
                <w:sz w:val="13"/>
                <w:szCs w:val="13"/>
                <w:color w:val="auto"/>
              </w:rPr>
            </w:pPr>
          </w:p>
        </w:tc>
        <w:tc>
          <w:tcPr>
            <w:tcW w:w="8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12"/>
                <w:szCs w:val="12"/>
                <w:color w:val="auto"/>
              </w:rPr>
              <w:t>Common</w:t>
            </w:r>
          </w:p>
        </w:tc>
        <w:tc>
          <w:tcPr>
            <w:tcW w:w="3360" w:type="dxa"/>
            <w:vAlign w:val="bottom"/>
            <w:tcBorders>
              <w:bottom w:val="single" w:sz="8" w:color="E5F1EE"/>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26,482</w:t>
            </w:r>
          </w:p>
        </w:tc>
        <w:tc>
          <w:tcPr>
            <w:tcW w:w="200" w:type="dxa"/>
            <w:vAlign w:val="bottom"/>
            <w:tcBorders>
              <w:bottom w:val="single" w:sz="8" w:color="E5F1EE"/>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24,185</w:t>
            </w:r>
          </w:p>
        </w:tc>
        <w:tc>
          <w:tcPr>
            <w:tcW w:w="1440" w:type="dxa"/>
            <w:vAlign w:val="bottom"/>
            <w:tcBorders>
              <w:bottom w:val="single" w:sz="8" w:color="E5F1EE"/>
            </w:tcBorders>
            <w:gridSpan w:val="2"/>
          </w:tcPr>
          <w:p>
            <w:pPr>
              <w:jc w:val="right"/>
              <w:ind w:right="103"/>
              <w:spacing w:after="0"/>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42"/>
        </w:trPr>
        <w:tc>
          <w:tcPr>
            <w:tcW w:w="40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shareholders' equity</w:t>
            </w:r>
          </w:p>
        </w:tc>
        <w:tc>
          <w:tcPr>
            <w:tcW w:w="3360" w:type="dxa"/>
            <w:vAlign w:val="bottom"/>
            <w:shd w:val="clear" w:color="auto" w:fill="E5F1EE"/>
          </w:tcPr>
          <w:p>
            <w:pPr>
              <w:spacing w:after="0"/>
              <w:rPr>
                <w:sz w:val="12"/>
                <w:szCs w:val="12"/>
                <w:color w:val="auto"/>
              </w:rPr>
            </w:pPr>
          </w:p>
        </w:tc>
        <w:tc>
          <w:tcPr>
            <w:tcW w:w="280" w:type="dxa"/>
            <w:vAlign w:val="bottom"/>
            <w:tcBorders>
              <w:bottom w:val="single" w:sz="8" w:color="auto"/>
            </w:tcBorders>
            <w:shd w:val="clear" w:color="auto" w:fill="E5F1EE"/>
          </w:tcPr>
          <w:p>
            <w:pPr>
              <w:spacing w:after="0"/>
              <w:rPr>
                <w:sz w:val="12"/>
                <w:szCs w:val="12"/>
                <w:color w:val="auto"/>
              </w:rPr>
            </w:pPr>
          </w:p>
        </w:tc>
        <w:tc>
          <w:tcPr>
            <w:tcW w:w="8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28,876</w:t>
            </w:r>
          </w:p>
        </w:tc>
        <w:tc>
          <w:tcPr>
            <w:tcW w:w="200" w:type="dxa"/>
            <w:vAlign w:val="bottom"/>
            <w:shd w:val="clear" w:color="auto" w:fill="E5F1EE"/>
          </w:tcPr>
          <w:p>
            <w:pPr>
              <w:spacing w:after="0"/>
              <w:rPr>
                <w:sz w:val="12"/>
                <w:szCs w:val="12"/>
                <w:color w:val="auto"/>
              </w:rPr>
            </w:pPr>
          </w:p>
        </w:tc>
        <w:tc>
          <w:tcPr>
            <w:tcW w:w="320" w:type="dxa"/>
            <w:vAlign w:val="bottom"/>
            <w:tcBorders>
              <w:bottom w:val="single" w:sz="8" w:color="auto"/>
            </w:tcBorders>
            <w:shd w:val="clear" w:color="auto" w:fill="E5F1EE"/>
          </w:tcPr>
          <w:p>
            <w:pPr>
              <w:spacing w:after="0"/>
              <w:rPr>
                <w:sz w:val="12"/>
                <w:szCs w:val="12"/>
                <w:color w:val="auto"/>
              </w:rPr>
            </w:pPr>
          </w:p>
        </w:tc>
        <w:tc>
          <w:tcPr>
            <w:tcW w:w="8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26,196</w:t>
            </w:r>
          </w:p>
        </w:tc>
        <w:tc>
          <w:tcPr>
            <w:tcW w:w="1440" w:type="dxa"/>
            <w:vAlign w:val="bottom"/>
            <w:gridSpan w:val="2"/>
            <w:shd w:val="clear" w:color="auto" w:fill="E5F1EE"/>
          </w:tcPr>
          <w:p>
            <w:pPr>
              <w:jc w:val="right"/>
              <w:ind w:right="103"/>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336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211,785</w:t>
            </w:r>
          </w:p>
        </w:tc>
        <w:tc>
          <w:tcPr>
            <w:tcW w:w="20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209,124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60" w:type="dxa"/>
            <w:vAlign w:val="bottom"/>
            <w:vMerge w:val="restart"/>
          </w:tcPr>
          <w:p>
            <w:pPr>
              <w:jc w:val="right"/>
              <w:ind w:right="1620"/>
              <w:spacing w:after="0"/>
              <w:rPr>
                <w:sz w:val="20"/>
                <w:szCs w:val="20"/>
                <w:color w:val="auto"/>
              </w:rPr>
            </w:pPr>
            <w:r>
              <w:rPr>
                <w:rFonts w:ascii="Times New Roman" w:cs="Times New Roman" w:eastAsia="Times New Roman" w:hAnsi="Times New Roman"/>
                <w:sz w:val="12"/>
                <w:szCs w:val="12"/>
                <w:color w:val="auto"/>
              </w:rPr>
              <w:t>14</w:t>
            </w: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40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332" w:right="299" w:bottom="1440" w:gutter="0" w:footer="0" w:header="0"/>
        </w:sectPr>
      </w:pPr>
    </w:p>
    <w:bookmarkStart w:id="17" w:name="page18"/>
    <w:bookmarkEnd w:id="17"/>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Balance Sheet, Five Quarter Trend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September 30,</w:t>
            </w:r>
          </w:p>
        </w:tc>
        <w:tc>
          <w:tcPr>
            <w:tcW w:w="240" w:type="dxa"/>
            <w:vAlign w:val="bottom"/>
          </w:tcPr>
          <w:p>
            <w:pPr>
              <w:spacing w:after="0"/>
              <w:rPr>
                <w:sz w:val="10"/>
                <w:szCs w:val="10"/>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June 30,</w:t>
            </w:r>
          </w:p>
        </w:tc>
        <w:tc>
          <w:tcPr>
            <w:tcW w:w="220" w:type="dxa"/>
            <w:vAlign w:val="bottom"/>
          </w:tcPr>
          <w:p>
            <w:pPr>
              <w:spacing w:after="0"/>
              <w:rPr>
                <w:sz w:val="10"/>
                <w:szCs w:val="1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March 31,</w:t>
            </w:r>
          </w:p>
        </w:tc>
        <w:tc>
          <w:tcPr>
            <w:tcW w:w="18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December 31,</w:t>
            </w:r>
          </w:p>
        </w:tc>
        <w:tc>
          <w:tcPr>
            <w:tcW w:w="180" w:type="dxa"/>
            <w:vAlign w:val="bottom"/>
          </w:tcPr>
          <w:p>
            <w:pPr>
              <w:spacing w:after="0"/>
              <w:rPr>
                <w:sz w:val="10"/>
                <w:szCs w:val="10"/>
                <w:color w:val="auto"/>
              </w:rPr>
            </w:pPr>
          </w:p>
        </w:tc>
        <w:tc>
          <w:tcPr>
            <w:tcW w:w="960" w:type="dxa"/>
            <w:vAlign w:val="bottom"/>
          </w:tcPr>
          <w:p>
            <w:pPr>
              <w:jc w:val="right"/>
              <w:ind w:right="241"/>
              <w:spacing w:after="0"/>
              <w:rPr>
                <w:sz w:val="20"/>
                <w:szCs w:val="20"/>
                <w:color w:val="auto"/>
              </w:rPr>
            </w:pPr>
            <w:r>
              <w:rPr>
                <w:rFonts w:ascii="Times New Roman" w:cs="Times New Roman" w:eastAsia="Times New Roman" w:hAnsi="Times New Roman"/>
                <w:sz w:val="10"/>
                <w:szCs w:val="10"/>
                <w:color w:val="auto"/>
              </w:rPr>
              <w:t>September 30,</w:t>
            </w:r>
          </w:p>
        </w:tc>
      </w:tr>
      <w:tr>
        <w:trPr>
          <w:trHeight w:val="136"/>
        </w:trPr>
        <w:tc>
          <w:tcPr>
            <w:tcW w:w="4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2024</w:t>
            </w: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2024</w:t>
            </w: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2024</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2023</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0"/>
                <w:szCs w:val="10"/>
                <w:color w:val="auto"/>
              </w:rPr>
              <w:t>2023</w:t>
            </w:r>
          </w:p>
        </w:tc>
      </w:tr>
      <w:tr>
        <w:trPr>
          <w:trHeight w:val="144"/>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ASSETS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53"/>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Cash and due from banks</w:t>
            </w: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2,216</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1,778</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1,695</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1,731</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1,769</w:t>
            </w: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Interest-bearing deposits at banks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24,417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24,792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28,069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30,114</w:t>
            </w:r>
          </w:p>
        </w:tc>
      </w:tr>
      <w:tr>
        <w:trPr>
          <w:trHeight w:val="153"/>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Trading account</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106</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137</w:t>
            </w: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Investment securities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32,327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29,894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28,496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26,897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27,336</w:t>
            </w:r>
          </w:p>
        </w:tc>
      </w:tr>
      <w:tr>
        <w:trPr>
          <w:trHeight w:val="153"/>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Loans and leases, net of unearned discount:</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9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spacing w:after="0"/>
              <w:rPr>
                <w:sz w:val="13"/>
                <w:szCs w:val="13"/>
                <w:color w:val="auto"/>
              </w:rPr>
            </w:pP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61,012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60,027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57,897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57,010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54,891</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Real estate - commercial</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28,683</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29,532</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32,416</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33,003</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33,741</w:t>
            </w:r>
          </w:p>
        </w:tc>
      </w:tr>
      <w:tr>
        <w:trPr>
          <w:trHeight w:val="153"/>
        </w:trPr>
        <w:tc>
          <w:tcPr>
            <w:tcW w:w="47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Real estate - consumer</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23,003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23,076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23,264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23,448</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Consumer</w:t>
            </w: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23,206</w:t>
            </w:r>
          </w:p>
        </w:tc>
        <w:tc>
          <w:tcPr>
            <w:tcW w:w="220" w:type="dxa"/>
            <w:vAlign w:val="bottom"/>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spacing w:after="0"/>
              <w:rPr>
                <w:sz w:val="13"/>
                <w:szCs w:val="13"/>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22,440</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21,584</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20,791</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20,275</w:t>
            </w:r>
          </w:p>
        </w:tc>
      </w:tr>
      <w:tr>
        <w:trPr>
          <w:trHeight w:val="142"/>
        </w:trPr>
        <w:tc>
          <w:tcPr>
            <w:tcW w:w="47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Total loans and leases, net</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135,920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135,002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134,973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134,068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132,355</w:t>
            </w: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Less: allowance for credit losses</w:t>
            </w: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2,204</w:t>
            </w:r>
          </w:p>
        </w:tc>
        <w:tc>
          <w:tcPr>
            <w:tcW w:w="220" w:type="dxa"/>
            <w:vAlign w:val="bottom"/>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spacing w:after="0"/>
              <w:rPr>
                <w:sz w:val="13"/>
                <w:szCs w:val="13"/>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2,204</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2,191</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2,129</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2,052</w:t>
            </w:r>
          </w:p>
        </w:tc>
      </w:tr>
      <w:tr>
        <w:trPr>
          <w:trHeight w:val="142"/>
        </w:trPr>
        <w:tc>
          <w:tcPr>
            <w:tcW w:w="47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loans and leases</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132,798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132,782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131,939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130,303</w:t>
            </w:r>
          </w:p>
        </w:tc>
      </w:tr>
      <w:tr>
        <w:trPr>
          <w:trHeight w:val="153"/>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Goodwill</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8,465</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8,465</w:t>
            </w: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Core deposit and other intangible assets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162</w:t>
            </w:r>
          </w:p>
        </w:tc>
      </w:tr>
      <w:tr>
        <w:trPr>
          <w:trHeight w:val="153"/>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10,435</w:t>
            </w:r>
          </w:p>
        </w:tc>
        <w:tc>
          <w:tcPr>
            <w:tcW w:w="220" w:type="dxa"/>
            <w:vAlign w:val="bottom"/>
            <w:shd w:val="clear" w:color="auto" w:fill="E5F1EE"/>
          </w:tcPr>
          <w:p>
            <w:pPr>
              <w:spacing w:after="0"/>
              <w:rPr>
                <w:sz w:val="13"/>
                <w:szCs w:val="13"/>
                <w:color w:val="auto"/>
              </w:rPr>
            </w:pPr>
          </w:p>
        </w:tc>
        <w:tc>
          <w:tcPr>
            <w:tcW w:w="240" w:type="dxa"/>
            <w:vAlign w:val="bottom"/>
            <w:tcBorders>
              <w:bottom w:val="single" w:sz="8" w:color="auto"/>
            </w:tcBorders>
            <w:shd w:val="clear" w:color="auto" w:fill="E5F1EE"/>
          </w:tcPr>
          <w:p>
            <w:pPr>
              <w:spacing w:after="0"/>
              <w:rPr>
                <w:sz w:val="13"/>
                <w:szCs w:val="13"/>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10,910</w:t>
            </w:r>
          </w:p>
        </w:tc>
        <w:tc>
          <w:tcPr>
            <w:tcW w:w="220" w:type="dxa"/>
            <w:vAlign w:val="bottom"/>
            <w:shd w:val="clear" w:color="auto" w:fill="E5F1EE"/>
          </w:tcPr>
          <w:p>
            <w:pPr>
              <w:spacing w:after="0"/>
              <w:rPr>
                <w:sz w:val="13"/>
                <w:szCs w:val="13"/>
                <w:color w:val="auto"/>
              </w:rPr>
            </w:pPr>
          </w:p>
        </w:tc>
        <w:tc>
          <w:tcPr>
            <w:tcW w:w="220" w:type="dxa"/>
            <w:vAlign w:val="bottom"/>
            <w:tcBorders>
              <w:bottom w:val="single" w:sz="8" w:color="auto"/>
            </w:tcBorders>
            <w:shd w:val="clear" w:color="auto" w:fill="E5F1EE"/>
          </w:tcPr>
          <w:p>
            <w:pPr>
              <w:spacing w:after="0"/>
              <w:rPr>
                <w:sz w:val="13"/>
                <w:szCs w:val="13"/>
                <w:color w:val="auto"/>
              </w:rPr>
            </w:pP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11,324</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10,910</w:t>
            </w:r>
          </w:p>
        </w:tc>
        <w:tc>
          <w:tcPr>
            <w:tcW w:w="220" w:type="dxa"/>
            <w:vAlign w:val="bottom"/>
            <w:shd w:val="clear" w:color="auto" w:fill="E5F1EE"/>
          </w:tcPr>
          <w:p>
            <w:pPr>
              <w:spacing w:after="0"/>
              <w:rPr>
                <w:sz w:val="13"/>
                <w:szCs w:val="13"/>
                <w:color w:val="auto"/>
              </w:rPr>
            </w:pPr>
          </w:p>
        </w:tc>
        <w:tc>
          <w:tcPr>
            <w:tcW w:w="180" w:type="dxa"/>
            <w:vAlign w:val="bottom"/>
            <w:tcBorders>
              <w:bottom w:val="single" w:sz="8" w:color="auto"/>
            </w:tcBorders>
            <w:shd w:val="clear" w:color="auto" w:fill="E5F1EE"/>
          </w:tcPr>
          <w:p>
            <w:pPr>
              <w:spacing w:after="0"/>
              <w:rPr>
                <w:sz w:val="13"/>
                <w:szCs w:val="13"/>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10,838</w:t>
            </w:r>
          </w:p>
        </w:tc>
      </w:tr>
      <w:tr>
        <w:trPr>
          <w:trHeight w:val="158"/>
        </w:trPr>
        <w:tc>
          <w:tcPr>
            <w:tcW w:w="47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211,785</w:t>
            </w:r>
          </w:p>
        </w:tc>
        <w:tc>
          <w:tcPr>
            <w:tcW w:w="22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208,855</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215,137</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208,264</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209,124</w:t>
            </w:r>
          </w:p>
        </w:tc>
      </w:tr>
      <w:tr>
        <w:trPr>
          <w:trHeight w:val="162"/>
        </w:trPr>
        <w:tc>
          <w:tcPr>
            <w:tcW w:w="4720" w:type="dxa"/>
            <w:vAlign w:val="bottom"/>
            <w:shd w:val="clear" w:color="auto" w:fill="E5F1EE"/>
          </w:tcPr>
          <w:p>
            <w:pPr>
              <w:spacing w:after="0"/>
              <w:rPr>
                <w:sz w:val="14"/>
                <w:szCs w:val="14"/>
                <w:color w:val="auto"/>
              </w:rPr>
            </w:pPr>
          </w:p>
        </w:tc>
        <w:tc>
          <w:tcPr>
            <w:tcW w:w="180" w:type="dxa"/>
            <w:vAlign w:val="bottom"/>
            <w:shd w:val="clear" w:color="auto" w:fill="E5F1EE"/>
          </w:tcPr>
          <w:p>
            <w:pPr>
              <w:spacing w:after="0"/>
              <w:rPr>
                <w:sz w:val="14"/>
                <w:szCs w:val="14"/>
                <w:color w:val="auto"/>
              </w:rPr>
            </w:pPr>
          </w:p>
        </w:tc>
        <w:tc>
          <w:tcPr>
            <w:tcW w:w="960" w:type="dxa"/>
            <w:vAlign w:val="bottom"/>
            <w:shd w:val="clear" w:color="auto" w:fill="E5F1EE"/>
          </w:tcPr>
          <w:p>
            <w:pPr>
              <w:spacing w:after="0"/>
              <w:rPr>
                <w:sz w:val="14"/>
                <w:szCs w:val="14"/>
                <w:color w:val="auto"/>
              </w:rPr>
            </w:pPr>
          </w:p>
        </w:tc>
        <w:tc>
          <w:tcPr>
            <w:tcW w:w="220" w:type="dxa"/>
            <w:vAlign w:val="bottom"/>
            <w:shd w:val="clear" w:color="auto" w:fill="E5F1EE"/>
          </w:tcPr>
          <w:p>
            <w:pPr>
              <w:spacing w:after="0"/>
              <w:rPr>
                <w:sz w:val="14"/>
                <w:szCs w:val="14"/>
                <w:color w:val="auto"/>
              </w:rPr>
            </w:pPr>
          </w:p>
        </w:tc>
        <w:tc>
          <w:tcPr>
            <w:tcW w:w="240" w:type="dxa"/>
            <w:vAlign w:val="bottom"/>
            <w:shd w:val="clear" w:color="auto" w:fill="E5F1EE"/>
          </w:tcPr>
          <w:p>
            <w:pPr>
              <w:spacing w:after="0"/>
              <w:rPr>
                <w:sz w:val="14"/>
                <w:szCs w:val="14"/>
                <w:color w:val="auto"/>
              </w:rPr>
            </w:pPr>
          </w:p>
        </w:tc>
        <w:tc>
          <w:tcPr>
            <w:tcW w:w="900" w:type="dxa"/>
            <w:vAlign w:val="bottom"/>
            <w:shd w:val="clear" w:color="auto" w:fill="E5F1EE"/>
          </w:tcPr>
          <w:p>
            <w:pPr>
              <w:spacing w:after="0"/>
              <w:rPr>
                <w:sz w:val="14"/>
                <w:szCs w:val="14"/>
                <w:color w:val="auto"/>
              </w:rPr>
            </w:pPr>
          </w:p>
        </w:tc>
        <w:tc>
          <w:tcPr>
            <w:tcW w:w="220" w:type="dxa"/>
            <w:vAlign w:val="bottom"/>
            <w:shd w:val="clear" w:color="auto" w:fill="E5F1EE"/>
          </w:tcPr>
          <w:p>
            <w:pPr>
              <w:spacing w:after="0"/>
              <w:rPr>
                <w:sz w:val="14"/>
                <w:szCs w:val="14"/>
                <w:color w:val="auto"/>
              </w:rPr>
            </w:pPr>
          </w:p>
        </w:tc>
        <w:tc>
          <w:tcPr>
            <w:tcW w:w="220" w:type="dxa"/>
            <w:vAlign w:val="bottom"/>
            <w:shd w:val="clear" w:color="auto" w:fill="E5F1EE"/>
          </w:tcPr>
          <w:p>
            <w:pPr>
              <w:spacing w:after="0"/>
              <w:rPr>
                <w:sz w:val="14"/>
                <w:szCs w:val="14"/>
                <w:color w:val="auto"/>
              </w:rPr>
            </w:pPr>
          </w:p>
        </w:tc>
        <w:tc>
          <w:tcPr>
            <w:tcW w:w="920" w:type="dxa"/>
            <w:vAlign w:val="bottom"/>
            <w:shd w:val="clear" w:color="auto" w:fill="E5F1EE"/>
          </w:tcPr>
          <w:p>
            <w:pPr>
              <w:spacing w:after="0"/>
              <w:rPr>
                <w:sz w:val="14"/>
                <w:szCs w:val="14"/>
                <w:color w:val="auto"/>
              </w:rPr>
            </w:pPr>
          </w:p>
        </w:tc>
        <w:tc>
          <w:tcPr>
            <w:tcW w:w="220" w:type="dxa"/>
            <w:vAlign w:val="bottom"/>
            <w:shd w:val="clear" w:color="auto" w:fill="E5F1EE"/>
          </w:tcPr>
          <w:p>
            <w:pPr>
              <w:spacing w:after="0"/>
              <w:rPr>
                <w:sz w:val="14"/>
                <w:szCs w:val="14"/>
                <w:color w:val="auto"/>
              </w:rPr>
            </w:pPr>
          </w:p>
        </w:tc>
        <w:tc>
          <w:tcPr>
            <w:tcW w:w="180" w:type="dxa"/>
            <w:vAlign w:val="bottom"/>
            <w:shd w:val="clear" w:color="auto" w:fill="E5F1EE"/>
          </w:tcPr>
          <w:p>
            <w:pPr>
              <w:spacing w:after="0"/>
              <w:rPr>
                <w:sz w:val="14"/>
                <w:szCs w:val="14"/>
                <w:color w:val="auto"/>
              </w:rPr>
            </w:pPr>
          </w:p>
        </w:tc>
        <w:tc>
          <w:tcPr>
            <w:tcW w:w="960" w:type="dxa"/>
            <w:vAlign w:val="bottom"/>
            <w:shd w:val="clear" w:color="auto" w:fill="E5F1EE"/>
          </w:tcPr>
          <w:p>
            <w:pPr>
              <w:spacing w:after="0"/>
              <w:rPr>
                <w:sz w:val="14"/>
                <w:szCs w:val="14"/>
                <w:color w:val="auto"/>
              </w:rPr>
            </w:pPr>
          </w:p>
        </w:tc>
        <w:tc>
          <w:tcPr>
            <w:tcW w:w="220" w:type="dxa"/>
            <w:vAlign w:val="bottom"/>
            <w:shd w:val="clear" w:color="auto" w:fill="E5F1EE"/>
          </w:tcPr>
          <w:p>
            <w:pPr>
              <w:spacing w:after="0"/>
              <w:rPr>
                <w:sz w:val="14"/>
                <w:szCs w:val="14"/>
                <w:color w:val="auto"/>
              </w:rPr>
            </w:pPr>
          </w:p>
        </w:tc>
        <w:tc>
          <w:tcPr>
            <w:tcW w:w="180" w:type="dxa"/>
            <w:vAlign w:val="bottom"/>
            <w:shd w:val="clear" w:color="auto" w:fill="E5F1EE"/>
          </w:tcPr>
          <w:p>
            <w:pPr>
              <w:spacing w:after="0"/>
              <w:rPr>
                <w:sz w:val="14"/>
                <w:szCs w:val="14"/>
                <w:color w:val="auto"/>
              </w:rPr>
            </w:pPr>
          </w:p>
        </w:tc>
        <w:tc>
          <w:tcPr>
            <w:tcW w:w="960" w:type="dxa"/>
            <w:vAlign w:val="bottom"/>
            <w:shd w:val="clear" w:color="auto" w:fill="E5F1EE"/>
          </w:tcPr>
          <w:p>
            <w:pPr>
              <w:spacing w:after="0"/>
              <w:rPr>
                <w:sz w:val="14"/>
                <w:szCs w:val="14"/>
                <w:color w:val="auto"/>
              </w:rPr>
            </w:pP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LIABILITIES AND SHAREHOLDERS' EQUITY</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Noninterest-bearing deposits</w:t>
            </w: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47,344</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47,729</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50,578</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49,294</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53,787</w:t>
            </w:r>
          </w:p>
        </w:tc>
      </w:tr>
      <w:tr>
        <w:trPr>
          <w:trHeight w:val="153"/>
        </w:trPr>
        <w:tc>
          <w:tcPr>
            <w:tcW w:w="47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Interest-bearing deposits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117,210</w:t>
            </w:r>
          </w:p>
        </w:tc>
        <w:tc>
          <w:tcPr>
            <w:tcW w:w="22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112,181</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116,618</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113,980</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110,341</w:t>
            </w:r>
          </w:p>
        </w:tc>
      </w:tr>
      <w:tr>
        <w:trPr>
          <w:trHeight w:val="142"/>
        </w:trPr>
        <w:tc>
          <w:tcPr>
            <w:tcW w:w="47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deposits</w:t>
            </w: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164,554</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159,910</w:t>
            </w:r>
          </w:p>
        </w:tc>
        <w:tc>
          <w:tcPr>
            <w:tcW w:w="2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167,196</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163,274</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164,128</w:t>
            </w: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Short-term borrowings</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5,316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6,731</w:t>
            </w:r>
          </w:p>
        </w:tc>
      </w:tr>
      <w:tr>
        <w:trPr>
          <w:trHeight w:val="153"/>
        </w:trPr>
        <w:tc>
          <w:tcPr>
            <w:tcW w:w="4720" w:type="dxa"/>
            <w:vAlign w:val="bottom"/>
            <w:shd w:val="clear" w:color="auto" w:fill="E5F1EE"/>
          </w:tcPr>
          <w:p>
            <w:pPr>
              <w:spacing w:after="0"/>
              <w:rPr>
                <w:sz w:val="20"/>
                <w:szCs w:val="20"/>
                <w:color w:val="auto"/>
              </w:rPr>
            </w:pPr>
            <w:r>
              <w:rPr>
                <w:rFonts w:ascii="Times New Roman" w:cs="Times New Roman" w:eastAsia="Times New Roman" w:hAnsi="Times New Roman"/>
                <w:sz w:val="12"/>
                <w:szCs w:val="12"/>
                <w:color w:val="auto"/>
              </w:rPr>
              <w:t>Accrued interest and other liabilities</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4,167</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4,438</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4,527</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4,516</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4,946</w:t>
            </w:r>
          </w:p>
        </w:tc>
      </w:tr>
      <w:tr>
        <w:trPr>
          <w:trHeight w:val="153"/>
        </w:trPr>
        <w:tc>
          <w:tcPr>
            <w:tcW w:w="472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12"/>
                <w:szCs w:val="12"/>
                <w:color w:val="auto"/>
              </w:rPr>
              <w:t>Long-term borrowings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11,583</w:t>
            </w:r>
          </w:p>
        </w:tc>
        <w:tc>
          <w:tcPr>
            <w:tcW w:w="22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11,319</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11,450</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8,201</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7,123</w:t>
            </w:r>
          </w:p>
        </w:tc>
      </w:tr>
      <w:tr>
        <w:trPr>
          <w:trHeight w:val="142"/>
        </w:trPr>
        <w:tc>
          <w:tcPr>
            <w:tcW w:w="47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182,909</w:t>
            </w:r>
          </w:p>
        </w:tc>
        <w:tc>
          <w:tcPr>
            <w:tcW w:w="220" w:type="dxa"/>
            <w:vAlign w:val="bottom"/>
            <w:shd w:val="clear" w:color="auto" w:fill="E5F1EE"/>
          </w:tcPr>
          <w:p>
            <w:pPr>
              <w:spacing w:after="0"/>
              <w:rPr>
                <w:sz w:val="12"/>
                <w:szCs w:val="12"/>
                <w:color w:val="auto"/>
              </w:rPr>
            </w:pPr>
          </w:p>
        </w:tc>
        <w:tc>
          <w:tcPr>
            <w:tcW w:w="240" w:type="dxa"/>
            <w:vAlign w:val="bottom"/>
            <w:shd w:val="clear" w:color="auto" w:fill="E5F1EE"/>
          </w:tcPr>
          <w:p>
            <w:pPr>
              <w:spacing w:after="0"/>
              <w:rPr>
                <w:sz w:val="12"/>
                <w:szCs w:val="12"/>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180,431</w:t>
            </w:r>
          </w:p>
        </w:tc>
        <w:tc>
          <w:tcPr>
            <w:tcW w:w="220" w:type="dxa"/>
            <w:vAlign w:val="bottom"/>
            <w:shd w:val="clear" w:color="auto" w:fill="E5F1EE"/>
          </w:tcPr>
          <w:p>
            <w:pPr>
              <w:spacing w:after="0"/>
              <w:rPr>
                <w:sz w:val="12"/>
                <w:szCs w:val="12"/>
                <w:color w:val="auto"/>
              </w:rPr>
            </w:pPr>
          </w:p>
        </w:tc>
        <w:tc>
          <w:tcPr>
            <w:tcW w:w="220" w:type="dxa"/>
            <w:vAlign w:val="bottom"/>
            <w:shd w:val="clear" w:color="auto" w:fill="E5F1EE"/>
          </w:tcPr>
          <w:p>
            <w:pPr>
              <w:spacing w:after="0"/>
              <w:rPr>
                <w:sz w:val="12"/>
                <w:szCs w:val="12"/>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187,968</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181,307</w:t>
            </w:r>
          </w:p>
        </w:tc>
        <w:tc>
          <w:tcPr>
            <w:tcW w:w="220" w:type="dxa"/>
            <w:vAlign w:val="bottom"/>
            <w:shd w:val="clear" w:color="auto" w:fill="E5F1EE"/>
          </w:tcPr>
          <w:p>
            <w:pPr>
              <w:spacing w:after="0"/>
              <w:rPr>
                <w:sz w:val="12"/>
                <w:szCs w:val="12"/>
                <w:color w:val="auto"/>
              </w:rPr>
            </w:pPr>
          </w:p>
        </w:tc>
        <w:tc>
          <w:tcPr>
            <w:tcW w:w="180" w:type="dxa"/>
            <w:vAlign w:val="bottom"/>
            <w:shd w:val="clear" w:color="auto" w:fill="E5F1EE"/>
          </w:tcPr>
          <w:p>
            <w:pPr>
              <w:spacing w:after="0"/>
              <w:rPr>
                <w:sz w:val="12"/>
                <w:szCs w:val="12"/>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182,928</w:t>
            </w:r>
          </w:p>
        </w:tc>
      </w:tr>
      <w:tr>
        <w:trPr>
          <w:trHeight w:val="153"/>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3"/>
        </w:trPr>
        <w:tc>
          <w:tcPr>
            <w:tcW w:w="472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12"/>
                <w:szCs w:val="12"/>
                <w:color w:val="auto"/>
              </w:rPr>
              <w:t>Preferred</w:t>
            </w: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220" w:type="dxa"/>
            <w:vAlign w:val="bottom"/>
            <w:shd w:val="clear" w:color="auto" w:fill="E5F1EE"/>
          </w:tcPr>
          <w:p>
            <w:pPr>
              <w:spacing w:after="0"/>
              <w:rPr>
                <w:sz w:val="13"/>
                <w:szCs w:val="13"/>
                <w:color w:val="auto"/>
              </w:rPr>
            </w:pPr>
          </w:p>
        </w:tc>
        <w:tc>
          <w:tcPr>
            <w:tcW w:w="240" w:type="dxa"/>
            <w:vAlign w:val="bottom"/>
            <w:shd w:val="clear" w:color="auto" w:fill="E5F1EE"/>
          </w:tcPr>
          <w:p>
            <w:pPr>
              <w:spacing w:after="0"/>
              <w:rPr>
                <w:sz w:val="13"/>
                <w:szCs w:val="13"/>
                <w:color w:val="auto"/>
              </w:rPr>
            </w:pPr>
          </w:p>
        </w:tc>
        <w:tc>
          <w:tcPr>
            <w:tcW w:w="90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2,744</w:t>
            </w:r>
          </w:p>
        </w:tc>
        <w:tc>
          <w:tcPr>
            <w:tcW w:w="220" w:type="dxa"/>
            <w:vAlign w:val="bottom"/>
            <w:shd w:val="clear" w:color="auto" w:fill="E5F1EE"/>
          </w:tcPr>
          <w:p>
            <w:pPr>
              <w:spacing w:after="0"/>
              <w:rPr>
                <w:sz w:val="13"/>
                <w:szCs w:val="13"/>
                <w:color w:val="auto"/>
              </w:rPr>
            </w:pPr>
          </w:p>
        </w:tc>
        <w:tc>
          <w:tcPr>
            <w:tcW w:w="220" w:type="dxa"/>
            <w:vAlign w:val="bottom"/>
            <w:shd w:val="clear" w:color="auto" w:fill="E5F1EE"/>
          </w:tcPr>
          <w:p>
            <w:pPr>
              <w:spacing w:after="0"/>
              <w:rPr>
                <w:sz w:val="13"/>
                <w:szCs w:val="13"/>
                <w:color w:val="auto"/>
              </w:rPr>
            </w:pPr>
          </w:p>
        </w:tc>
        <w:tc>
          <w:tcPr>
            <w:tcW w:w="9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2,011</w:t>
            </w:r>
          </w:p>
        </w:tc>
        <w:tc>
          <w:tcPr>
            <w:tcW w:w="220" w:type="dxa"/>
            <w:vAlign w:val="bottom"/>
            <w:shd w:val="clear" w:color="auto" w:fill="E5F1EE"/>
          </w:tcPr>
          <w:p>
            <w:pPr>
              <w:spacing w:after="0"/>
              <w:rPr>
                <w:sz w:val="13"/>
                <w:szCs w:val="13"/>
                <w:color w:val="auto"/>
              </w:rPr>
            </w:pPr>
          </w:p>
        </w:tc>
        <w:tc>
          <w:tcPr>
            <w:tcW w:w="180" w:type="dxa"/>
            <w:vAlign w:val="bottom"/>
            <w:shd w:val="clear" w:color="auto" w:fill="E5F1EE"/>
          </w:tcPr>
          <w:p>
            <w:pPr>
              <w:spacing w:after="0"/>
              <w:rPr>
                <w:sz w:val="13"/>
                <w:szCs w:val="13"/>
                <w:color w:val="auto"/>
              </w:rPr>
            </w:pPr>
          </w:p>
        </w:tc>
        <w:tc>
          <w:tcPr>
            <w:tcW w:w="960" w:type="dxa"/>
            <w:vAlign w:val="bottom"/>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2,011</w:t>
            </w:r>
          </w:p>
        </w:tc>
      </w:tr>
      <w:tr>
        <w:trPr>
          <w:trHeight w:val="153"/>
        </w:trPr>
        <w:tc>
          <w:tcPr>
            <w:tcW w:w="472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12"/>
                <w:szCs w:val="12"/>
                <w:color w:val="auto"/>
              </w:rPr>
              <w:t>Common</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26,482</w:t>
            </w:r>
          </w:p>
        </w:tc>
        <w:tc>
          <w:tcPr>
            <w:tcW w:w="220" w:type="dxa"/>
            <w:vAlign w:val="bottom"/>
            <w:tcBorders>
              <w:bottom w:val="single" w:sz="8" w:color="E5F1EE"/>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25,680</w:t>
            </w:r>
          </w:p>
        </w:tc>
        <w:tc>
          <w:tcPr>
            <w:tcW w:w="220" w:type="dxa"/>
            <w:vAlign w:val="bottom"/>
            <w:tcBorders>
              <w:bottom w:val="single" w:sz="8" w:color="E5F1EE"/>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25,158</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24,946</w:t>
            </w:r>
          </w:p>
        </w:tc>
        <w:tc>
          <w:tcPr>
            <w:tcW w:w="220" w:type="dxa"/>
            <w:vAlign w:val="bottom"/>
            <w:tcBorders>
              <w:bottom w:val="single" w:sz="8" w:color="E5F1EE"/>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24,185</w:t>
            </w:r>
          </w:p>
        </w:tc>
      </w:tr>
      <w:tr>
        <w:trPr>
          <w:trHeight w:val="142"/>
        </w:trPr>
        <w:tc>
          <w:tcPr>
            <w:tcW w:w="4720" w:type="dxa"/>
            <w:vAlign w:val="bottom"/>
            <w:shd w:val="clear" w:color="auto" w:fill="E5F1EE"/>
          </w:tcPr>
          <w:p>
            <w:pPr>
              <w:spacing w:after="0" w:line="135" w:lineRule="exact"/>
              <w:rPr>
                <w:sz w:val="20"/>
                <w:szCs w:val="20"/>
                <w:color w:val="auto"/>
              </w:rPr>
            </w:pPr>
            <w:r>
              <w:rPr>
                <w:rFonts w:ascii="Times New Roman" w:cs="Times New Roman" w:eastAsia="Times New Roman" w:hAnsi="Times New Roman"/>
                <w:sz w:val="12"/>
                <w:szCs w:val="12"/>
                <w:color w:val="auto"/>
              </w:rPr>
              <w:t>Total shareholders' equity</w:t>
            </w:r>
          </w:p>
        </w:tc>
        <w:tc>
          <w:tcPr>
            <w:tcW w:w="180" w:type="dxa"/>
            <w:vAlign w:val="bottom"/>
            <w:tcBorders>
              <w:bottom w:val="single" w:sz="8" w:color="auto"/>
            </w:tcBorders>
            <w:shd w:val="clear" w:color="auto" w:fill="E5F1EE"/>
          </w:tcPr>
          <w:p>
            <w:pPr>
              <w:spacing w:after="0"/>
              <w:rPr>
                <w:sz w:val="12"/>
                <w:szCs w:val="12"/>
                <w:color w:val="auto"/>
              </w:rPr>
            </w:pPr>
          </w:p>
        </w:tc>
        <w:tc>
          <w:tcPr>
            <w:tcW w:w="96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28,876</w:t>
            </w:r>
          </w:p>
        </w:tc>
        <w:tc>
          <w:tcPr>
            <w:tcW w:w="220" w:type="dxa"/>
            <w:vAlign w:val="bottom"/>
            <w:shd w:val="clear" w:color="auto" w:fill="E5F1EE"/>
          </w:tcPr>
          <w:p>
            <w:pPr>
              <w:spacing w:after="0"/>
              <w:rPr>
                <w:sz w:val="12"/>
                <w:szCs w:val="12"/>
                <w:color w:val="auto"/>
              </w:rPr>
            </w:pPr>
          </w:p>
        </w:tc>
        <w:tc>
          <w:tcPr>
            <w:tcW w:w="240" w:type="dxa"/>
            <w:vAlign w:val="bottom"/>
            <w:tcBorders>
              <w:bottom w:val="single" w:sz="8" w:color="auto"/>
            </w:tcBorders>
            <w:shd w:val="clear" w:color="auto" w:fill="E5F1EE"/>
          </w:tcPr>
          <w:p>
            <w:pPr>
              <w:spacing w:after="0"/>
              <w:rPr>
                <w:sz w:val="12"/>
                <w:szCs w:val="12"/>
                <w:color w:val="auto"/>
              </w:rPr>
            </w:pPr>
          </w:p>
        </w:tc>
        <w:tc>
          <w:tcPr>
            <w:tcW w:w="90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28,424</w:t>
            </w:r>
          </w:p>
        </w:tc>
        <w:tc>
          <w:tcPr>
            <w:tcW w:w="220" w:type="dxa"/>
            <w:vAlign w:val="bottom"/>
            <w:shd w:val="clear" w:color="auto" w:fill="E5F1EE"/>
          </w:tcPr>
          <w:p>
            <w:pPr>
              <w:spacing w:after="0"/>
              <w:rPr>
                <w:sz w:val="12"/>
                <w:szCs w:val="12"/>
                <w:color w:val="auto"/>
              </w:rPr>
            </w:pPr>
          </w:p>
        </w:tc>
        <w:tc>
          <w:tcPr>
            <w:tcW w:w="220" w:type="dxa"/>
            <w:vAlign w:val="bottom"/>
            <w:tcBorders>
              <w:bottom w:val="single" w:sz="8" w:color="auto"/>
            </w:tcBorders>
            <w:shd w:val="clear" w:color="auto" w:fill="E5F1EE"/>
          </w:tcPr>
          <w:p>
            <w:pPr>
              <w:spacing w:after="0"/>
              <w:rPr>
                <w:sz w:val="12"/>
                <w:szCs w:val="12"/>
                <w:color w:val="auto"/>
              </w:rPr>
            </w:pPr>
          </w:p>
        </w:tc>
        <w:tc>
          <w:tcPr>
            <w:tcW w:w="9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12"/>
                <w:szCs w:val="12"/>
                <w:color w:val="auto"/>
              </w:rPr>
              <w:t>27,169</w:t>
            </w:r>
          </w:p>
        </w:tc>
        <w:tc>
          <w:tcPr>
            <w:tcW w:w="220" w:type="dxa"/>
            <w:vAlign w:val="bottom"/>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spacing w:after="0"/>
              <w:rPr>
                <w:sz w:val="12"/>
                <w:szCs w:val="12"/>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26,957</w:t>
            </w:r>
          </w:p>
        </w:tc>
        <w:tc>
          <w:tcPr>
            <w:tcW w:w="220" w:type="dxa"/>
            <w:vAlign w:val="bottom"/>
            <w:shd w:val="clear" w:color="auto" w:fill="E5F1EE"/>
          </w:tcPr>
          <w:p>
            <w:pPr>
              <w:spacing w:after="0"/>
              <w:rPr>
                <w:sz w:val="12"/>
                <w:szCs w:val="12"/>
                <w:color w:val="auto"/>
              </w:rPr>
            </w:pPr>
          </w:p>
        </w:tc>
        <w:tc>
          <w:tcPr>
            <w:tcW w:w="180" w:type="dxa"/>
            <w:vAlign w:val="bottom"/>
            <w:tcBorders>
              <w:bottom w:val="single" w:sz="8" w:color="auto"/>
            </w:tcBorders>
            <w:shd w:val="clear" w:color="auto" w:fill="E5F1EE"/>
          </w:tcPr>
          <w:p>
            <w:pPr>
              <w:spacing w:after="0"/>
              <w:rPr>
                <w:sz w:val="12"/>
                <w:szCs w:val="12"/>
                <w:color w:val="auto"/>
              </w:rPr>
            </w:pPr>
          </w:p>
        </w:tc>
        <w:tc>
          <w:tcPr>
            <w:tcW w:w="960" w:type="dxa"/>
            <w:vAlign w:val="bottom"/>
            <w:tcBorders>
              <w:bottom w:val="single" w:sz="8" w:color="auto"/>
            </w:tcBorders>
            <w:shd w:val="clear" w:color="auto" w:fill="E5F1EE"/>
          </w:tcPr>
          <w:p>
            <w:pPr>
              <w:jc w:val="right"/>
              <w:ind w:right="1"/>
              <w:spacing w:after="0"/>
              <w:rPr>
                <w:sz w:val="20"/>
                <w:szCs w:val="20"/>
                <w:color w:val="auto"/>
              </w:rPr>
            </w:pPr>
            <w:r>
              <w:rPr>
                <w:rFonts w:ascii="Times New Roman" w:cs="Times New Roman" w:eastAsia="Times New Roman" w:hAnsi="Times New Roman"/>
                <w:sz w:val="12"/>
                <w:szCs w:val="12"/>
                <w:color w:val="auto"/>
              </w:rPr>
              <w:t>26,196</w:t>
            </w:r>
          </w:p>
        </w:tc>
      </w:tr>
      <w:tr>
        <w:trPr>
          <w:trHeight w:val="142"/>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211,785</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208,855</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215,137</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208,264</w:t>
            </w:r>
          </w:p>
        </w:tc>
        <w:tc>
          <w:tcPr>
            <w:tcW w:w="22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209,124</w:t>
            </w: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912"/>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00"/>
          </w:cols>
          <w:pgMar w:left="300" w:top="332" w:right="299" w:bottom="1440" w:gutter="0" w:footer="0" w:header="0"/>
        </w:sectPr>
      </w:pPr>
    </w:p>
    <w:bookmarkStart w:id="18" w:name="page19"/>
    <w:bookmarkEnd w:id="18"/>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Condensed Consolidated Average Balance Sheet and Annualized Taxable-equivalent Rates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8"/>
                <w:szCs w:val="8"/>
                <w:color w:val="auto"/>
              </w:rPr>
              <w:t>Three months ended</w:t>
            </w: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60" w:type="dxa"/>
            <w:vAlign w:val="bottom"/>
            <w:gridSpan w:val="3"/>
          </w:tcPr>
          <w:p>
            <w:pPr>
              <w:jc w:val="center"/>
              <w:ind w:right="278"/>
              <w:spacing w:after="0"/>
              <w:rPr>
                <w:sz w:val="20"/>
                <w:szCs w:val="20"/>
                <w:color w:val="auto"/>
              </w:rPr>
            </w:pPr>
            <w:r>
              <w:rPr>
                <w:rFonts w:ascii="Times New Roman" w:cs="Times New Roman" w:eastAsia="Times New Roman" w:hAnsi="Times New Roman"/>
                <w:sz w:val="8"/>
                <w:szCs w:val="8"/>
                <w:color w:val="auto"/>
              </w:rPr>
              <w:t>Change in balance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8"/>
                <w:szCs w:val="8"/>
                <w:color w:val="auto"/>
              </w:rPr>
              <w:t>Nine months ended</w:t>
            </w: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6"/>
        </w:trPr>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tcPr>
          <w:p>
            <w:pPr>
              <w:jc w:val="center"/>
              <w:ind w:left="198"/>
              <w:spacing w:after="0"/>
              <w:rPr>
                <w:sz w:val="20"/>
                <w:szCs w:val="20"/>
                <w:color w:val="auto"/>
              </w:rPr>
            </w:pPr>
            <w:r>
              <w:rPr>
                <w:rFonts w:ascii="Times New Roman" w:cs="Times New Roman" w:eastAsia="Times New Roman" w:hAnsi="Times New Roman"/>
                <w:sz w:val="8"/>
                <w:szCs w:val="8"/>
                <w:color w:val="auto"/>
              </w:rPr>
              <w:t>September 30,</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jc w:val="center"/>
              <w:ind w:left="238"/>
              <w:spacing w:after="0"/>
              <w:rPr>
                <w:sz w:val="20"/>
                <w:szCs w:val="20"/>
                <w:color w:val="auto"/>
              </w:rPr>
            </w:pPr>
            <w:r>
              <w:rPr>
                <w:rFonts w:ascii="Times New Roman" w:cs="Times New Roman" w:eastAsia="Times New Roman" w:hAnsi="Times New Roman"/>
                <w:sz w:val="8"/>
                <w:szCs w:val="8"/>
                <w:color w:val="auto"/>
              </w:rPr>
              <w:t>June 30,</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jc w:val="center"/>
              <w:ind w:left="198"/>
              <w:spacing w:after="0"/>
              <w:rPr>
                <w:sz w:val="20"/>
                <w:szCs w:val="20"/>
                <w:color w:val="auto"/>
              </w:rPr>
            </w:pPr>
            <w:r>
              <w:rPr>
                <w:rFonts w:ascii="Times New Roman" w:cs="Times New Roman" w:eastAsia="Times New Roman" w:hAnsi="Times New Roman"/>
                <w:sz w:val="8"/>
                <w:szCs w:val="8"/>
                <w:color w:val="auto"/>
              </w:rPr>
              <w:t>September 30,</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Borders>
              <w:bottom w:val="single" w:sz="8" w:color="auto"/>
            </w:tcBorders>
            <w:gridSpan w:val="4"/>
          </w:tcPr>
          <w:p>
            <w:pPr>
              <w:jc w:val="center"/>
              <w:ind w:left="178"/>
              <w:spacing w:after="0"/>
              <w:rPr>
                <w:sz w:val="20"/>
                <w:szCs w:val="20"/>
                <w:color w:val="auto"/>
              </w:rPr>
            </w:pPr>
            <w:r>
              <w:rPr>
                <w:rFonts w:ascii="Times New Roman" w:cs="Times New Roman" w:eastAsia="Times New Roman" w:hAnsi="Times New Roman"/>
                <w:sz w:val="8"/>
                <w:szCs w:val="8"/>
                <w:color w:val="auto"/>
              </w:rPr>
              <w:t>September 30, 2024 from</w:t>
            </w: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tcPr>
          <w:p>
            <w:pPr>
              <w:ind w:left="320"/>
              <w:spacing w:after="0"/>
              <w:rPr>
                <w:sz w:val="20"/>
                <w:szCs w:val="20"/>
                <w:color w:val="auto"/>
              </w:rPr>
            </w:pPr>
            <w:r>
              <w:rPr>
                <w:rFonts w:ascii="Times New Roman" w:cs="Times New Roman" w:eastAsia="Times New Roman" w:hAnsi="Times New Roman"/>
                <w:sz w:val="8"/>
                <w:szCs w:val="8"/>
                <w:color w:val="auto"/>
              </w:rPr>
              <w:t>September 30,</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8"/>
                <w:szCs w:val="8"/>
                <w:color w:val="auto"/>
              </w:rPr>
              <w:t>Change</w:t>
            </w:r>
          </w:p>
        </w:tc>
        <w:tc>
          <w:tcPr>
            <w:tcW w:w="100" w:type="dxa"/>
            <w:vAlign w:val="bottom"/>
          </w:tcPr>
          <w:p>
            <w:pPr>
              <w:spacing w:after="0"/>
              <w:rPr>
                <w:sz w:val="9"/>
                <w:szCs w:val="9"/>
                <w:color w:val="auto"/>
              </w:rPr>
            </w:pPr>
          </w:p>
        </w:tc>
      </w:tr>
      <w:tr>
        <w:trPr>
          <w:trHeight w:val="106"/>
        </w:trPr>
        <w:tc>
          <w:tcPr>
            <w:tcW w:w="22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(Dollars in millions)</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color w:val="auto"/>
              </w:rPr>
              <w:t>2024</w:t>
            </w: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2024</w:t>
            </w: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2023</w:t>
            </w: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center"/>
              <w:ind w:left="218"/>
              <w:spacing w:after="0"/>
              <w:rPr>
                <w:sz w:val="20"/>
                <w:szCs w:val="20"/>
                <w:color w:val="auto"/>
              </w:rPr>
            </w:pPr>
            <w:r>
              <w:rPr>
                <w:rFonts w:ascii="Times New Roman" w:cs="Times New Roman" w:eastAsia="Times New Roman" w:hAnsi="Times New Roman"/>
                <w:sz w:val="8"/>
                <w:szCs w:val="8"/>
                <w:color w:val="auto"/>
              </w:rPr>
              <w:t>June 30,</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jc w:val="center"/>
              <w:ind w:left="198"/>
              <w:spacing w:after="0"/>
              <w:rPr>
                <w:sz w:val="20"/>
                <w:szCs w:val="20"/>
                <w:color w:val="auto"/>
              </w:rPr>
            </w:pPr>
            <w:r>
              <w:rPr>
                <w:rFonts w:ascii="Times New Roman" w:cs="Times New Roman" w:eastAsia="Times New Roman" w:hAnsi="Times New Roman"/>
                <w:sz w:val="8"/>
                <w:szCs w:val="8"/>
                <w:color w:val="auto"/>
              </w:rPr>
              <w:t>September 30,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2024</w:t>
            </w: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8"/>
                <w:szCs w:val="8"/>
                <w:color w:val="auto"/>
              </w:rPr>
              <w:t>2023</w:t>
            </w: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8"/>
                <w:szCs w:val="8"/>
                <w:color w:val="auto"/>
                <w:w w:val="95"/>
              </w:rPr>
              <w:t>in</w:t>
            </w:r>
          </w:p>
        </w:tc>
        <w:tc>
          <w:tcPr>
            <w:tcW w:w="100" w:type="dxa"/>
            <w:vAlign w:val="bottom"/>
          </w:tcPr>
          <w:p>
            <w:pPr>
              <w:spacing w:after="0"/>
              <w:rPr>
                <w:sz w:val="9"/>
                <w:szCs w:val="9"/>
                <w:color w:val="auto"/>
              </w:rPr>
            </w:pPr>
          </w:p>
        </w:tc>
      </w:tr>
      <w:tr>
        <w:trPr>
          <w:trHeight w:val="106"/>
        </w:trPr>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Balance</w:t>
            </w:r>
          </w:p>
        </w:tc>
        <w:tc>
          <w:tcPr>
            <w:tcW w:w="360" w:type="dxa"/>
            <w:vAlign w:val="bottom"/>
          </w:tcPr>
          <w:p>
            <w:pPr>
              <w:ind w:left="20"/>
              <w:spacing w:after="0"/>
              <w:rPr>
                <w:sz w:val="20"/>
                <w:szCs w:val="20"/>
                <w:color w:val="auto"/>
              </w:rPr>
            </w:pPr>
            <w:r>
              <w:rPr>
                <w:rFonts w:ascii="Times New Roman" w:cs="Times New Roman" w:eastAsia="Times New Roman" w:hAnsi="Times New Roman"/>
                <w:sz w:val="8"/>
                <w:szCs w:val="8"/>
                <w:color w:val="auto"/>
              </w:rPr>
              <w:t>Rate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8"/>
                <w:szCs w:val="8"/>
                <w:color w:val="auto"/>
              </w:rPr>
              <w:t>Balance</w:t>
            </w:r>
          </w:p>
        </w:tc>
        <w:tc>
          <w:tcPr>
            <w:tcW w:w="400" w:type="dxa"/>
            <w:vAlign w:val="bottom"/>
          </w:tcPr>
          <w:p>
            <w:pPr>
              <w:ind w:left="60"/>
              <w:spacing w:after="0"/>
              <w:rPr>
                <w:sz w:val="20"/>
                <w:szCs w:val="20"/>
                <w:color w:val="auto"/>
              </w:rPr>
            </w:pPr>
            <w:r>
              <w:rPr>
                <w:rFonts w:ascii="Times New Roman" w:cs="Times New Roman" w:eastAsia="Times New Roman" w:hAnsi="Times New Roman"/>
                <w:sz w:val="8"/>
                <w:szCs w:val="8"/>
                <w:color w:val="auto"/>
              </w:rPr>
              <w:t>Rate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8"/>
                <w:szCs w:val="8"/>
                <w:color w:val="auto"/>
              </w:rPr>
              <w:t>Balance</w:t>
            </w:r>
          </w:p>
        </w:tc>
        <w:tc>
          <w:tcPr>
            <w:tcW w:w="360" w:type="dxa"/>
            <w:vAlign w:val="bottom"/>
          </w:tcPr>
          <w:p>
            <w:pPr>
              <w:ind w:left="20"/>
              <w:spacing w:after="0"/>
              <w:rPr>
                <w:sz w:val="20"/>
                <w:szCs w:val="20"/>
                <w:color w:val="auto"/>
              </w:rPr>
            </w:pPr>
            <w:r>
              <w:rPr>
                <w:rFonts w:ascii="Times New Roman" w:cs="Times New Roman" w:eastAsia="Times New Roman" w:hAnsi="Times New Roman"/>
                <w:sz w:val="8"/>
                <w:szCs w:val="8"/>
                <w:color w:val="auto"/>
              </w:rPr>
              <w:t>Rate</w:t>
            </w:r>
          </w:p>
        </w:tc>
        <w:tc>
          <w:tcPr>
            <w:tcW w:w="60" w:type="dxa"/>
            <w:vAlign w:val="bottom"/>
          </w:tcPr>
          <w:p>
            <w:pPr>
              <w:spacing w:after="0"/>
              <w:rPr>
                <w:sz w:val="9"/>
                <w:szCs w:val="9"/>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2024</w:t>
            </w:r>
          </w:p>
        </w:tc>
        <w:tc>
          <w:tcPr>
            <w:tcW w:w="1060" w:type="dxa"/>
            <w:vAlign w:val="bottom"/>
            <w:gridSpan w:val="3"/>
          </w:tcPr>
          <w:p>
            <w:pPr>
              <w:jc w:val="right"/>
              <w:ind w:right="138"/>
              <w:spacing w:after="0"/>
              <w:rPr>
                <w:sz w:val="20"/>
                <w:szCs w:val="20"/>
                <w:color w:val="auto"/>
              </w:rPr>
            </w:pPr>
            <w:r>
              <w:rPr>
                <w:rFonts w:ascii="Times New Roman" w:cs="Times New Roman" w:eastAsia="Times New Roman" w:hAnsi="Times New Roman"/>
                <w:sz w:val="8"/>
                <w:szCs w:val="8"/>
                <w:color w:val="auto"/>
              </w:rPr>
              <w:t>2023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Balance</w:t>
            </w:r>
          </w:p>
        </w:tc>
        <w:tc>
          <w:tcPr>
            <w:tcW w:w="5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Rate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8"/>
                <w:szCs w:val="8"/>
                <w:color w:val="auto"/>
              </w:rPr>
              <w:t>Balance</w:t>
            </w:r>
          </w:p>
        </w:tc>
        <w:tc>
          <w:tcPr>
            <w:tcW w:w="520" w:type="dxa"/>
            <w:vAlign w:val="bottom"/>
          </w:tcPr>
          <w:p>
            <w:pPr>
              <w:ind w:left="180"/>
              <w:spacing w:after="0"/>
              <w:rPr>
                <w:sz w:val="20"/>
                <w:szCs w:val="20"/>
                <w:color w:val="auto"/>
              </w:rPr>
            </w:pPr>
            <w:r>
              <w:rPr>
                <w:rFonts w:ascii="Times New Roman" w:cs="Times New Roman" w:eastAsia="Times New Roman" w:hAnsi="Times New Roman"/>
                <w:sz w:val="8"/>
                <w:szCs w:val="8"/>
                <w:color w:val="auto"/>
              </w:rPr>
              <w:t>Rate</w:t>
            </w:r>
          </w:p>
        </w:tc>
        <w:tc>
          <w:tcPr>
            <w:tcW w:w="80" w:type="dxa"/>
            <w:vAlign w:val="bottom"/>
          </w:tcPr>
          <w:p>
            <w:pPr>
              <w:spacing w:after="0"/>
              <w:rPr>
                <w:sz w:val="9"/>
                <w:szCs w:val="9"/>
                <w:color w:val="auto"/>
              </w:rPr>
            </w:pP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8"/>
                <w:szCs w:val="8"/>
                <w:color w:val="auto"/>
              </w:rPr>
              <w:t>balance</w:t>
            </w:r>
          </w:p>
        </w:tc>
        <w:tc>
          <w:tcPr>
            <w:tcW w:w="100" w:type="dxa"/>
            <w:vAlign w:val="bottom"/>
          </w:tcPr>
          <w:p>
            <w:pPr>
              <w:spacing w:after="0"/>
              <w:rPr>
                <w:sz w:val="9"/>
                <w:szCs w:val="9"/>
                <w:color w:val="auto"/>
              </w:rPr>
            </w:pPr>
          </w:p>
        </w:tc>
      </w:tr>
      <w:tr>
        <w:trPr>
          <w:trHeight w:val="101"/>
        </w:trPr>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ASSETS</w:t>
            </w: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r>
      <w:tr>
        <w:trPr>
          <w:trHeight w:val="123"/>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Interest-bearing deposits at banks</w:t>
            </w:r>
          </w:p>
        </w:tc>
        <w:tc>
          <w:tcPr>
            <w:tcW w:w="120" w:type="dxa"/>
            <w:vAlign w:val="bottom"/>
            <w:shd w:val="clear" w:color="auto" w:fill="E5F1EE"/>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25,491</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5.43 %</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29,294</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5.50 %</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26,657</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5.40 %</w:t>
            </w: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-13 %</w:t>
            </w: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22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-4 %</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28,467</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5.48 %</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24,871</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5.07 %</w:t>
            </w:r>
          </w:p>
        </w:tc>
        <w:tc>
          <w:tcPr>
            <w:tcW w:w="80" w:type="dxa"/>
            <w:vAlign w:val="bottom"/>
            <w:shd w:val="clear" w:color="auto" w:fill="E5F1EE"/>
          </w:tcPr>
          <w:p>
            <w:pPr>
              <w:spacing w:after="0"/>
              <w:rPr>
                <w:sz w:val="10"/>
                <w:szCs w:val="10"/>
                <w:color w:val="auto"/>
              </w:rPr>
            </w:pPr>
          </w:p>
        </w:tc>
        <w:tc>
          <w:tcPr>
            <w:tcW w:w="620" w:type="dxa"/>
            <w:vAlign w:val="bottom"/>
            <w:gridSpan w:val="2"/>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14 %</w:t>
            </w:r>
          </w:p>
        </w:tc>
      </w:tr>
      <w:tr>
        <w:trPr>
          <w:trHeight w:val="112"/>
        </w:trPr>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Trading account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3.40</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3.47</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4.05</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3"/>
              </w:rPr>
              <w:t>-26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102</w:t>
            </w:r>
          </w:p>
        </w:tc>
        <w:tc>
          <w:tcPr>
            <w:tcW w:w="80" w:type="dxa"/>
            <w:vAlign w:val="bottom"/>
          </w:tcPr>
          <w:p>
            <w:pPr>
              <w:spacing w:after="0"/>
              <w:rPr>
                <w:sz w:val="9"/>
                <w:szCs w:val="9"/>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3.43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136</w:t>
            </w:r>
          </w:p>
        </w:tc>
        <w:tc>
          <w:tcPr>
            <w:tcW w:w="80" w:type="dxa"/>
            <w:vAlign w:val="bottom"/>
          </w:tcPr>
          <w:p>
            <w:pPr>
              <w:spacing w:after="0"/>
              <w:rPr>
                <w:sz w:val="9"/>
                <w:szCs w:val="9"/>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3.02</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w:t>
            </w:r>
          </w:p>
        </w:tc>
        <w:tc>
          <w:tcPr>
            <w:tcW w:w="100" w:type="dxa"/>
            <w:vAlign w:val="bottom"/>
          </w:tcPr>
          <w:p>
            <w:pPr>
              <w:spacing w:after="0"/>
              <w:rPr>
                <w:sz w:val="9"/>
                <w:szCs w:val="9"/>
                <w:color w:val="auto"/>
              </w:rPr>
            </w:pPr>
          </w:p>
        </w:tc>
      </w:tr>
      <w:tr>
        <w:trPr>
          <w:trHeight w:val="122"/>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Investment securities</w:t>
            </w: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31,023</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3.70</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29,695</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3.61</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27,993</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3.14</w:t>
            </w: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4</w:t>
            </w: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29,773</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3.54</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28,081</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3.08</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100" w:type="dxa"/>
            <w:vAlign w:val="bottom"/>
            <w:shd w:val="clear" w:color="auto" w:fill="E5F1EE"/>
          </w:tcPr>
          <w:p>
            <w:pPr>
              <w:spacing w:after="0"/>
              <w:rPr>
                <w:sz w:val="10"/>
                <w:szCs w:val="10"/>
                <w:color w:val="auto"/>
              </w:rPr>
            </w:pPr>
          </w:p>
        </w:tc>
      </w:tr>
      <w:tr>
        <w:trPr>
          <w:trHeight w:val="81"/>
        </w:trPr>
        <w:tc>
          <w:tcPr>
            <w:tcW w:w="2240" w:type="dxa"/>
            <w:vAlign w:val="bottom"/>
          </w:tcPr>
          <w:p>
            <w:pPr>
              <w:spacing w:after="0" w:line="81" w:lineRule="exact"/>
              <w:rPr>
                <w:sz w:val="20"/>
                <w:szCs w:val="20"/>
                <w:color w:val="auto"/>
              </w:rPr>
            </w:pPr>
            <w:r>
              <w:rPr>
                <w:rFonts w:ascii="Times New Roman" w:cs="Times New Roman" w:eastAsia="Times New Roman" w:hAnsi="Times New Roman"/>
                <w:sz w:val="8"/>
                <w:szCs w:val="8"/>
                <w:color w:val="auto"/>
              </w:rPr>
              <w:t>Loans and leases, net of unearned</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16"/>
        </w:trPr>
        <w:tc>
          <w:tcPr>
            <w:tcW w:w="22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discount:</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7"/>
        </w:trPr>
        <w:tc>
          <w:tcPr>
            <w:tcW w:w="22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Commercial and industrial</w:t>
            </w: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59,779</w:t>
            </w:r>
          </w:p>
        </w:tc>
        <w:tc>
          <w:tcPr>
            <w:tcW w:w="60" w:type="dxa"/>
            <w:vAlign w:val="bottom"/>
            <w:shd w:val="clear" w:color="auto" w:fill="E5F1EE"/>
          </w:tcPr>
          <w:p>
            <w:pPr>
              <w:spacing w:after="0"/>
              <w:rPr>
                <w:sz w:val="11"/>
                <w:szCs w:val="11"/>
                <w:color w:val="auto"/>
              </w:rPr>
            </w:pPr>
          </w:p>
        </w:tc>
        <w:tc>
          <w:tcPr>
            <w:tcW w:w="160" w:type="dxa"/>
            <w:vAlign w:val="bottom"/>
            <w:shd w:val="clear" w:color="auto" w:fill="E5F1EE"/>
          </w:tcPr>
          <w:p>
            <w:pPr>
              <w:spacing w:after="0"/>
              <w:rPr>
                <w:sz w:val="11"/>
                <w:szCs w:val="11"/>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7.01</w:t>
            </w:r>
          </w:p>
        </w:tc>
        <w:tc>
          <w:tcPr>
            <w:tcW w:w="6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58,152</w:t>
            </w: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7.04</w:t>
            </w: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54,567</w:t>
            </w:r>
          </w:p>
        </w:tc>
        <w:tc>
          <w:tcPr>
            <w:tcW w:w="80" w:type="dxa"/>
            <w:vAlign w:val="bottom"/>
            <w:shd w:val="clear" w:color="auto" w:fill="E5F1EE"/>
          </w:tcPr>
          <w:p>
            <w:pPr>
              <w:spacing w:after="0"/>
              <w:rPr>
                <w:sz w:val="11"/>
                <w:szCs w:val="11"/>
                <w:color w:val="auto"/>
              </w:rPr>
            </w:pPr>
          </w:p>
        </w:tc>
        <w:tc>
          <w:tcPr>
            <w:tcW w:w="160" w:type="dxa"/>
            <w:vAlign w:val="bottom"/>
            <w:shd w:val="clear" w:color="auto" w:fill="E5F1EE"/>
          </w:tcPr>
          <w:p>
            <w:pPr>
              <w:spacing w:after="0"/>
              <w:rPr>
                <w:sz w:val="11"/>
                <w:szCs w:val="11"/>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6.86</w:t>
            </w:r>
          </w:p>
        </w:tc>
        <w:tc>
          <w:tcPr>
            <w:tcW w:w="60" w:type="dxa"/>
            <w:vAlign w:val="bottom"/>
            <w:shd w:val="clear" w:color="auto" w:fill="E5F1EE"/>
          </w:tcPr>
          <w:p>
            <w:pPr>
              <w:spacing w:after="0"/>
              <w:rPr>
                <w:sz w:val="11"/>
                <w:szCs w:val="11"/>
                <w:color w:val="auto"/>
              </w:rPr>
            </w:pPr>
          </w:p>
        </w:tc>
        <w:tc>
          <w:tcPr>
            <w:tcW w:w="540" w:type="dxa"/>
            <w:vAlign w:val="bottom"/>
            <w:shd w:val="clear" w:color="auto" w:fill="E5F1EE"/>
          </w:tcPr>
          <w:p>
            <w:pPr>
              <w:spacing w:after="0"/>
              <w:rPr>
                <w:sz w:val="11"/>
                <w:szCs w:val="11"/>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3</w:t>
            </w:r>
          </w:p>
        </w:tc>
        <w:tc>
          <w:tcPr>
            <w:tcW w:w="60" w:type="dxa"/>
            <w:vAlign w:val="bottom"/>
            <w:shd w:val="clear" w:color="auto" w:fill="E5F1EE"/>
          </w:tcPr>
          <w:p>
            <w:pPr>
              <w:spacing w:after="0"/>
              <w:rPr>
                <w:sz w:val="11"/>
                <w:szCs w:val="11"/>
                <w:color w:val="auto"/>
              </w:rPr>
            </w:pPr>
          </w:p>
        </w:tc>
        <w:tc>
          <w:tcPr>
            <w:tcW w:w="760" w:type="dxa"/>
            <w:vAlign w:val="bottom"/>
            <w:shd w:val="clear" w:color="auto" w:fill="E5F1EE"/>
          </w:tcPr>
          <w:p>
            <w:pPr>
              <w:spacing w:after="0"/>
              <w:rPr>
                <w:sz w:val="11"/>
                <w:szCs w:val="11"/>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00" w:type="dxa"/>
            <w:vAlign w:val="bottom"/>
            <w:shd w:val="clear" w:color="auto" w:fill="E5F1EE"/>
          </w:tcPr>
          <w:p>
            <w:pPr>
              <w:spacing w:after="0"/>
              <w:rPr>
                <w:sz w:val="11"/>
                <w:szCs w:val="11"/>
                <w:color w:val="auto"/>
              </w:rPr>
            </w:pP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58,256</w:t>
            </w:r>
          </w:p>
        </w:tc>
        <w:tc>
          <w:tcPr>
            <w:tcW w:w="80" w:type="dxa"/>
            <w:vAlign w:val="bottom"/>
            <w:shd w:val="clear" w:color="auto" w:fill="E5F1EE"/>
          </w:tcPr>
          <w:p>
            <w:pPr>
              <w:spacing w:after="0"/>
              <w:rPr>
                <w:sz w:val="11"/>
                <w:szCs w:val="11"/>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7.01</w:t>
            </w:r>
          </w:p>
        </w:tc>
        <w:tc>
          <w:tcPr>
            <w:tcW w:w="80" w:type="dxa"/>
            <w:vAlign w:val="bottom"/>
            <w:shd w:val="clear" w:color="auto" w:fill="E5F1EE"/>
          </w:tcPr>
          <w:p>
            <w:pPr>
              <w:spacing w:after="0"/>
              <w:rPr>
                <w:sz w:val="11"/>
                <w:szCs w:val="11"/>
                <w:color w:val="auto"/>
              </w:rPr>
            </w:pPr>
          </w:p>
        </w:tc>
        <w:tc>
          <w:tcPr>
            <w:tcW w:w="12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53,877</w:t>
            </w:r>
          </w:p>
        </w:tc>
        <w:tc>
          <w:tcPr>
            <w:tcW w:w="80" w:type="dxa"/>
            <w:vAlign w:val="bottom"/>
            <w:shd w:val="clear" w:color="auto" w:fill="E5F1EE"/>
          </w:tcPr>
          <w:p>
            <w:pPr>
              <w:spacing w:after="0"/>
              <w:rPr>
                <w:sz w:val="11"/>
                <w:szCs w:val="11"/>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6.60</w:t>
            </w:r>
          </w:p>
        </w:tc>
        <w:tc>
          <w:tcPr>
            <w:tcW w:w="80" w:type="dxa"/>
            <w:vAlign w:val="bottom"/>
            <w:shd w:val="clear" w:color="auto" w:fill="E5F1EE"/>
          </w:tcPr>
          <w:p>
            <w:pPr>
              <w:spacing w:after="0"/>
              <w:rPr>
                <w:sz w:val="11"/>
                <w:szCs w:val="11"/>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100" w:type="dxa"/>
            <w:vAlign w:val="bottom"/>
            <w:shd w:val="clear" w:color="auto" w:fill="E5F1EE"/>
          </w:tcPr>
          <w:p>
            <w:pPr>
              <w:spacing w:after="0"/>
              <w:rPr>
                <w:sz w:val="11"/>
                <w:szCs w:val="11"/>
                <w:color w:val="auto"/>
              </w:rPr>
            </w:pPr>
          </w:p>
        </w:tc>
      </w:tr>
      <w:tr>
        <w:trPr>
          <w:trHeight w:val="112"/>
        </w:trPr>
        <w:tc>
          <w:tcPr>
            <w:tcW w:w="224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Real estate - commercial</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29,075</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6.27</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31,458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6.38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34,288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6.50</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-8</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3"/>
              </w:rPr>
              <w:t>-15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31,069</w:t>
            </w:r>
          </w:p>
        </w:tc>
        <w:tc>
          <w:tcPr>
            <w:tcW w:w="80" w:type="dxa"/>
            <w:vAlign w:val="bottom"/>
          </w:tcPr>
          <w:p>
            <w:pPr>
              <w:spacing w:after="0"/>
              <w:rPr>
                <w:sz w:val="9"/>
                <w:szCs w:val="9"/>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6.34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34,823</w:t>
            </w:r>
          </w:p>
        </w:tc>
        <w:tc>
          <w:tcPr>
            <w:tcW w:w="80" w:type="dxa"/>
            <w:vAlign w:val="bottom"/>
          </w:tcPr>
          <w:p>
            <w:pPr>
              <w:spacing w:after="0"/>
              <w:rPr>
                <w:sz w:val="9"/>
                <w:szCs w:val="9"/>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6.26</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100" w:type="dxa"/>
            <w:vAlign w:val="bottom"/>
          </w:tcPr>
          <w:p>
            <w:pPr>
              <w:spacing w:after="0"/>
              <w:rPr>
                <w:sz w:val="9"/>
                <w:szCs w:val="9"/>
                <w:color w:val="auto"/>
              </w:rPr>
            </w:pPr>
          </w:p>
        </w:tc>
      </w:tr>
      <w:tr>
        <w:trPr>
          <w:trHeight w:val="122"/>
        </w:trPr>
        <w:tc>
          <w:tcPr>
            <w:tcW w:w="22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Real estate - consumer</w:t>
            </w: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22,994</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4.41</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23,006</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4.32</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23,573</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4.14</w:t>
            </w: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1060" w:type="dxa"/>
            <w:vAlign w:val="bottom"/>
            <w:gridSpan w:val="3"/>
            <w:shd w:val="clear" w:color="auto" w:fill="E5F1EE"/>
          </w:tcPr>
          <w:p>
            <w:pPr>
              <w:jc w:val="right"/>
              <w:ind w:right="89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23,045</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4.33</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23,707</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4.06</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shd w:val="clear" w:color="auto" w:fill="E5F1EE"/>
          </w:tcPr>
          <w:p>
            <w:pPr>
              <w:spacing w:after="0"/>
              <w:rPr>
                <w:sz w:val="10"/>
                <w:szCs w:val="10"/>
                <w:color w:val="auto"/>
              </w:rPr>
            </w:pPr>
          </w:p>
        </w:tc>
      </w:tr>
      <w:tr>
        <w:trPr>
          <w:trHeight w:val="112"/>
        </w:trPr>
        <w:tc>
          <w:tcPr>
            <w:tcW w:w="224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8"/>
                <w:szCs w:val="8"/>
                <w:color w:val="auto"/>
              </w:rPr>
              <w:t>Consumer</w:t>
            </w: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22,903</w:t>
            </w:r>
          </w:p>
        </w:tc>
        <w:tc>
          <w:tcPr>
            <w:tcW w:w="60" w:type="dxa"/>
            <w:vAlign w:val="bottom"/>
            <w:tcBorders>
              <w:bottom w:val="single" w:sz="8" w:color="E5F1EE"/>
            </w:tcBorders>
          </w:tcPr>
          <w:p>
            <w:pPr>
              <w:spacing w:after="0"/>
              <w:rPr>
                <w:sz w:val="9"/>
                <w:szCs w:val="9"/>
                <w:color w:val="auto"/>
              </w:rPr>
            </w:pPr>
          </w:p>
        </w:tc>
        <w:tc>
          <w:tcPr>
            <w:tcW w:w="160" w:type="dxa"/>
            <w:vAlign w:val="bottom"/>
            <w:tcBorders>
              <w:bottom w:val="single" w:sz="8" w:color="E5F1EE"/>
            </w:tcBorders>
          </w:tcPr>
          <w:p>
            <w:pPr>
              <w:spacing w:after="0"/>
              <w:rPr>
                <w:sz w:val="9"/>
                <w:szCs w:val="9"/>
                <w:color w:val="auto"/>
              </w:rPr>
            </w:pPr>
          </w:p>
        </w:tc>
        <w:tc>
          <w:tcPr>
            <w:tcW w:w="360" w:type="dxa"/>
            <w:vAlign w:val="bottom"/>
            <w:tcBorders>
              <w:bottom w:val="single" w:sz="8" w:color="E5F1EE"/>
            </w:tcBorders>
          </w:tcPr>
          <w:p>
            <w:pPr>
              <w:ind w:left="100"/>
              <w:spacing w:after="0"/>
              <w:rPr>
                <w:sz w:val="20"/>
                <w:szCs w:val="20"/>
                <w:color w:val="auto"/>
              </w:rPr>
            </w:pPr>
            <w:r>
              <w:rPr>
                <w:rFonts w:ascii="Times New Roman" w:cs="Times New Roman" w:eastAsia="Times New Roman" w:hAnsi="Times New Roman"/>
                <w:sz w:val="8"/>
                <w:szCs w:val="8"/>
                <w:color w:val="auto"/>
              </w:rPr>
              <w:t>6.72</w:t>
            </w:r>
          </w:p>
        </w:tc>
        <w:tc>
          <w:tcPr>
            <w:tcW w:w="6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21,972</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40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8"/>
                <w:szCs w:val="8"/>
                <w:color w:val="auto"/>
              </w:rPr>
              <w:t>6.61</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20,189</w:t>
            </w:r>
          </w:p>
        </w:tc>
        <w:tc>
          <w:tcPr>
            <w:tcW w:w="80" w:type="dxa"/>
            <w:vAlign w:val="bottom"/>
            <w:tcBorders>
              <w:bottom w:val="single" w:sz="8" w:color="E5F1EE"/>
            </w:tcBorders>
          </w:tcPr>
          <w:p>
            <w:pPr>
              <w:spacing w:after="0"/>
              <w:rPr>
                <w:sz w:val="9"/>
                <w:szCs w:val="9"/>
                <w:color w:val="auto"/>
              </w:rPr>
            </w:pPr>
          </w:p>
        </w:tc>
        <w:tc>
          <w:tcPr>
            <w:tcW w:w="160" w:type="dxa"/>
            <w:vAlign w:val="bottom"/>
            <w:tcBorders>
              <w:bottom w:val="single" w:sz="8" w:color="E5F1EE"/>
            </w:tcBorders>
          </w:tcPr>
          <w:p>
            <w:pPr>
              <w:spacing w:after="0"/>
              <w:rPr>
                <w:sz w:val="9"/>
                <w:szCs w:val="9"/>
                <w:color w:val="auto"/>
              </w:rPr>
            </w:pPr>
          </w:p>
        </w:tc>
        <w:tc>
          <w:tcPr>
            <w:tcW w:w="360" w:type="dxa"/>
            <w:vAlign w:val="bottom"/>
            <w:tcBorders>
              <w:bottom w:val="single" w:sz="8" w:color="E5F1EE"/>
            </w:tcBorders>
          </w:tcPr>
          <w:p>
            <w:pPr>
              <w:ind w:left="100"/>
              <w:spacing w:after="0"/>
              <w:rPr>
                <w:sz w:val="20"/>
                <w:szCs w:val="20"/>
                <w:color w:val="auto"/>
              </w:rPr>
            </w:pPr>
            <w:r>
              <w:rPr>
                <w:rFonts w:ascii="Times New Roman" w:cs="Times New Roman" w:eastAsia="Times New Roman" w:hAnsi="Times New Roman"/>
                <w:sz w:val="8"/>
                <w:szCs w:val="8"/>
                <w:color w:val="auto"/>
              </w:rPr>
              <w:t>6.16</w:t>
            </w:r>
          </w:p>
        </w:tc>
        <w:tc>
          <w:tcPr>
            <w:tcW w:w="60" w:type="dxa"/>
            <w:vAlign w:val="bottom"/>
            <w:tcBorders>
              <w:bottom w:val="single" w:sz="8" w:color="E5F1EE"/>
            </w:tcBorders>
          </w:tcPr>
          <w:p>
            <w:pPr>
              <w:spacing w:after="0"/>
              <w:rPr>
                <w:sz w:val="9"/>
                <w:szCs w:val="9"/>
                <w:color w:val="auto"/>
              </w:rPr>
            </w:pPr>
          </w:p>
        </w:tc>
        <w:tc>
          <w:tcPr>
            <w:tcW w:w="540" w:type="dxa"/>
            <w:vAlign w:val="bottom"/>
            <w:tcBorders>
              <w:bottom w:val="single" w:sz="8" w:color="E5F1EE"/>
            </w:tcBorders>
          </w:tcPr>
          <w:p>
            <w:pPr>
              <w:spacing w:after="0"/>
              <w:rPr>
                <w:sz w:val="9"/>
                <w:szCs w:val="9"/>
                <w:color w:val="auto"/>
              </w:rPr>
            </w:pPr>
          </w:p>
        </w:tc>
        <w:tc>
          <w:tcPr>
            <w:tcW w:w="240" w:type="dxa"/>
            <w:vAlign w:val="bottom"/>
            <w:tcBorders>
              <w:bottom w:val="single" w:sz="8" w:color="E5F1EE"/>
            </w:tcBorders>
          </w:tcPr>
          <w:p>
            <w:pPr>
              <w:jc w:val="right"/>
              <w:ind w:right="78"/>
              <w:spacing w:after="0"/>
              <w:rPr>
                <w:sz w:val="20"/>
                <w:szCs w:val="20"/>
                <w:color w:val="auto"/>
              </w:rPr>
            </w:pPr>
            <w:r>
              <w:rPr>
                <w:rFonts w:ascii="Times New Roman" w:cs="Times New Roman" w:eastAsia="Times New Roman" w:hAnsi="Times New Roman"/>
                <w:sz w:val="8"/>
                <w:szCs w:val="8"/>
                <w:color w:val="auto"/>
              </w:rPr>
              <w:t>4</w:t>
            </w:r>
          </w:p>
        </w:tc>
        <w:tc>
          <w:tcPr>
            <w:tcW w:w="60" w:type="dxa"/>
            <w:vAlign w:val="bottom"/>
            <w:tcBorders>
              <w:bottom w:val="single" w:sz="8" w:color="E5F1EE"/>
            </w:tcBorders>
          </w:tcPr>
          <w:p>
            <w:pPr>
              <w:spacing w:after="0"/>
              <w:rPr>
                <w:sz w:val="9"/>
                <w:szCs w:val="9"/>
                <w:color w:val="auto"/>
              </w:rPr>
            </w:pPr>
          </w:p>
        </w:tc>
        <w:tc>
          <w:tcPr>
            <w:tcW w:w="76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100" w:type="dxa"/>
            <w:vAlign w:val="bottom"/>
            <w:tcBorders>
              <w:bottom w:val="single" w:sz="8" w:color="E5F1EE"/>
            </w:tcBorders>
          </w:tcPr>
          <w:p>
            <w:pPr>
              <w:spacing w:after="0"/>
              <w:rPr>
                <w:sz w:val="9"/>
                <w:szCs w:val="9"/>
                <w:color w:val="auto"/>
              </w:rPr>
            </w:pP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22,009</w:t>
            </w:r>
          </w:p>
        </w:tc>
        <w:tc>
          <w:tcPr>
            <w:tcW w:w="80" w:type="dxa"/>
            <w:vAlign w:val="bottom"/>
            <w:tcBorders>
              <w:bottom w:val="single" w:sz="8" w:color="E5F1EE"/>
            </w:tcBorders>
          </w:tcPr>
          <w:p>
            <w:pPr>
              <w:spacing w:after="0"/>
              <w:rPr>
                <w:sz w:val="9"/>
                <w:szCs w:val="9"/>
                <w:color w:val="auto"/>
              </w:rPr>
            </w:pPr>
          </w:p>
        </w:tc>
        <w:tc>
          <w:tcPr>
            <w:tcW w:w="520" w:type="dxa"/>
            <w:vAlign w:val="bottom"/>
            <w:tcBorders>
              <w:bottom w:val="single" w:sz="8" w:color="E5F1EE"/>
            </w:tcBorders>
          </w:tcPr>
          <w:p>
            <w:pPr>
              <w:ind w:left="260"/>
              <w:spacing w:after="0"/>
              <w:rPr>
                <w:sz w:val="20"/>
                <w:szCs w:val="20"/>
                <w:color w:val="auto"/>
              </w:rPr>
            </w:pPr>
            <w:r>
              <w:rPr>
                <w:rFonts w:ascii="Times New Roman" w:cs="Times New Roman" w:eastAsia="Times New Roman" w:hAnsi="Times New Roman"/>
                <w:sz w:val="8"/>
                <w:szCs w:val="8"/>
                <w:color w:val="auto"/>
              </w:rPr>
              <w:t>6.63</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20,320</w:t>
            </w:r>
          </w:p>
        </w:tc>
        <w:tc>
          <w:tcPr>
            <w:tcW w:w="80" w:type="dxa"/>
            <w:vAlign w:val="bottom"/>
            <w:tcBorders>
              <w:bottom w:val="single" w:sz="8" w:color="E5F1EE"/>
            </w:tcBorders>
          </w:tcPr>
          <w:p>
            <w:pPr>
              <w:spacing w:after="0"/>
              <w:rPr>
                <w:sz w:val="9"/>
                <w:szCs w:val="9"/>
                <w:color w:val="auto"/>
              </w:rPr>
            </w:pPr>
          </w:p>
        </w:tc>
        <w:tc>
          <w:tcPr>
            <w:tcW w:w="520" w:type="dxa"/>
            <w:vAlign w:val="bottom"/>
            <w:tcBorders>
              <w:bottom w:val="single" w:sz="8" w:color="E5F1EE"/>
            </w:tcBorders>
          </w:tcPr>
          <w:p>
            <w:pPr>
              <w:ind w:left="260"/>
              <w:spacing w:after="0"/>
              <w:rPr>
                <w:sz w:val="20"/>
                <w:szCs w:val="20"/>
                <w:color w:val="auto"/>
              </w:rPr>
            </w:pPr>
            <w:r>
              <w:rPr>
                <w:rFonts w:ascii="Times New Roman" w:cs="Times New Roman" w:eastAsia="Times New Roman" w:hAnsi="Times New Roman"/>
                <w:sz w:val="8"/>
                <w:szCs w:val="8"/>
                <w:color w:val="auto"/>
              </w:rPr>
              <w:t>5.90</w:t>
            </w:r>
          </w:p>
        </w:tc>
        <w:tc>
          <w:tcPr>
            <w:tcW w:w="80" w:type="dxa"/>
            <w:vAlign w:val="bottom"/>
            <w:tcBorders>
              <w:bottom w:val="single" w:sz="8" w:color="E5F1EE"/>
            </w:tcBorders>
          </w:tcPr>
          <w:p>
            <w:pPr>
              <w:spacing w:after="0"/>
              <w:rPr>
                <w:sz w:val="9"/>
                <w:szCs w:val="9"/>
                <w:color w:val="auto"/>
              </w:rPr>
            </w:pPr>
          </w:p>
        </w:tc>
        <w:tc>
          <w:tcPr>
            <w:tcW w:w="5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100" w:type="dxa"/>
            <w:vAlign w:val="bottom"/>
            <w:tcBorders>
              <w:bottom w:val="single" w:sz="8" w:color="E5F1EE"/>
            </w:tcBorders>
          </w:tcPr>
          <w:p>
            <w:pPr>
              <w:spacing w:after="0"/>
              <w:rPr>
                <w:sz w:val="9"/>
                <w:szCs w:val="9"/>
                <w:color w:val="auto"/>
              </w:rPr>
            </w:pPr>
          </w:p>
        </w:tc>
      </w:tr>
      <w:tr>
        <w:trPr>
          <w:trHeight w:val="111"/>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Total loans and leases, net</w:t>
            </w: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134,751</w:t>
            </w:r>
          </w:p>
        </w:tc>
        <w:tc>
          <w:tcPr>
            <w:tcW w:w="60" w:type="dxa"/>
            <w:vAlign w:val="bottom"/>
            <w:shd w:val="clear" w:color="auto" w:fill="E5F1EE"/>
          </w:tcPr>
          <w:p>
            <w:pPr>
              <w:spacing w:after="0"/>
              <w:rPr>
                <w:sz w:val="9"/>
                <w:szCs w:val="9"/>
                <w:color w:val="auto"/>
              </w:rPr>
            </w:pPr>
          </w:p>
        </w:tc>
        <w:tc>
          <w:tcPr>
            <w:tcW w:w="160" w:type="dxa"/>
            <w:vAlign w:val="bottom"/>
            <w:shd w:val="clear" w:color="auto" w:fill="E5F1EE"/>
          </w:tcPr>
          <w:p>
            <w:pPr>
              <w:spacing w:after="0"/>
              <w:rPr>
                <w:sz w:val="9"/>
                <w:szCs w:val="9"/>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6.38</w:t>
            </w:r>
          </w:p>
        </w:tc>
        <w:tc>
          <w:tcPr>
            <w:tcW w:w="60" w:type="dxa"/>
            <w:vAlign w:val="bottom"/>
            <w:shd w:val="clear" w:color="auto" w:fill="E5F1EE"/>
          </w:tcPr>
          <w:p>
            <w:pPr>
              <w:spacing w:after="0"/>
              <w:rPr>
                <w:sz w:val="9"/>
                <w:szCs w:val="9"/>
                <w:color w:val="auto"/>
              </w:rPr>
            </w:pP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134,588</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6.38</w:t>
            </w:r>
          </w:p>
        </w:tc>
        <w:tc>
          <w:tcPr>
            <w:tcW w:w="80" w:type="dxa"/>
            <w:vAlign w:val="bottom"/>
            <w:shd w:val="clear" w:color="auto" w:fill="E5F1EE"/>
          </w:tcPr>
          <w:p>
            <w:pPr>
              <w:spacing w:after="0"/>
              <w:rPr>
                <w:sz w:val="9"/>
                <w:szCs w:val="9"/>
                <w:color w:val="auto"/>
              </w:rPr>
            </w:pP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132,617</w:t>
            </w:r>
          </w:p>
        </w:tc>
        <w:tc>
          <w:tcPr>
            <w:tcW w:w="80" w:type="dxa"/>
            <w:vAlign w:val="bottom"/>
            <w:shd w:val="clear" w:color="auto" w:fill="E5F1EE"/>
          </w:tcPr>
          <w:p>
            <w:pPr>
              <w:spacing w:after="0"/>
              <w:rPr>
                <w:sz w:val="9"/>
                <w:szCs w:val="9"/>
                <w:color w:val="auto"/>
              </w:rPr>
            </w:pPr>
          </w:p>
        </w:tc>
        <w:tc>
          <w:tcPr>
            <w:tcW w:w="160" w:type="dxa"/>
            <w:vAlign w:val="bottom"/>
            <w:shd w:val="clear" w:color="auto" w:fill="E5F1EE"/>
          </w:tcPr>
          <w:p>
            <w:pPr>
              <w:spacing w:after="0"/>
              <w:rPr>
                <w:sz w:val="9"/>
                <w:szCs w:val="9"/>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6.19</w:t>
            </w:r>
          </w:p>
        </w:tc>
        <w:tc>
          <w:tcPr>
            <w:tcW w:w="60" w:type="dxa"/>
            <w:vAlign w:val="bottom"/>
            <w:shd w:val="clear" w:color="auto" w:fill="E5F1EE"/>
          </w:tcPr>
          <w:p>
            <w:pPr>
              <w:spacing w:after="0"/>
              <w:rPr>
                <w:sz w:val="9"/>
                <w:szCs w:val="9"/>
                <w:color w:val="auto"/>
              </w:rPr>
            </w:pPr>
          </w:p>
        </w:tc>
        <w:tc>
          <w:tcPr>
            <w:tcW w:w="540" w:type="dxa"/>
            <w:vAlign w:val="bottom"/>
            <w:shd w:val="clear" w:color="auto" w:fill="E5F1EE"/>
          </w:tcPr>
          <w:p>
            <w:pPr>
              <w:spacing w:after="0"/>
              <w:rPr>
                <w:sz w:val="9"/>
                <w:szCs w:val="9"/>
                <w:color w:val="auto"/>
              </w:rPr>
            </w:pPr>
          </w:p>
        </w:tc>
        <w:tc>
          <w:tcPr>
            <w:tcW w:w="1060" w:type="dxa"/>
            <w:vAlign w:val="bottom"/>
            <w:gridSpan w:val="3"/>
            <w:shd w:val="clear" w:color="auto" w:fill="E5F1EE"/>
          </w:tcPr>
          <w:p>
            <w:pPr>
              <w:jc w:val="right"/>
              <w:ind w:right="89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E5F1EE"/>
          </w:tcPr>
          <w:p>
            <w:pPr>
              <w:spacing w:after="0"/>
              <w:rPr>
                <w:sz w:val="9"/>
                <w:szCs w:val="9"/>
                <w:color w:val="auto"/>
              </w:rPr>
            </w:pPr>
          </w:p>
        </w:tc>
        <w:tc>
          <w:tcPr>
            <w:tcW w:w="80" w:type="dxa"/>
            <w:vAlign w:val="bottom"/>
            <w:shd w:val="clear" w:color="auto" w:fill="E5F1EE"/>
          </w:tcPr>
          <w:p>
            <w:pPr>
              <w:spacing w:after="0"/>
              <w:rPr>
                <w:sz w:val="9"/>
                <w:szCs w:val="9"/>
                <w:color w:val="auto"/>
              </w:rPr>
            </w:pP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134,379</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6.36</w:t>
            </w:r>
          </w:p>
        </w:tc>
        <w:tc>
          <w:tcPr>
            <w:tcW w:w="80" w:type="dxa"/>
            <w:vAlign w:val="bottom"/>
            <w:shd w:val="clear" w:color="auto" w:fill="E5F1EE"/>
          </w:tcPr>
          <w:p>
            <w:pPr>
              <w:spacing w:after="0"/>
              <w:rPr>
                <w:sz w:val="9"/>
                <w:szCs w:val="9"/>
                <w:color w:val="auto"/>
              </w:rPr>
            </w:pPr>
          </w:p>
        </w:tc>
        <w:tc>
          <w:tcPr>
            <w:tcW w:w="120" w:type="dxa"/>
            <w:vAlign w:val="bottom"/>
            <w:tcBorders>
              <w:bottom w:val="single" w:sz="8" w:color="auto"/>
            </w:tcBorders>
            <w:shd w:val="clear" w:color="auto" w:fill="E5F1EE"/>
          </w:tcPr>
          <w:p>
            <w:pPr>
              <w:spacing w:after="0"/>
              <w:rPr>
                <w:sz w:val="9"/>
                <w:szCs w:val="9"/>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132,727</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5.98</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E5F1EE"/>
          </w:tcPr>
          <w:p>
            <w:pPr>
              <w:spacing w:after="0"/>
              <w:rPr>
                <w:sz w:val="9"/>
                <w:szCs w:val="9"/>
                <w:color w:val="auto"/>
              </w:rPr>
            </w:pPr>
          </w:p>
        </w:tc>
      </w:tr>
      <w:tr>
        <w:trPr>
          <w:trHeight w:val="101"/>
        </w:trPr>
        <w:tc>
          <w:tcPr>
            <w:tcW w:w="2240" w:type="dxa"/>
            <w:vAlign w:val="bottom"/>
          </w:tcPr>
          <w:p>
            <w:pPr>
              <w:spacing w:after="0" w:line="89" w:lineRule="exact"/>
              <w:rPr>
                <w:sz w:val="20"/>
                <w:szCs w:val="20"/>
                <w:color w:val="auto"/>
              </w:rPr>
            </w:pPr>
            <w:r>
              <w:rPr>
                <w:rFonts w:ascii="Times New Roman" w:cs="Times New Roman" w:eastAsia="Times New Roman" w:hAnsi="Times New Roman"/>
                <w:sz w:val="8"/>
                <w:szCs w:val="8"/>
                <w:b w:val="1"/>
                <w:bCs w:val="1"/>
                <w:color w:val="auto"/>
              </w:rPr>
              <w:t>Total earning assets</w:t>
            </w: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191,366</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5.82</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193,676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5.82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187,403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5.62</w:t>
            </w: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192,721</w:t>
            </w:r>
          </w:p>
        </w:tc>
        <w:tc>
          <w:tcPr>
            <w:tcW w:w="80" w:type="dxa"/>
            <w:vAlign w:val="bottom"/>
          </w:tcPr>
          <w:p>
            <w:pPr>
              <w:spacing w:after="0"/>
              <w:rPr>
                <w:sz w:val="8"/>
                <w:szCs w:val="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5.79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185,815</w:t>
            </w:r>
          </w:p>
        </w:tc>
        <w:tc>
          <w:tcPr>
            <w:tcW w:w="80" w:type="dxa"/>
            <w:vAlign w:val="bottom"/>
          </w:tcPr>
          <w:p>
            <w:pPr>
              <w:spacing w:after="0"/>
              <w:rPr>
                <w:sz w:val="8"/>
                <w:szCs w:val="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5.41</w:t>
            </w:r>
          </w:p>
        </w:tc>
        <w:tc>
          <w:tcPr>
            <w:tcW w:w="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100" w:type="dxa"/>
            <w:vAlign w:val="bottom"/>
          </w:tcPr>
          <w:p>
            <w:pPr>
              <w:spacing w:after="0"/>
              <w:rPr>
                <w:sz w:val="8"/>
                <w:szCs w:val="8"/>
                <w:color w:val="auto"/>
              </w:rPr>
            </w:pPr>
          </w:p>
        </w:tc>
      </w:tr>
      <w:tr>
        <w:trPr>
          <w:trHeight w:val="122"/>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Goodwill</w:t>
            </w: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1060" w:type="dxa"/>
            <w:vAlign w:val="bottom"/>
            <w:gridSpan w:val="3"/>
            <w:shd w:val="clear" w:color="auto" w:fill="E5F1EE"/>
          </w:tcPr>
          <w:p>
            <w:pPr>
              <w:jc w:val="right"/>
              <w:ind w:right="89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8,465</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8,476</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E5F1EE"/>
          </w:tcPr>
          <w:p>
            <w:pPr>
              <w:spacing w:after="0"/>
              <w:rPr>
                <w:sz w:val="10"/>
                <w:szCs w:val="10"/>
                <w:color w:val="auto"/>
              </w:rPr>
            </w:pPr>
          </w:p>
        </w:tc>
      </w:tr>
      <w:tr>
        <w:trPr>
          <w:trHeight w:val="112"/>
        </w:trPr>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Core deposit and other intangible assets</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113</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w w:val="93"/>
              </w:rPr>
              <w:t>-10</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3"/>
              </w:rPr>
              <w:t>-33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126</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100" w:type="dxa"/>
            <w:vAlign w:val="bottom"/>
          </w:tcPr>
          <w:p>
            <w:pPr>
              <w:spacing w:after="0"/>
              <w:rPr>
                <w:sz w:val="9"/>
                <w:szCs w:val="9"/>
                <w:color w:val="auto"/>
              </w:rPr>
            </w:pPr>
          </w:p>
        </w:tc>
      </w:tr>
      <w:tr>
        <w:trPr>
          <w:trHeight w:val="122"/>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Other assets</w:t>
            </w: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9,637</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9,714</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9,753</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9,696</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9,790</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E5F1EE"/>
          </w:tcPr>
          <w:p>
            <w:pPr>
              <w:spacing w:after="0"/>
              <w:rPr>
                <w:sz w:val="10"/>
                <w:szCs w:val="10"/>
                <w:color w:val="auto"/>
              </w:rPr>
            </w:pPr>
          </w:p>
        </w:tc>
      </w:tr>
      <w:tr>
        <w:trPr>
          <w:trHeight w:val="122"/>
        </w:trPr>
        <w:tc>
          <w:tcPr>
            <w:tcW w:w="22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8"/>
                <w:szCs w:val="8"/>
                <w:color w:val="auto"/>
              </w:rPr>
              <w:t>Total assets</w:t>
            </w: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209,581</w:t>
            </w:r>
          </w:p>
        </w:tc>
        <w:tc>
          <w:tcPr>
            <w:tcW w:w="60" w:type="dxa"/>
            <w:vAlign w:val="bottom"/>
            <w:tcBorders>
              <w:bottom w:val="single" w:sz="8" w:color="E5F1EE"/>
            </w:tcBorders>
          </w:tcPr>
          <w:p>
            <w:pPr>
              <w:spacing w:after="0"/>
              <w:rPr>
                <w:sz w:val="10"/>
                <w:szCs w:val="10"/>
                <w:color w:val="auto"/>
              </w:rPr>
            </w:pPr>
          </w:p>
        </w:tc>
        <w:tc>
          <w:tcPr>
            <w:tcW w:w="160" w:type="dxa"/>
            <w:vAlign w:val="bottom"/>
            <w:tcBorders>
              <w:bottom w:val="single" w:sz="8" w:color="E5F1EE"/>
            </w:tcBorders>
          </w:tcPr>
          <w:p>
            <w:pPr>
              <w:spacing w:after="0"/>
              <w:rPr>
                <w:sz w:val="10"/>
                <w:szCs w:val="10"/>
                <w:color w:val="auto"/>
              </w:rPr>
            </w:pPr>
          </w:p>
        </w:tc>
        <w:tc>
          <w:tcPr>
            <w:tcW w:w="36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211,981</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40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205,791</w:t>
            </w:r>
          </w:p>
        </w:tc>
        <w:tc>
          <w:tcPr>
            <w:tcW w:w="80" w:type="dxa"/>
            <w:vAlign w:val="bottom"/>
            <w:tcBorders>
              <w:bottom w:val="single" w:sz="8" w:color="E5F1EE"/>
            </w:tcBorders>
          </w:tcPr>
          <w:p>
            <w:pPr>
              <w:spacing w:after="0"/>
              <w:rPr>
                <w:sz w:val="10"/>
                <w:szCs w:val="10"/>
                <w:color w:val="auto"/>
              </w:rPr>
            </w:pPr>
          </w:p>
        </w:tc>
        <w:tc>
          <w:tcPr>
            <w:tcW w:w="160" w:type="dxa"/>
            <w:vAlign w:val="bottom"/>
            <w:tcBorders>
              <w:bottom w:val="single" w:sz="8" w:color="E5F1EE"/>
            </w:tcBorders>
          </w:tcPr>
          <w:p>
            <w:pPr>
              <w:spacing w:after="0"/>
              <w:rPr>
                <w:sz w:val="10"/>
                <w:szCs w:val="10"/>
                <w:color w:val="auto"/>
              </w:rPr>
            </w:pPr>
          </w:p>
        </w:tc>
        <w:tc>
          <w:tcPr>
            <w:tcW w:w="36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540" w:type="dxa"/>
            <w:vAlign w:val="bottom"/>
            <w:tcBorders>
              <w:bottom w:val="single" w:sz="8" w:color="E5F1EE"/>
            </w:tcBorders>
          </w:tcPr>
          <w:p>
            <w:pPr>
              <w:spacing w:after="0"/>
              <w:rPr>
                <w:sz w:val="10"/>
                <w:szCs w:val="10"/>
                <w:color w:val="auto"/>
              </w:rPr>
            </w:pPr>
          </w:p>
        </w:tc>
        <w:tc>
          <w:tcPr>
            <w:tcW w:w="24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60" w:type="dxa"/>
            <w:vAlign w:val="bottom"/>
            <w:tcBorders>
              <w:bottom w:val="single" w:sz="8" w:color="E5F1EE"/>
            </w:tcBorders>
          </w:tcPr>
          <w:p>
            <w:pPr>
              <w:spacing w:after="0"/>
              <w:rPr>
                <w:sz w:val="10"/>
                <w:szCs w:val="10"/>
                <w:color w:val="auto"/>
              </w:rPr>
            </w:pPr>
          </w:p>
        </w:tc>
        <w:tc>
          <w:tcPr>
            <w:tcW w:w="760" w:type="dxa"/>
            <w:vAlign w:val="bottom"/>
            <w:tcBorders>
              <w:bottom w:val="single" w:sz="8" w:color="E5F1EE"/>
            </w:tcBorders>
          </w:tcPr>
          <w:p>
            <w:pPr>
              <w:spacing w:after="0"/>
              <w:rPr>
                <w:sz w:val="10"/>
                <w:szCs w:val="10"/>
                <w:color w:val="auto"/>
              </w:rPr>
            </w:pPr>
          </w:p>
        </w:tc>
        <w:tc>
          <w:tcPr>
            <w:tcW w:w="22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211,008</w:t>
            </w:r>
          </w:p>
        </w:tc>
        <w:tc>
          <w:tcPr>
            <w:tcW w:w="80" w:type="dxa"/>
            <w:vAlign w:val="bottom"/>
            <w:tcBorders>
              <w:bottom w:val="single" w:sz="8" w:color="E5F1EE"/>
            </w:tcBorders>
          </w:tcPr>
          <w:p>
            <w:pPr>
              <w:spacing w:after="0"/>
              <w:rPr>
                <w:sz w:val="10"/>
                <w:szCs w:val="10"/>
                <w:color w:val="auto"/>
              </w:rPr>
            </w:pPr>
          </w:p>
        </w:tc>
        <w:tc>
          <w:tcPr>
            <w:tcW w:w="5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204,266</w:t>
            </w:r>
          </w:p>
        </w:tc>
        <w:tc>
          <w:tcPr>
            <w:tcW w:w="80" w:type="dxa"/>
            <w:vAlign w:val="bottom"/>
            <w:tcBorders>
              <w:bottom w:val="single" w:sz="8" w:color="E5F1EE"/>
            </w:tcBorders>
          </w:tcPr>
          <w:p>
            <w:pPr>
              <w:spacing w:after="0"/>
              <w:rPr>
                <w:sz w:val="10"/>
                <w:szCs w:val="10"/>
                <w:color w:val="auto"/>
              </w:rPr>
            </w:pPr>
          </w:p>
        </w:tc>
        <w:tc>
          <w:tcPr>
            <w:tcW w:w="5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620" w:type="dxa"/>
            <w:vAlign w:val="bottom"/>
            <w:tcBorders>
              <w:bottom w:val="single" w:sz="8" w:color="E5F1EE"/>
            </w:tcBorders>
            <w:gridSpan w:val="2"/>
          </w:tcPr>
          <w:p>
            <w:pPr>
              <w:jc w:val="right"/>
              <w:spacing w:after="0"/>
              <w:rPr>
                <w:sz w:val="20"/>
                <w:szCs w:val="20"/>
                <w:color w:val="auto"/>
              </w:rPr>
            </w:pPr>
            <w:r>
              <w:rPr>
                <w:rFonts w:ascii="Times New Roman" w:cs="Times New Roman" w:eastAsia="Times New Roman" w:hAnsi="Times New Roman"/>
                <w:sz w:val="8"/>
                <w:szCs w:val="8"/>
                <w:color w:val="auto"/>
              </w:rPr>
              <w:t>3 %</w:t>
            </w:r>
          </w:p>
        </w:tc>
      </w:tr>
      <w:tr>
        <w:trPr>
          <w:trHeight w:val="162"/>
        </w:trPr>
        <w:tc>
          <w:tcPr>
            <w:tcW w:w="224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60" w:type="dxa"/>
            <w:vAlign w:val="bottom"/>
            <w:shd w:val="clear" w:color="auto" w:fill="E5F1EE"/>
          </w:tcPr>
          <w:p>
            <w:pPr>
              <w:spacing w:after="0"/>
              <w:rPr>
                <w:sz w:val="14"/>
                <w:szCs w:val="14"/>
                <w:color w:val="auto"/>
              </w:rPr>
            </w:pPr>
          </w:p>
        </w:tc>
        <w:tc>
          <w:tcPr>
            <w:tcW w:w="160" w:type="dxa"/>
            <w:vAlign w:val="bottom"/>
            <w:shd w:val="clear" w:color="auto" w:fill="E5F1EE"/>
          </w:tcPr>
          <w:p>
            <w:pPr>
              <w:spacing w:after="0"/>
              <w:rPr>
                <w:sz w:val="14"/>
                <w:szCs w:val="14"/>
                <w:color w:val="auto"/>
              </w:rPr>
            </w:pPr>
          </w:p>
        </w:tc>
        <w:tc>
          <w:tcPr>
            <w:tcW w:w="360" w:type="dxa"/>
            <w:vAlign w:val="bottom"/>
            <w:shd w:val="clear" w:color="auto" w:fill="E5F1EE"/>
          </w:tcPr>
          <w:p>
            <w:pPr>
              <w:spacing w:after="0"/>
              <w:rPr>
                <w:sz w:val="14"/>
                <w:szCs w:val="14"/>
                <w:color w:val="auto"/>
              </w:rPr>
            </w:pPr>
          </w:p>
        </w:tc>
        <w:tc>
          <w:tcPr>
            <w:tcW w:w="6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40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160" w:type="dxa"/>
            <w:vAlign w:val="bottom"/>
            <w:shd w:val="clear" w:color="auto" w:fill="E5F1EE"/>
          </w:tcPr>
          <w:p>
            <w:pPr>
              <w:spacing w:after="0"/>
              <w:rPr>
                <w:sz w:val="14"/>
                <w:szCs w:val="14"/>
                <w:color w:val="auto"/>
              </w:rPr>
            </w:pPr>
          </w:p>
        </w:tc>
        <w:tc>
          <w:tcPr>
            <w:tcW w:w="360" w:type="dxa"/>
            <w:vAlign w:val="bottom"/>
            <w:shd w:val="clear" w:color="auto" w:fill="E5F1EE"/>
          </w:tcPr>
          <w:p>
            <w:pPr>
              <w:spacing w:after="0"/>
              <w:rPr>
                <w:sz w:val="14"/>
                <w:szCs w:val="14"/>
                <w:color w:val="auto"/>
              </w:rPr>
            </w:pPr>
          </w:p>
        </w:tc>
        <w:tc>
          <w:tcPr>
            <w:tcW w:w="60" w:type="dxa"/>
            <w:vAlign w:val="bottom"/>
            <w:shd w:val="clear" w:color="auto" w:fill="E5F1EE"/>
          </w:tcPr>
          <w:p>
            <w:pPr>
              <w:spacing w:after="0"/>
              <w:rPr>
                <w:sz w:val="14"/>
                <w:szCs w:val="14"/>
                <w:color w:val="auto"/>
              </w:rPr>
            </w:pPr>
          </w:p>
        </w:tc>
        <w:tc>
          <w:tcPr>
            <w:tcW w:w="540" w:type="dxa"/>
            <w:vAlign w:val="bottom"/>
            <w:shd w:val="clear" w:color="auto" w:fill="E5F1EE"/>
          </w:tcPr>
          <w:p>
            <w:pPr>
              <w:spacing w:after="0"/>
              <w:rPr>
                <w:sz w:val="14"/>
                <w:szCs w:val="14"/>
                <w:color w:val="auto"/>
              </w:rPr>
            </w:pPr>
          </w:p>
        </w:tc>
        <w:tc>
          <w:tcPr>
            <w:tcW w:w="240" w:type="dxa"/>
            <w:vAlign w:val="bottom"/>
            <w:shd w:val="clear" w:color="auto" w:fill="E5F1EE"/>
          </w:tcPr>
          <w:p>
            <w:pPr>
              <w:spacing w:after="0"/>
              <w:rPr>
                <w:sz w:val="14"/>
                <w:szCs w:val="14"/>
                <w:color w:val="auto"/>
              </w:rPr>
            </w:pPr>
          </w:p>
        </w:tc>
        <w:tc>
          <w:tcPr>
            <w:tcW w:w="60" w:type="dxa"/>
            <w:vAlign w:val="bottom"/>
            <w:shd w:val="clear" w:color="auto" w:fill="E5F1EE"/>
          </w:tcPr>
          <w:p>
            <w:pPr>
              <w:spacing w:after="0"/>
              <w:rPr>
                <w:sz w:val="14"/>
                <w:szCs w:val="14"/>
                <w:color w:val="auto"/>
              </w:rPr>
            </w:pPr>
          </w:p>
        </w:tc>
        <w:tc>
          <w:tcPr>
            <w:tcW w:w="76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10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12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80" w:type="dxa"/>
            <w:vAlign w:val="bottom"/>
            <w:shd w:val="clear" w:color="auto" w:fill="E5F1EE"/>
          </w:tcPr>
          <w:p>
            <w:pPr>
              <w:spacing w:after="0"/>
              <w:rPr>
                <w:sz w:val="14"/>
                <w:szCs w:val="14"/>
                <w:color w:val="auto"/>
              </w:rPr>
            </w:pPr>
          </w:p>
        </w:tc>
        <w:tc>
          <w:tcPr>
            <w:tcW w:w="520" w:type="dxa"/>
            <w:vAlign w:val="bottom"/>
            <w:shd w:val="clear" w:color="auto" w:fill="E5F1EE"/>
          </w:tcPr>
          <w:p>
            <w:pPr>
              <w:spacing w:after="0"/>
              <w:rPr>
                <w:sz w:val="14"/>
                <w:szCs w:val="14"/>
                <w:color w:val="auto"/>
              </w:rPr>
            </w:pPr>
          </w:p>
        </w:tc>
        <w:tc>
          <w:tcPr>
            <w:tcW w:w="100" w:type="dxa"/>
            <w:vAlign w:val="bottom"/>
            <w:shd w:val="clear" w:color="auto" w:fill="E5F1EE"/>
          </w:tcPr>
          <w:p>
            <w:pPr>
              <w:spacing w:after="0"/>
              <w:rPr>
                <w:sz w:val="14"/>
                <w:szCs w:val="14"/>
                <w:color w:val="auto"/>
              </w:rPr>
            </w:pPr>
          </w:p>
        </w:tc>
      </w:tr>
      <w:tr>
        <w:trPr>
          <w:trHeight w:val="112"/>
        </w:trPr>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LIABILITIES AND SHAREHOLDERS' EQUITY</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Interest-bearing deposits</w:t>
            </w: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100" w:type="dxa"/>
            <w:vAlign w:val="bottom"/>
            <w:shd w:val="clear" w:color="auto" w:fill="E5F1EE"/>
          </w:tcPr>
          <w:p>
            <w:pPr>
              <w:spacing w:after="0"/>
              <w:rPr>
                <w:sz w:val="10"/>
                <w:szCs w:val="10"/>
                <w:color w:val="auto"/>
              </w:rPr>
            </w:pPr>
          </w:p>
        </w:tc>
      </w:tr>
      <w:tr>
        <w:trPr>
          <w:trHeight w:val="81"/>
        </w:trPr>
        <w:tc>
          <w:tcPr>
            <w:tcW w:w="2240" w:type="dxa"/>
            <w:vAlign w:val="bottom"/>
          </w:tcPr>
          <w:p>
            <w:pPr>
              <w:ind w:left="140"/>
              <w:spacing w:after="0" w:line="81" w:lineRule="exact"/>
              <w:rPr>
                <w:sz w:val="20"/>
                <w:szCs w:val="20"/>
                <w:color w:val="auto"/>
              </w:rPr>
            </w:pPr>
            <w:r>
              <w:rPr>
                <w:rFonts w:ascii="Times New Roman" w:cs="Times New Roman" w:eastAsia="Times New Roman" w:hAnsi="Times New Roman"/>
                <w:sz w:val="8"/>
                <w:szCs w:val="8"/>
                <w:color w:val="auto"/>
              </w:rPr>
              <w:t>Savings and interest-checking</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20"/>
        </w:trPr>
        <w:tc>
          <w:tcPr>
            <w:tcW w:w="2240" w:type="dxa"/>
            <w:vAlign w:val="bottom"/>
          </w:tcPr>
          <w:p>
            <w:pPr>
              <w:ind w:left="260"/>
              <w:spacing w:after="0"/>
              <w:rPr>
                <w:sz w:val="20"/>
                <w:szCs w:val="20"/>
                <w:color w:val="auto"/>
              </w:rPr>
            </w:pPr>
            <w:r>
              <w:rPr>
                <w:rFonts w:ascii="Times New Roman" w:cs="Times New Roman" w:eastAsia="Times New Roman" w:hAnsi="Times New Roman"/>
                <w:sz w:val="8"/>
                <w:szCs w:val="8"/>
                <w:color w:val="auto"/>
              </w:rPr>
              <w:t>deposits</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98,295</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2.65 %</w:t>
            </w:r>
          </w:p>
        </w:tc>
        <w:tc>
          <w:tcPr>
            <w:tcW w:w="6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95,955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2.59 %</w:t>
            </w:r>
          </w:p>
        </w:tc>
        <w:tc>
          <w:tcPr>
            <w:tcW w:w="80" w:type="dxa"/>
            <w:vAlign w:val="bottom"/>
          </w:tcPr>
          <w:p>
            <w:pPr>
              <w:spacing w:after="0"/>
              <w:rPr>
                <w:sz w:val="10"/>
                <w:szCs w:val="10"/>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89,274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2.20 %</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2 %</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10 %</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96,379</w:t>
            </w:r>
          </w:p>
        </w:tc>
        <w:tc>
          <w:tcPr>
            <w:tcW w:w="80" w:type="dxa"/>
            <w:vAlign w:val="bottom"/>
          </w:tcPr>
          <w:p>
            <w:pPr>
              <w:spacing w:after="0"/>
              <w:rPr>
                <w:sz w:val="10"/>
                <w:szCs w:val="1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2.62 %</w:t>
            </w:r>
          </w:p>
        </w:tc>
        <w:tc>
          <w:tcPr>
            <w:tcW w:w="80" w:type="dxa"/>
            <w:vAlign w:val="bottom"/>
          </w:tcPr>
          <w:p>
            <w:pPr>
              <w:spacing w:after="0"/>
              <w:rPr>
                <w:sz w:val="10"/>
                <w:szCs w:val="10"/>
                <w:color w:val="auto"/>
              </w:rPr>
            </w:pPr>
          </w:p>
        </w:tc>
        <w:tc>
          <w:tcPr>
            <w:tcW w:w="120" w:type="dxa"/>
            <w:vAlign w:val="bottom"/>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88,184</w:t>
            </w:r>
          </w:p>
        </w:tc>
        <w:tc>
          <w:tcPr>
            <w:tcW w:w="80" w:type="dxa"/>
            <w:vAlign w:val="bottom"/>
          </w:tcPr>
          <w:p>
            <w:pPr>
              <w:spacing w:after="0"/>
              <w:rPr>
                <w:sz w:val="10"/>
                <w:szCs w:val="10"/>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1.73 %</w:t>
            </w:r>
          </w:p>
        </w:tc>
        <w:tc>
          <w:tcPr>
            <w:tcW w:w="80" w:type="dxa"/>
            <w:vAlign w:val="bottom"/>
          </w:tcPr>
          <w:p>
            <w:pPr>
              <w:spacing w:after="0"/>
              <w:rPr>
                <w:sz w:val="10"/>
                <w:szCs w:val="1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9 %</w:t>
            </w:r>
          </w:p>
        </w:tc>
      </w:tr>
      <w:tr>
        <w:trPr>
          <w:trHeight w:val="123"/>
        </w:trPr>
        <w:tc>
          <w:tcPr>
            <w:tcW w:w="224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Time deposits</w:t>
            </w: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17,052</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4.19</w:t>
            </w: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19,802</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4.41</w:t>
            </w: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19,528</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4.09</w:t>
            </w: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w w:val="93"/>
              </w:rPr>
              <w:t>-14</w:t>
            </w: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w w:val="93"/>
              </w:rPr>
              <w:t>-13</w:t>
            </w: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19,138</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4.34</w:t>
            </w: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15,751</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3.74</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22</w:t>
            </w:r>
          </w:p>
        </w:tc>
        <w:tc>
          <w:tcPr>
            <w:tcW w:w="100" w:type="dxa"/>
            <w:vAlign w:val="bottom"/>
            <w:shd w:val="clear" w:color="auto" w:fill="E5F1EE"/>
          </w:tcPr>
          <w:p>
            <w:pPr>
              <w:spacing w:after="0"/>
              <w:rPr>
                <w:sz w:val="10"/>
                <w:szCs w:val="10"/>
                <w:color w:val="auto"/>
              </w:rPr>
            </w:pPr>
          </w:p>
        </w:tc>
      </w:tr>
      <w:tr>
        <w:trPr>
          <w:trHeight w:val="101"/>
        </w:trPr>
        <w:tc>
          <w:tcPr>
            <w:tcW w:w="2240" w:type="dxa"/>
            <w:vAlign w:val="bottom"/>
            <w:tcBorders>
              <w:bottom w:val="single" w:sz="8" w:color="E5F1EE"/>
            </w:tcBorders>
          </w:tcPr>
          <w:p>
            <w:pPr>
              <w:spacing w:after="0" w:line="87" w:lineRule="exact"/>
              <w:rPr>
                <w:sz w:val="20"/>
                <w:szCs w:val="20"/>
                <w:color w:val="auto"/>
              </w:rPr>
            </w:pPr>
            <w:r>
              <w:rPr>
                <w:rFonts w:ascii="Times New Roman" w:cs="Times New Roman" w:eastAsia="Times New Roman" w:hAnsi="Times New Roman"/>
                <w:sz w:val="8"/>
                <w:szCs w:val="8"/>
                <w:color w:val="auto"/>
              </w:rPr>
              <w:t>Total interest-bearing deposits</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115,347</w:t>
            </w:r>
          </w:p>
        </w:tc>
        <w:tc>
          <w:tcPr>
            <w:tcW w:w="60" w:type="dxa"/>
            <w:vAlign w:val="bottom"/>
            <w:tcBorders>
              <w:bottom w:val="single" w:sz="8" w:color="E5F1EE"/>
            </w:tcBorders>
          </w:tcPr>
          <w:p>
            <w:pPr>
              <w:spacing w:after="0"/>
              <w:rPr>
                <w:sz w:val="8"/>
                <w:szCs w:val="8"/>
                <w:color w:val="auto"/>
              </w:rPr>
            </w:pPr>
          </w:p>
        </w:tc>
        <w:tc>
          <w:tcPr>
            <w:tcW w:w="160" w:type="dxa"/>
            <w:vAlign w:val="bottom"/>
            <w:tcBorders>
              <w:bottom w:val="single" w:sz="8" w:color="E5F1EE"/>
            </w:tcBorders>
          </w:tcPr>
          <w:p>
            <w:pPr>
              <w:spacing w:after="0"/>
              <w:rPr>
                <w:sz w:val="8"/>
                <w:szCs w:val="8"/>
                <w:color w:val="auto"/>
              </w:rPr>
            </w:pPr>
          </w:p>
        </w:tc>
        <w:tc>
          <w:tcPr>
            <w:tcW w:w="360" w:type="dxa"/>
            <w:vAlign w:val="bottom"/>
            <w:tcBorders>
              <w:bottom w:val="single" w:sz="8" w:color="E5F1EE"/>
            </w:tcBorders>
          </w:tcPr>
          <w:p>
            <w:pPr>
              <w:ind w:left="100"/>
              <w:spacing w:after="0"/>
              <w:rPr>
                <w:sz w:val="20"/>
                <w:szCs w:val="20"/>
                <w:color w:val="auto"/>
              </w:rPr>
            </w:pPr>
            <w:r>
              <w:rPr>
                <w:rFonts w:ascii="Times New Roman" w:cs="Times New Roman" w:eastAsia="Times New Roman" w:hAnsi="Times New Roman"/>
                <w:sz w:val="8"/>
                <w:szCs w:val="8"/>
                <w:color w:val="auto"/>
              </w:rPr>
              <w:t>2.88</w:t>
            </w:r>
          </w:p>
        </w:tc>
        <w:tc>
          <w:tcPr>
            <w:tcW w:w="60" w:type="dxa"/>
            <w:vAlign w:val="bottom"/>
            <w:tcBorders>
              <w:bottom w:val="single" w:sz="8" w:color="E5F1EE"/>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115,757</w:t>
            </w: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E5F1EE"/>
            </w:tcBorders>
          </w:tcPr>
          <w:p>
            <w:pPr>
              <w:spacing w:after="0"/>
              <w:rPr>
                <w:sz w:val="8"/>
                <w:szCs w:val="8"/>
                <w:color w:val="auto"/>
              </w:rPr>
            </w:pPr>
          </w:p>
        </w:tc>
        <w:tc>
          <w:tcPr>
            <w:tcW w:w="40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8"/>
                <w:szCs w:val="8"/>
                <w:color w:val="auto"/>
              </w:rPr>
              <w:t>2.90</w:t>
            </w: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108,802</w:t>
            </w:r>
          </w:p>
        </w:tc>
        <w:tc>
          <w:tcPr>
            <w:tcW w:w="80" w:type="dxa"/>
            <w:vAlign w:val="bottom"/>
            <w:tcBorders>
              <w:bottom w:val="single" w:sz="8" w:color="E5F1EE"/>
            </w:tcBorders>
          </w:tcPr>
          <w:p>
            <w:pPr>
              <w:spacing w:after="0"/>
              <w:rPr>
                <w:sz w:val="8"/>
                <w:szCs w:val="8"/>
                <w:color w:val="auto"/>
              </w:rPr>
            </w:pPr>
          </w:p>
        </w:tc>
        <w:tc>
          <w:tcPr>
            <w:tcW w:w="160" w:type="dxa"/>
            <w:vAlign w:val="bottom"/>
            <w:tcBorders>
              <w:bottom w:val="single" w:sz="8" w:color="E5F1EE"/>
            </w:tcBorders>
          </w:tcPr>
          <w:p>
            <w:pPr>
              <w:spacing w:after="0"/>
              <w:rPr>
                <w:sz w:val="8"/>
                <w:szCs w:val="8"/>
                <w:color w:val="auto"/>
              </w:rPr>
            </w:pPr>
          </w:p>
        </w:tc>
        <w:tc>
          <w:tcPr>
            <w:tcW w:w="360" w:type="dxa"/>
            <w:vAlign w:val="bottom"/>
            <w:tcBorders>
              <w:bottom w:val="single" w:sz="8" w:color="E5F1EE"/>
            </w:tcBorders>
          </w:tcPr>
          <w:p>
            <w:pPr>
              <w:ind w:left="100"/>
              <w:spacing w:after="0"/>
              <w:rPr>
                <w:sz w:val="20"/>
                <w:szCs w:val="20"/>
                <w:color w:val="auto"/>
              </w:rPr>
            </w:pPr>
            <w:r>
              <w:rPr>
                <w:rFonts w:ascii="Times New Roman" w:cs="Times New Roman" w:eastAsia="Times New Roman" w:hAnsi="Times New Roman"/>
                <w:sz w:val="8"/>
                <w:szCs w:val="8"/>
                <w:color w:val="auto"/>
              </w:rPr>
              <w:t>2.54</w:t>
            </w:r>
          </w:p>
        </w:tc>
        <w:tc>
          <w:tcPr>
            <w:tcW w:w="60" w:type="dxa"/>
            <w:vAlign w:val="bottom"/>
            <w:tcBorders>
              <w:bottom w:val="single" w:sz="8" w:color="E5F1EE"/>
            </w:tcBorders>
          </w:tcPr>
          <w:p>
            <w:pPr>
              <w:spacing w:after="0"/>
              <w:rPr>
                <w:sz w:val="8"/>
                <w:szCs w:val="8"/>
                <w:color w:val="auto"/>
              </w:rPr>
            </w:pPr>
          </w:p>
        </w:tc>
        <w:tc>
          <w:tcPr>
            <w:tcW w:w="540" w:type="dxa"/>
            <w:vAlign w:val="bottom"/>
            <w:tcBorders>
              <w:bottom w:val="single" w:sz="8" w:color="E5F1EE"/>
            </w:tcBorders>
          </w:tcPr>
          <w:p>
            <w:pPr>
              <w:spacing w:after="0"/>
              <w:rPr>
                <w:sz w:val="8"/>
                <w:szCs w:val="8"/>
                <w:color w:val="auto"/>
              </w:rPr>
            </w:pPr>
          </w:p>
        </w:tc>
        <w:tc>
          <w:tcPr>
            <w:tcW w:w="1060" w:type="dxa"/>
            <w:vAlign w:val="bottom"/>
            <w:tcBorders>
              <w:bottom w:val="single" w:sz="8" w:color="E5F1EE"/>
            </w:tcBorders>
            <w:gridSpan w:val="3"/>
          </w:tcPr>
          <w:p>
            <w:pPr>
              <w:jc w:val="right"/>
              <w:ind w:right="898"/>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100" w:type="dxa"/>
            <w:vAlign w:val="bottom"/>
            <w:tcBorders>
              <w:bottom w:val="single" w:sz="8" w:color="E5F1EE"/>
            </w:tcBorders>
          </w:tcPr>
          <w:p>
            <w:pPr>
              <w:spacing w:after="0"/>
              <w:rPr>
                <w:sz w:val="8"/>
                <w:szCs w:val="8"/>
                <w:color w:val="auto"/>
              </w:rPr>
            </w:pP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115,517</w:t>
            </w:r>
          </w:p>
        </w:tc>
        <w:tc>
          <w:tcPr>
            <w:tcW w:w="80" w:type="dxa"/>
            <w:vAlign w:val="bottom"/>
            <w:tcBorders>
              <w:bottom w:val="single" w:sz="8" w:color="E5F1EE"/>
            </w:tcBorders>
          </w:tcPr>
          <w:p>
            <w:pPr>
              <w:spacing w:after="0"/>
              <w:rPr>
                <w:sz w:val="8"/>
                <w:szCs w:val="8"/>
                <w:color w:val="auto"/>
              </w:rPr>
            </w:pPr>
          </w:p>
        </w:tc>
        <w:tc>
          <w:tcPr>
            <w:tcW w:w="520" w:type="dxa"/>
            <w:vAlign w:val="bottom"/>
            <w:tcBorders>
              <w:bottom w:val="single" w:sz="8" w:color="E5F1EE"/>
            </w:tcBorders>
          </w:tcPr>
          <w:p>
            <w:pPr>
              <w:ind w:left="260"/>
              <w:spacing w:after="0"/>
              <w:rPr>
                <w:sz w:val="20"/>
                <w:szCs w:val="20"/>
                <w:color w:val="auto"/>
              </w:rPr>
            </w:pPr>
            <w:r>
              <w:rPr>
                <w:rFonts w:ascii="Times New Roman" w:cs="Times New Roman" w:eastAsia="Times New Roman" w:hAnsi="Times New Roman"/>
                <w:sz w:val="8"/>
                <w:szCs w:val="8"/>
                <w:color w:val="auto"/>
              </w:rPr>
              <w:t>2.90</w:t>
            </w:r>
          </w:p>
        </w:tc>
        <w:tc>
          <w:tcPr>
            <w:tcW w:w="80" w:type="dxa"/>
            <w:vAlign w:val="bottom"/>
            <w:tcBorders>
              <w:bottom w:val="single" w:sz="8" w:color="E5F1EE"/>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103,935</w:t>
            </w:r>
          </w:p>
        </w:tc>
        <w:tc>
          <w:tcPr>
            <w:tcW w:w="80" w:type="dxa"/>
            <w:vAlign w:val="bottom"/>
            <w:tcBorders>
              <w:bottom w:val="single" w:sz="8" w:color="E5F1EE"/>
            </w:tcBorders>
          </w:tcPr>
          <w:p>
            <w:pPr>
              <w:spacing w:after="0"/>
              <w:rPr>
                <w:sz w:val="8"/>
                <w:szCs w:val="8"/>
                <w:color w:val="auto"/>
              </w:rPr>
            </w:pPr>
          </w:p>
        </w:tc>
        <w:tc>
          <w:tcPr>
            <w:tcW w:w="520" w:type="dxa"/>
            <w:vAlign w:val="bottom"/>
            <w:tcBorders>
              <w:bottom w:val="single" w:sz="8" w:color="E5F1EE"/>
            </w:tcBorders>
          </w:tcPr>
          <w:p>
            <w:pPr>
              <w:ind w:left="260"/>
              <w:spacing w:after="0"/>
              <w:rPr>
                <w:sz w:val="20"/>
                <w:szCs w:val="20"/>
                <w:color w:val="auto"/>
              </w:rPr>
            </w:pPr>
            <w:r>
              <w:rPr>
                <w:rFonts w:ascii="Times New Roman" w:cs="Times New Roman" w:eastAsia="Times New Roman" w:hAnsi="Times New Roman"/>
                <w:sz w:val="8"/>
                <w:szCs w:val="8"/>
                <w:color w:val="auto"/>
              </w:rPr>
              <w:t>2.03</w:t>
            </w:r>
          </w:p>
        </w:tc>
        <w:tc>
          <w:tcPr>
            <w:tcW w:w="80" w:type="dxa"/>
            <w:vAlign w:val="bottom"/>
            <w:tcBorders>
              <w:bottom w:val="single" w:sz="8" w:color="E5F1EE"/>
            </w:tcBorders>
          </w:tcPr>
          <w:p>
            <w:pPr>
              <w:spacing w:after="0"/>
              <w:rPr>
                <w:sz w:val="8"/>
                <w:szCs w:val="8"/>
                <w:color w:val="auto"/>
              </w:rPr>
            </w:pPr>
          </w:p>
        </w:tc>
        <w:tc>
          <w:tcPr>
            <w:tcW w:w="5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100" w:type="dxa"/>
            <w:vAlign w:val="bottom"/>
            <w:tcBorders>
              <w:bottom w:val="single" w:sz="8" w:color="E5F1EE"/>
            </w:tcBorders>
          </w:tcPr>
          <w:p>
            <w:pPr>
              <w:spacing w:after="0"/>
              <w:rPr>
                <w:sz w:val="8"/>
                <w:szCs w:val="8"/>
                <w:color w:val="auto"/>
              </w:rPr>
            </w:pPr>
          </w:p>
        </w:tc>
      </w:tr>
      <w:tr>
        <w:trPr>
          <w:trHeight w:val="111"/>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Short-term borrowings</w:t>
            </w: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4,034</w:t>
            </w:r>
          </w:p>
        </w:tc>
        <w:tc>
          <w:tcPr>
            <w:tcW w:w="60" w:type="dxa"/>
            <w:vAlign w:val="bottom"/>
            <w:shd w:val="clear" w:color="auto" w:fill="E5F1EE"/>
          </w:tcPr>
          <w:p>
            <w:pPr>
              <w:spacing w:after="0"/>
              <w:rPr>
                <w:sz w:val="9"/>
                <w:szCs w:val="9"/>
                <w:color w:val="auto"/>
              </w:rPr>
            </w:pPr>
          </w:p>
        </w:tc>
        <w:tc>
          <w:tcPr>
            <w:tcW w:w="160" w:type="dxa"/>
            <w:vAlign w:val="bottom"/>
            <w:shd w:val="clear" w:color="auto" w:fill="E5F1EE"/>
          </w:tcPr>
          <w:p>
            <w:pPr>
              <w:spacing w:after="0"/>
              <w:rPr>
                <w:sz w:val="9"/>
                <w:szCs w:val="9"/>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5.60</w:t>
            </w:r>
          </w:p>
        </w:tc>
        <w:tc>
          <w:tcPr>
            <w:tcW w:w="6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4,962</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5.62</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5,346</w:t>
            </w:r>
          </w:p>
        </w:tc>
        <w:tc>
          <w:tcPr>
            <w:tcW w:w="80" w:type="dxa"/>
            <w:vAlign w:val="bottom"/>
            <w:shd w:val="clear" w:color="auto" w:fill="E5F1EE"/>
          </w:tcPr>
          <w:p>
            <w:pPr>
              <w:spacing w:after="0"/>
              <w:rPr>
                <w:sz w:val="9"/>
                <w:szCs w:val="9"/>
                <w:color w:val="auto"/>
              </w:rPr>
            </w:pPr>
          </w:p>
        </w:tc>
        <w:tc>
          <w:tcPr>
            <w:tcW w:w="160" w:type="dxa"/>
            <w:vAlign w:val="bottom"/>
            <w:shd w:val="clear" w:color="auto" w:fill="E5F1EE"/>
          </w:tcPr>
          <w:p>
            <w:pPr>
              <w:spacing w:after="0"/>
              <w:rPr>
                <w:sz w:val="9"/>
                <w:szCs w:val="9"/>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5.16</w:t>
            </w:r>
          </w:p>
        </w:tc>
        <w:tc>
          <w:tcPr>
            <w:tcW w:w="60" w:type="dxa"/>
            <w:vAlign w:val="bottom"/>
            <w:shd w:val="clear" w:color="auto" w:fill="E5F1EE"/>
          </w:tcPr>
          <w:p>
            <w:pPr>
              <w:spacing w:after="0"/>
              <w:rPr>
                <w:sz w:val="9"/>
                <w:szCs w:val="9"/>
                <w:color w:val="auto"/>
              </w:rPr>
            </w:pPr>
          </w:p>
        </w:tc>
        <w:tc>
          <w:tcPr>
            <w:tcW w:w="540" w:type="dxa"/>
            <w:vAlign w:val="bottom"/>
            <w:shd w:val="clear" w:color="auto" w:fill="E5F1EE"/>
          </w:tcPr>
          <w:p>
            <w:pPr>
              <w:spacing w:after="0"/>
              <w:rPr>
                <w:sz w:val="9"/>
                <w:szCs w:val="9"/>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w w:val="93"/>
              </w:rPr>
              <w:t>-19</w:t>
            </w:r>
          </w:p>
        </w:tc>
        <w:tc>
          <w:tcPr>
            <w:tcW w:w="60" w:type="dxa"/>
            <w:vAlign w:val="bottom"/>
            <w:shd w:val="clear" w:color="auto" w:fill="E5F1EE"/>
          </w:tcPr>
          <w:p>
            <w:pPr>
              <w:spacing w:after="0"/>
              <w:rPr>
                <w:sz w:val="9"/>
                <w:szCs w:val="9"/>
                <w:color w:val="auto"/>
              </w:rPr>
            </w:pPr>
          </w:p>
        </w:tc>
        <w:tc>
          <w:tcPr>
            <w:tcW w:w="760" w:type="dxa"/>
            <w:vAlign w:val="bottom"/>
            <w:shd w:val="clear" w:color="auto" w:fill="E5F1EE"/>
          </w:tcPr>
          <w:p>
            <w:pPr>
              <w:spacing w:after="0"/>
              <w:rPr>
                <w:sz w:val="9"/>
                <w:szCs w:val="9"/>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w w:val="93"/>
              </w:rPr>
              <w:t>-25</w:t>
            </w:r>
          </w:p>
        </w:tc>
        <w:tc>
          <w:tcPr>
            <w:tcW w:w="100" w:type="dxa"/>
            <w:vAlign w:val="bottom"/>
            <w:shd w:val="clear" w:color="auto" w:fill="E5F1EE"/>
          </w:tcPr>
          <w:p>
            <w:pPr>
              <w:spacing w:after="0"/>
              <w:rPr>
                <w:sz w:val="9"/>
                <w:szCs w:val="9"/>
                <w:color w:val="auto"/>
              </w:rPr>
            </w:pP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5,071</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5.53</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5,961</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5.01</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-15</w:t>
            </w:r>
          </w:p>
        </w:tc>
        <w:tc>
          <w:tcPr>
            <w:tcW w:w="100" w:type="dxa"/>
            <w:vAlign w:val="bottom"/>
            <w:shd w:val="clear" w:color="auto" w:fill="E5F1EE"/>
          </w:tcPr>
          <w:p>
            <w:pPr>
              <w:spacing w:after="0"/>
              <w:rPr>
                <w:sz w:val="9"/>
                <w:szCs w:val="9"/>
                <w:color w:val="auto"/>
              </w:rPr>
            </w:pPr>
          </w:p>
        </w:tc>
      </w:tr>
      <w:tr>
        <w:trPr>
          <w:trHeight w:val="112"/>
        </w:trPr>
        <w:tc>
          <w:tcPr>
            <w:tcW w:w="22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8"/>
                <w:szCs w:val="8"/>
                <w:color w:val="auto"/>
              </w:rPr>
              <w:t>Long-term borrowings</w:t>
            </w: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11,394</w:t>
            </w:r>
          </w:p>
        </w:tc>
        <w:tc>
          <w:tcPr>
            <w:tcW w:w="60" w:type="dxa"/>
            <w:vAlign w:val="bottom"/>
            <w:tcBorders>
              <w:bottom w:val="single" w:sz="8" w:color="E5F1EE"/>
            </w:tcBorders>
          </w:tcPr>
          <w:p>
            <w:pPr>
              <w:spacing w:after="0"/>
              <w:rPr>
                <w:sz w:val="9"/>
                <w:szCs w:val="9"/>
                <w:color w:val="auto"/>
              </w:rPr>
            </w:pPr>
          </w:p>
        </w:tc>
        <w:tc>
          <w:tcPr>
            <w:tcW w:w="160" w:type="dxa"/>
            <w:vAlign w:val="bottom"/>
            <w:tcBorders>
              <w:bottom w:val="single" w:sz="8" w:color="E5F1EE"/>
            </w:tcBorders>
          </w:tcPr>
          <w:p>
            <w:pPr>
              <w:spacing w:after="0"/>
              <w:rPr>
                <w:sz w:val="9"/>
                <w:szCs w:val="9"/>
                <w:color w:val="auto"/>
              </w:rPr>
            </w:pPr>
          </w:p>
        </w:tc>
        <w:tc>
          <w:tcPr>
            <w:tcW w:w="360" w:type="dxa"/>
            <w:vAlign w:val="bottom"/>
            <w:tcBorders>
              <w:bottom w:val="single" w:sz="8" w:color="E5F1EE"/>
            </w:tcBorders>
          </w:tcPr>
          <w:p>
            <w:pPr>
              <w:ind w:left="100"/>
              <w:spacing w:after="0"/>
              <w:rPr>
                <w:sz w:val="20"/>
                <w:szCs w:val="20"/>
                <w:color w:val="auto"/>
              </w:rPr>
            </w:pPr>
            <w:r>
              <w:rPr>
                <w:rFonts w:ascii="Times New Roman" w:cs="Times New Roman" w:eastAsia="Times New Roman" w:hAnsi="Times New Roman"/>
                <w:sz w:val="8"/>
                <w:szCs w:val="8"/>
                <w:color w:val="auto"/>
              </w:rPr>
              <w:t>5.83</w:t>
            </w:r>
          </w:p>
        </w:tc>
        <w:tc>
          <w:tcPr>
            <w:tcW w:w="6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11,490</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spacing w:after="0"/>
              <w:rPr>
                <w:sz w:val="9"/>
                <w:szCs w:val="9"/>
                <w:color w:val="auto"/>
              </w:rPr>
            </w:pPr>
          </w:p>
        </w:tc>
        <w:tc>
          <w:tcPr>
            <w:tcW w:w="400" w:type="dxa"/>
            <w:vAlign w:val="bottom"/>
            <w:tcBorders>
              <w:bottom w:val="single" w:sz="8" w:color="E5F1EE"/>
            </w:tcBorders>
          </w:tcPr>
          <w:p>
            <w:pPr>
              <w:ind w:left="140"/>
              <w:spacing w:after="0"/>
              <w:rPr>
                <w:sz w:val="20"/>
                <w:szCs w:val="20"/>
                <w:color w:val="auto"/>
              </w:rPr>
            </w:pPr>
            <w:r>
              <w:rPr>
                <w:rFonts w:ascii="Times New Roman" w:cs="Times New Roman" w:eastAsia="Times New Roman" w:hAnsi="Times New Roman"/>
                <w:sz w:val="8"/>
                <w:szCs w:val="8"/>
                <w:color w:val="auto"/>
              </w:rPr>
              <w:t>5.83</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7,240</w:t>
            </w:r>
          </w:p>
        </w:tc>
        <w:tc>
          <w:tcPr>
            <w:tcW w:w="80" w:type="dxa"/>
            <w:vAlign w:val="bottom"/>
            <w:tcBorders>
              <w:bottom w:val="single" w:sz="8" w:color="E5F1EE"/>
            </w:tcBorders>
          </w:tcPr>
          <w:p>
            <w:pPr>
              <w:spacing w:after="0"/>
              <w:rPr>
                <w:sz w:val="9"/>
                <w:szCs w:val="9"/>
                <w:color w:val="auto"/>
              </w:rPr>
            </w:pPr>
          </w:p>
        </w:tc>
        <w:tc>
          <w:tcPr>
            <w:tcW w:w="160" w:type="dxa"/>
            <w:vAlign w:val="bottom"/>
            <w:tcBorders>
              <w:bottom w:val="single" w:sz="8" w:color="E5F1EE"/>
            </w:tcBorders>
          </w:tcPr>
          <w:p>
            <w:pPr>
              <w:spacing w:after="0"/>
              <w:rPr>
                <w:sz w:val="9"/>
                <w:szCs w:val="9"/>
                <w:color w:val="auto"/>
              </w:rPr>
            </w:pPr>
          </w:p>
        </w:tc>
        <w:tc>
          <w:tcPr>
            <w:tcW w:w="360" w:type="dxa"/>
            <w:vAlign w:val="bottom"/>
            <w:tcBorders>
              <w:bottom w:val="single" w:sz="8" w:color="E5F1EE"/>
            </w:tcBorders>
          </w:tcPr>
          <w:p>
            <w:pPr>
              <w:ind w:left="100"/>
              <w:spacing w:after="0"/>
              <w:rPr>
                <w:sz w:val="20"/>
                <w:szCs w:val="20"/>
                <w:color w:val="auto"/>
              </w:rPr>
            </w:pPr>
            <w:r>
              <w:rPr>
                <w:rFonts w:ascii="Times New Roman" w:cs="Times New Roman" w:eastAsia="Times New Roman" w:hAnsi="Times New Roman"/>
                <w:sz w:val="8"/>
                <w:szCs w:val="8"/>
                <w:color w:val="auto"/>
              </w:rPr>
              <w:t>5.52</w:t>
            </w:r>
          </w:p>
        </w:tc>
        <w:tc>
          <w:tcPr>
            <w:tcW w:w="60" w:type="dxa"/>
            <w:vAlign w:val="bottom"/>
            <w:tcBorders>
              <w:bottom w:val="single" w:sz="8" w:color="E5F1EE"/>
            </w:tcBorders>
          </w:tcPr>
          <w:p>
            <w:pPr>
              <w:spacing w:after="0"/>
              <w:rPr>
                <w:sz w:val="9"/>
                <w:szCs w:val="9"/>
                <w:color w:val="auto"/>
              </w:rPr>
            </w:pPr>
          </w:p>
        </w:tc>
        <w:tc>
          <w:tcPr>
            <w:tcW w:w="540" w:type="dxa"/>
            <w:vAlign w:val="bottom"/>
            <w:tcBorders>
              <w:bottom w:val="single" w:sz="8" w:color="E5F1EE"/>
            </w:tcBorders>
          </w:tcPr>
          <w:p>
            <w:pPr>
              <w:spacing w:after="0"/>
              <w:rPr>
                <w:sz w:val="9"/>
                <w:szCs w:val="9"/>
                <w:color w:val="auto"/>
              </w:rPr>
            </w:pPr>
          </w:p>
        </w:tc>
        <w:tc>
          <w:tcPr>
            <w:tcW w:w="240" w:type="dxa"/>
            <w:vAlign w:val="bottom"/>
            <w:tcBorders>
              <w:bottom w:val="single" w:sz="8" w:color="E5F1EE"/>
            </w:tcBorders>
          </w:tcPr>
          <w:p>
            <w:pPr>
              <w:jc w:val="right"/>
              <w:ind w:right="7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Borders>
              <w:bottom w:val="single" w:sz="8" w:color="E5F1EE"/>
            </w:tcBorders>
          </w:tcPr>
          <w:p>
            <w:pPr>
              <w:spacing w:after="0"/>
              <w:rPr>
                <w:sz w:val="9"/>
                <w:szCs w:val="9"/>
                <w:color w:val="auto"/>
              </w:rPr>
            </w:pPr>
          </w:p>
        </w:tc>
        <w:tc>
          <w:tcPr>
            <w:tcW w:w="760" w:type="dxa"/>
            <w:vAlign w:val="bottom"/>
            <w:tcBorders>
              <w:bottom w:val="single" w:sz="8" w:color="E5F1EE"/>
            </w:tcBorders>
          </w:tcPr>
          <w:p>
            <w:pPr>
              <w:spacing w:after="0"/>
              <w:rPr>
                <w:sz w:val="9"/>
                <w:szCs w:val="9"/>
                <w:color w:val="auto"/>
              </w:rPr>
            </w:pPr>
          </w:p>
        </w:tc>
        <w:tc>
          <w:tcPr>
            <w:tcW w:w="1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57</w:t>
            </w:r>
          </w:p>
        </w:tc>
        <w:tc>
          <w:tcPr>
            <w:tcW w:w="100" w:type="dxa"/>
            <w:vAlign w:val="bottom"/>
            <w:tcBorders>
              <w:bottom w:val="single" w:sz="8" w:color="E5F1EE"/>
            </w:tcBorders>
          </w:tcPr>
          <w:p>
            <w:pPr>
              <w:spacing w:after="0"/>
              <w:rPr>
                <w:sz w:val="9"/>
                <w:szCs w:val="9"/>
                <w:color w:val="auto"/>
              </w:rPr>
            </w:pP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10,887</w:t>
            </w:r>
          </w:p>
        </w:tc>
        <w:tc>
          <w:tcPr>
            <w:tcW w:w="80" w:type="dxa"/>
            <w:vAlign w:val="bottom"/>
            <w:tcBorders>
              <w:bottom w:val="single" w:sz="8" w:color="E5F1EE"/>
            </w:tcBorders>
          </w:tcPr>
          <w:p>
            <w:pPr>
              <w:spacing w:after="0"/>
              <w:rPr>
                <w:sz w:val="9"/>
                <w:szCs w:val="9"/>
                <w:color w:val="auto"/>
              </w:rPr>
            </w:pPr>
          </w:p>
        </w:tc>
        <w:tc>
          <w:tcPr>
            <w:tcW w:w="520" w:type="dxa"/>
            <w:vAlign w:val="bottom"/>
            <w:tcBorders>
              <w:bottom w:val="single" w:sz="8" w:color="E5F1EE"/>
            </w:tcBorders>
          </w:tcPr>
          <w:p>
            <w:pPr>
              <w:ind w:left="260"/>
              <w:spacing w:after="0"/>
              <w:rPr>
                <w:sz w:val="20"/>
                <w:szCs w:val="20"/>
                <w:color w:val="auto"/>
              </w:rPr>
            </w:pPr>
            <w:r>
              <w:rPr>
                <w:rFonts w:ascii="Times New Roman" w:cs="Times New Roman" w:eastAsia="Times New Roman" w:hAnsi="Times New Roman"/>
                <w:sz w:val="8"/>
                <w:szCs w:val="8"/>
                <w:color w:val="auto"/>
              </w:rPr>
              <w:t>5.82</w:t>
            </w:r>
          </w:p>
        </w:tc>
        <w:tc>
          <w:tcPr>
            <w:tcW w:w="80" w:type="dxa"/>
            <w:vAlign w:val="bottom"/>
            <w:tcBorders>
              <w:bottom w:val="single" w:sz="8" w:color="E5F1EE"/>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7,092</w:t>
            </w:r>
          </w:p>
        </w:tc>
        <w:tc>
          <w:tcPr>
            <w:tcW w:w="80" w:type="dxa"/>
            <w:vAlign w:val="bottom"/>
            <w:tcBorders>
              <w:bottom w:val="single" w:sz="8" w:color="E5F1EE"/>
            </w:tcBorders>
          </w:tcPr>
          <w:p>
            <w:pPr>
              <w:spacing w:after="0"/>
              <w:rPr>
                <w:sz w:val="9"/>
                <w:szCs w:val="9"/>
                <w:color w:val="auto"/>
              </w:rPr>
            </w:pPr>
          </w:p>
        </w:tc>
        <w:tc>
          <w:tcPr>
            <w:tcW w:w="520" w:type="dxa"/>
            <w:vAlign w:val="bottom"/>
            <w:tcBorders>
              <w:bottom w:val="single" w:sz="8" w:color="E5F1EE"/>
            </w:tcBorders>
          </w:tcPr>
          <w:p>
            <w:pPr>
              <w:ind w:left="260"/>
              <w:spacing w:after="0"/>
              <w:rPr>
                <w:sz w:val="20"/>
                <w:szCs w:val="20"/>
                <w:color w:val="auto"/>
              </w:rPr>
            </w:pPr>
            <w:r>
              <w:rPr>
                <w:rFonts w:ascii="Times New Roman" w:cs="Times New Roman" w:eastAsia="Times New Roman" w:hAnsi="Times New Roman"/>
                <w:sz w:val="8"/>
                <w:szCs w:val="8"/>
                <w:color w:val="auto"/>
              </w:rPr>
              <w:t>5.42</w:t>
            </w:r>
          </w:p>
        </w:tc>
        <w:tc>
          <w:tcPr>
            <w:tcW w:w="80" w:type="dxa"/>
            <w:vAlign w:val="bottom"/>
            <w:tcBorders>
              <w:bottom w:val="single" w:sz="8" w:color="E5F1EE"/>
            </w:tcBorders>
          </w:tcPr>
          <w:p>
            <w:pPr>
              <w:spacing w:after="0"/>
              <w:rPr>
                <w:sz w:val="9"/>
                <w:szCs w:val="9"/>
                <w:color w:val="auto"/>
              </w:rPr>
            </w:pPr>
          </w:p>
        </w:tc>
        <w:tc>
          <w:tcPr>
            <w:tcW w:w="5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54</w:t>
            </w:r>
          </w:p>
        </w:tc>
        <w:tc>
          <w:tcPr>
            <w:tcW w:w="100" w:type="dxa"/>
            <w:vAlign w:val="bottom"/>
            <w:tcBorders>
              <w:bottom w:val="single" w:sz="8" w:color="E5F1EE"/>
            </w:tcBorders>
          </w:tcPr>
          <w:p>
            <w:pPr>
              <w:spacing w:after="0"/>
              <w:rPr>
                <w:sz w:val="9"/>
                <w:szCs w:val="9"/>
                <w:color w:val="auto"/>
              </w:rPr>
            </w:pPr>
          </w:p>
        </w:tc>
      </w:tr>
      <w:tr>
        <w:trPr>
          <w:trHeight w:val="111"/>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b w:val="1"/>
                <w:bCs w:val="1"/>
                <w:color w:val="auto"/>
              </w:rPr>
              <w:t>Total interest-bearing liabilities</w:t>
            </w: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130,775</w:t>
            </w:r>
          </w:p>
        </w:tc>
        <w:tc>
          <w:tcPr>
            <w:tcW w:w="60" w:type="dxa"/>
            <w:vAlign w:val="bottom"/>
            <w:shd w:val="clear" w:color="auto" w:fill="E5F1EE"/>
          </w:tcPr>
          <w:p>
            <w:pPr>
              <w:spacing w:after="0"/>
              <w:rPr>
                <w:sz w:val="9"/>
                <w:szCs w:val="9"/>
                <w:color w:val="auto"/>
              </w:rPr>
            </w:pPr>
          </w:p>
        </w:tc>
        <w:tc>
          <w:tcPr>
            <w:tcW w:w="160" w:type="dxa"/>
            <w:vAlign w:val="bottom"/>
            <w:shd w:val="clear" w:color="auto" w:fill="E5F1EE"/>
          </w:tcPr>
          <w:p>
            <w:pPr>
              <w:spacing w:after="0"/>
              <w:rPr>
                <w:sz w:val="9"/>
                <w:szCs w:val="9"/>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3.22</w:t>
            </w:r>
          </w:p>
        </w:tc>
        <w:tc>
          <w:tcPr>
            <w:tcW w:w="6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132,209</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3.26</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121,388</w:t>
            </w:r>
          </w:p>
        </w:tc>
        <w:tc>
          <w:tcPr>
            <w:tcW w:w="80" w:type="dxa"/>
            <w:vAlign w:val="bottom"/>
            <w:shd w:val="clear" w:color="auto" w:fill="E5F1EE"/>
          </w:tcPr>
          <w:p>
            <w:pPr>
              <w:spacing w:after="0"/>
              <w:rPr>
                <w:sz w:val="9"/>
                <w:szCs w:val="9"/>
                <w:color w:val="auto"/>
              </w:rPr>
            </w:pPr>
          </w:p>
        </w:tc>
        <w:tc>
          <w:tcPr>
            <w:tcW w:w="160" w:type="dxa"/>
            <w:vAlign w:val="bottom"/>
            <w:shd w:val="clear" w:color="auto" w:fill="E5F1EE"/>
          </w:tcPr>
          <w:p>
            <w:pPr>
              <w:spacing w:after="0"/>
              <w:rPr>
                <w:sz w:val="9"/>
                <w:szCs w:val="9"/>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2.83</w:t>
            </w:r>
          </w:p>
        </w:tc>
        <w:tc>
          <w:tcPr>
            <w:tcW w:w="60" w:type="dxa"/>
            <w:vAlign w:val="bottom"/>
            <w:shd w:val="clear" w:color="auto" w:fill="E5F1EE"/>
          </w:tcPr>
          <w:p>
            <w:pPr>
              <w:spacing w:after="0"/>
              <w:rPr>
                <w:sz w:val="9"/>
                <w:szCs w:val="9"/>
                <w:color w:val="auto"/>
              </w:rPr>
            </w:pPr>
          </w:p>
        </w:tc>
        <w:tc>
          <w:tcPr>
            <w:tcW w:w="540" w:type="dxa"/>
            <w:vAlign w:val="bottom"/>
            <w:shd w:val="clear" w:color="auto" w:fill="E5F1EE"/>
          </w:tcPr>
          <w:p>
            <w:pPr>
              <w:spacing w:after="0"/>
              <w:rPr>
                <w:sz w:val="9"/>
                <w:szCs w:val="9"/>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E5F1EE"/>
          </w:tcPr>
          <w:p>
            <w:pPr>
              <w:spacing w:after="0"/>
              <w:rPr>
                <w:sz w:val="9"/>
                <w:szCs w:val="9"/>
                <w:color w:val="auto"/>
              </w:rPr>
            </w:pPr>
          </w:p>
        </w:tc>
        <w:tc>
          <w:tcPr>
            <w:tcW w:w="760" w:type="dxa"/>
            <w:vAlign w:val="bottom"/>
            <w:shd w:val="clear" w:color="auto" w:fill="E5F1EE"/>
          </w:tcPr>
          <w:p>
            <w:pPr>
              <w:spacing w:after="0"/>
              <w:rPr>
                <w:sz w:val="9"/>
                <w:szCs w:val="9"/>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100" w:type="dxa"/>
            <w:vAlign w:val="bottom"/>
            <w:shd w:val="clear" w:color="auto" w:fill="E5F1EE"/>
          </w:tcPr>
          <w:p>
            <w:pPr>
              <w:spacing w:after="0"/>
              <w:rPr>
                <w:sz w:val="9"/>
                <w:szCs w:val="9"/>
                <w:color w:val="auto"/>
              </w:rPr>
            </w:pP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131,475</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3.24</w:t>
            </w:r>
          </w:p>
        </w:tc>
        <w:tc>
          <w:tcPr>
            <w:tcW w:w="80" w:type="dxa"/>
            <w:vAlign w:val="bottom"/>
            <w:shd w:val="clear" w:color="auto" w:fill="E5F1EE"/>
          </w:tcPr>
          <w:p>
            <w:pPr>
              <w:spacing w:after="0"/>
              <w:rPr>
                <w:sz w:val="9"/>
                <w:szCs w:val="9"/>
                <w:color w:val="auto"/>
              </w:rPr>
            </w:pPr>
          </w:p>
        </w:tc>
        <w:tc>
          <w:tcPr>
            <w:tcW w:w="12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116,988</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2.39</w:t>
            </w:r>
          </w:p>
        </w:tc>
        <w:tc>
          <w:tcPr>
            <w:tcW w:w="80" w:type="dxa"/>
            <w:vAlign w:val="bottom"/>
            <w:shd w:val="clear" w:color="auto" w:fill="E5F1EE"/>
          </w:tcPr>
          <w:p>
            <w:pPr>
              <w:spacing w:after="0"/>
              <w:rPr>
                <w:sz w:val="9"/>
                <w:szCs w:val="9"/>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100" w:type="dxa"/>
            <w:vAlign w:val="bottom"/>
            <w:shd w:val="clear" w:color="auto" w:fill="E5F1EE"/>
          </w:tcPr>
          <w:p>
            <w:pPr>
              <w:spacing w:after="0"/>
              <w:rPr>
                <w:sz w:val="9"/>
                <w:szCs w:val="9"/>
                <w:color w:val="auto"/>
              </w:rPr>
            </w:pPr>
          </w:p>
        </w:tc>
      </w:tr>
      <w:tr>
        <w:trPr>
          <w:trHeight w:val="112"/>
        </w:trPr>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Noninterest-bearing deposits</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46,158</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47,734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53,886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-3</w:t>
            </w: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3"/>
              </w:rPr>
              <w:t>-14</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47,498</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57,277</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100" w:type="dxa"/>
            <w:vAlign w:val="bottom"/>
          </w:tcPr>
          <w:p>
            <w:pPr>
              <w:spacing w:after="0"/>
              <w:rPr>
                <w:sz w:val="9"/>
                <w:szCs w:val="9"/>
                <w:color w:val="auto"/>
              </w:rPr>
            </w:pPr>
          </w:p>
        </w:tc>
      </w:tr>
      <w:tr>
        <w:trPr>
          <w:trHeight w:val="122"/>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Other liabilities</w:t>
            </w: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3,923</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4,293</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4,497</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-9</w:t>
            </w: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w w:val="93"/>
              </w:rPr>
              <w:t>-13</w:t>
            </w: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4,202</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4,305</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E5F1EE"/>
          </w:tcPr>
          <w:p>
            <w:pPr>
              <w:spacing w:after="0"/>
              <w:rPr>
                <w:sz w:val="10"/>
                <w:szCs w:val="10"/>
                <w:color w:val="auto"/>
              </w:rPr>
            </w:pPr>
          </w:p>
        </w:tc>
      </w:tr>
      <w:tr>
        <w:trPr>
          <w:trHeight w:val="101"/>
        </w:trPr>
        <w:tc>
          <w:tcPr>
            <w:tcW w:w="2240" w:type="dxa"/>
            <w:vAlign w:val="bottom"/>
          </w:tcPr>
          <w:p>
            <w:pPr>
              <w:spacing w:after="0" w:line="87" w:lineRule="exact"/>
              <w:rPr>
                <w:sz w:val="20"/>
                <w:szCs w:val="20"/>
                <w:color w:val="auto"/>
              </w:rPr>
            </w:pPr>
            <w:r>
              <w:rPr>
                <w:rFonts w:ascii="Times New Roman" w:cs="Times New Roman" w:eastAsia="Times New Roman" w:hAnsi="Times New Roman"/>
                <w:sz w:val="8"/>
                <w:szCs w:val="8"/>
                <w:color w:val="auto"/>
              </w:rPr>
              <w:t>Total liabilities</w:t>
            </w: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180,856</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184,236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179,771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183,175</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178,570</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8"/>
                <w:szCs w:val="8"/>
                <w:color w:val="auto"/>
              </w:rPr>
            </w:pPr>
          </w:p>
        </w:tc>
      </w:tr>
      <w:tr>
        <w:trPr>
          <w:trHeight w:val="122"/>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Shareholders' equity</w:t>
            </w: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28,725</w:t>
            </w: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27,745</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26,020</w:t>
            </w: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4</w:t>
            </w: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27,833</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tcBorders>
              <w:bottom w:val="single" w:sz="8" w:color="auto"/>
            </w:tcBorders>
            <w:shd w:val="clear" w:color="auto" w:fill="E5F1EE"/>
          </w:tcPr>
          <w:p>
            <w:pPr>
              <w:spacing w:after="0"/>
              <w:rPr>
                <w:sz w:val="10"/>
                <w:szCs w:val="10"/>
                <w:color w:val="auto"/>
              </w:rPr>
            </w:pPr>
          </w:p>
        </w:tc>
        <w:tc>
          <w:tcPr>
            <w:tcW w:w="520" w:type="dxa"/>
            <w:vAlign w:val="bottom"/>
            <w:tcBorders>
              <w:bottom w:val="single" w:sz="8" w:color="auto"/>
            </w:tcBorders>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25,696</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100" w:type="dxa"/>
            <w:vAlign w:val="bottom"/>
            <w:shd w:val="clear" w:color="auto" w:fill="E5F1EE"/>
          </w:tcPr>
          <w:p>
            <w:pPr>
              <w:spacing w:after="0"/>
              <w:rPr>
                <w:sz w:val="10"/>
                <w:szCs w:val="10"/>
                <w:color w:val="auto"/>
              </w:rPr>
            </w:pPr>
          </w:p>
        </w:tc>
      </w:tr>
      <w:tr>
        <w:trPr>
          <w:trHeight w:val="122"/>
        </w:trPr>
        <w:tc>
          <w:tcPr>
            <w:tcW w:w="22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8"/>
                <w:szCs w:val="8"/>
                <w:color w:val="auto"/>
              </w:rPr>
              <w:t>Total liabilities and shareholders' equity</w:t>
            </w: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209,581</w:t>
            </w:r>
          </w:p>
        </w:tc>
        <w:tc>
          <w:tcPr>
            <w:tcW w:w="60" w:type="dxa"/>
            <w:vAlign w:val="bottom"/>
            <w:tcBorders>
              <w:bottom w:val="single" w:sz="8" w:color="E5F1EE"/>
            </w:tcBorders>
          </w:tcPr>
          <w:p>
            <w:pPr>
              <w:spacing w:after="0"/>
              <w:rPr>
                <w:sz w:val="10"/>
                <w:szCs w:val="10"/>
                <w:color w:val="auto"/>
              </w:rPr>
            </w:pPr>
          </w:p>
        </w:tc>
        <w:tc>
          <w:tcPr>
            <w:tcW w:w="160" w:type="dxa"/>
            <w:vAlign w:val="bottom"/>
            <w:tcBorders>
              <w:bottom w:val="single" w:sz="8" w:color="E5F1EE"/>
            </w:tcBorders>
          </w:tcPr>
          <w:p>
            <w:pPr>
              <w:spacing w:after="0"/>
              <w:rPr>
                <w:sz w:val="10"/>
                <w:szCs w:val="10"/>
                <w:color w:val="auto"/>
              </w:rPr>
            </w:pPr>
          </w:p>
        </w:tc>
        <w:tc>
          <w:tcPr>
            <w:tcW w:w="36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211,981</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spacing w:after="0"/>
              <w:rPr>
                <w:sz w:val="10"/>
                <w:szCs w:val="10"/>
                <w:color w:val="auto"/>
              </w:rPr>
            </w:pPr>
          </w:p>
        </w:tc>
        <w:tc>
          <w:tcPr>
            <w:tcW w:w="40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205,791</w:t>
            </w:r>
          </w:p>
        </w:tc>
        <w:tc>
          <w:tcPr>
            <w:tcW w:w="80" w:type="dxa"/>
            <w:vAlign w:val="bottom"/>
            <w:tcBorders>
              <w:bottom w:val="single" w:sz="8" w:color="E5F1EE"/>
            </w:tcBorders>
          </w:tcPr>
          <w:p>
            <w:pPr>
              <w:spacing w:after="0"/>
              <w:rPr>
                <w:sz w:val="10"/>
                <w:szCs w:val="10"/>
                <w:color w:val="auto"/>
              </w:rPr>
            </w:pPr>
          </w:p>
        </w:tc>
        <w:tc>
          <w:tcPr>
            <w:tcW w:w="160" w:type="dxa"/>
            <w:vAlign w:val="bottom"/>
            <w:tcBorders>
              <w:bottom w:val="single" w:sz="8" w:color="E5F1EE"/>
            </w:tcBorders>
          </w:tcPr>
          <w:p>
            <w:pPr>
              <w:spacing w:after="0"/>
              <w:rPr>
                <w:sz w:val="10"/>
                <w:szCs w:val="10"/>
                <w:color w:val="auto"/>
              </w:rPr>
            </w:pPr>
          </w:p>
        </w:tc>
        <w:tc>
          <w:tcPr>
            <w:tcW w:w="360" w:type="dxa"/>
            <w:vAlign w:val="bottom"/>
            <w:tcBorders>
              <w:bottom w:val="single" w:sz="8" w:color="E5F1EE"/>
            </w:tcBorders>
          </w:tcPr>
          <w:p>
            <w:pPr>
              <w:spacing w:after="0"/>
              <w:rPr>
                <w:sz w:val="10"/>
                <w:szCs w:val="10"/>
                <w:color w:val="auto"/>
              </w:rPr>
            </w:pPr>
          </w:p>
        </w:tc>
        <w:tc>
          <w:tcPr>
            <w:tcW w:w="60" w:type="dxa"/>
            <w:vAlign w:val="bottom"/>
            <w:tcBorders>
              <w:bottom w:val="single" w:sz="8" w:color="E5F1EE"/>
            </w:tcBorders>
          </w:tcPr>
          <w:p>
            <w:pPr>
              <w:spacing w:after="0"/>
              <w:rPr>
                <w:sz w:val="10"/>
                <w:szCs w:val="10"/>
                <w:color w:val="auto"/>
              </w:rPr>
            </w:pPr>
          </w:p>
        </w:tc>
        <w:tc>
          <w:tcPr>
            <w:tcW w:w="540" w:type="dxa"/>
            <w:vAlign w:val="bottom"/>
            <w:tcBorders>
              <w:bottom w:val="single" w:sz="8" w:color="E5F1EE"/>
            </w:tcBorders>
          </w:tcPr>
          <w:p>
            <w:pPr>
              <w:spacing w:after="0"/>
              <w:rPr>
                <w:sz w:val="10"/>
                <w:szCs w:val="10"/>
                <w:color w:val="auto"/>
              </w:rPr>
            </w:pPr>
          </w:p>
        </w:tc>
        <w:tc>
          <w:tcPr>
            <w:tcW w:w="24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-1 %</w:t>
            </w:r>
          </w:p>
        </w:tc>
        <w:tc>
          <w:tcPr>
            <w:tcW w:w="60" w:type="dxa"/>
            <w:vAlign w:val="bottom"/>
            <w:tcBorders>
              <w:bottom w:val="single" w:sz="8" w:color="E5F1EE"/>
            </w:tcBorders>
          </w:tcPr>
          <w:p>
            <w:pPr>
              <w:spacing w:after="0"/>
              <w:rPr>
                <w:sz w:val="10"/>
                <w:szCs w:val="10"/>
                <w:color w:val="auto"/>
              </w:rPr>
            </w:pPr>
          </w:p>
        </w:tc>
        <w:tc>
          <w:tcPr>
            <w:tcW w:w="760" w:type="dxa"/>
            <w:vAlign w:val="bottom"/>
            <w:tcBorders>
              <w:bottom w:val="single" w:sz="8" w:color="E5F1EE"/>
            </w:tcBorders>
          </w:tcPr>
          <w:p>
            <w:pPr>
              <w:spacing w:after="0"/>
              <w:rPr>
                <w:sz w:val="10"/>
                <w:szCs w:val="10"/>
                <w:color w:val="auto"/>
              </w:rPr>
            </w:pPr>
          </w:p>
        </w:tc>
        <w:tc>
          <w:tcPr>
            <w:tcW w:w="1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1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211,008</w:t>
            </w:r>
          </w:p>
        </w:tc>
        <w:tc>
          <w:tcPr>
            <w:tcW w:w="80" w:type="dxa"/>
            <w:vAlign w:val="bottom"/>
            <w:tcBorders>
              <w:bottom w:val="single" w:sz="8" w:color="E5F1EE"/>
            </w:tcBorders>
          </w:tcPr>
          <w:p>
            <w:pPr>
              <w:spacing w:after="0"/>
              <w:rPr>
                <w:sz w:val="10"/>
                <w:szCs w:val="10"/>
                <w:color w:val="auto"/>
              </w:rPr>
            </w:pPr>
          </w:p>
        </w:tc>
        <w:tc>
          <w:tcPr>
            <w:tcW w:w="5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204,266</w:t>
            </w:r>
          </w:p>
        </w:tc>
        <w:tc>
          <w:tcPr>
            <w:tcW w:w="80" w:type="dxa"/>
            <w:vAlign w:val="bottom"/>
            <w:tcBorders>
              <w:bottom w:val="single" w:sz="8" w:color="E5F1EE"/>
            </w:tcBorders>
          </w:tcPr>
          <w:p>
            <w:pPr>
              <w:spacing w:after="0"/>
              <w:rPr>
                <w:sz w:val="10"/>
                <w:szCs w:val="10"/>
                <w:color w:val="auto"/>
              </w:rPr>
            </w:pPr>
          </w:p>
        </w:tc>
        <w:tc>
          <w:tcPr>
            <w:tcW w:w="520" w:type="dxa"/>
            <w:vAlign w:val="bottom"/>
            <w:tcBorders>
              <w:bottom w:val="single" w:sz="8" w:color="E5F1EE"/>
            </w:tcBorders>
          </w:tcPr>
          <w:p>
            <w:pPr>
              <w:spacing w:after="0"/>
              <w:rPr>
                <w:sz w:val="10"/>
                <w:szCs w:val="10"/>
                <w:color w:val="auto"/>
              </w:rPr>
            </w:pPr>
          </w:p>
        </w:tc>
        <w:tc>
          <w:tcPr>
            <w:tcW w:w="80" w:type="dxa"/>
            <w:vAlign w:val="bottom"/>
            <w:tcBorders>
              <w:bottom w:val="single" w:sz="8" w:color="E5F1EE"/>
            </w:tcBorders>
          </w:tcPr>
          <w:p>
            <w:pPr>
              <w:spacing w:after="0"/>
              <w:rPr>
                <w:sz w:val="10"/>
                <w:szCs w:val="10"/>
                <w:color w:val="auto"/>
              </w:rPr>
            </w:pPr>
          </w:p>
        </w:tc>
        <w:tc>
          <w:tcPr>
            <w:tcW w:w="52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100" w:type="dxa"/>
            <w:vAlign w:val="bottom"/>
            <w:tcBorders>
              <w:bottom w:val="single" w:sz="8" w:color="E5F1EE"/>
            </w:tcBorders>
          </w:tcPr>
          <w:p>
            <w:pPr>
              <w:jc w:val="right"/>
              <w:spacing w:after="0"/>
              <w:rPr>
                <w:sz w:val="20"/>
                <w:szCs w:val="20"/>
                <w:color w:val="auto"/>
              </w:rPr>
            </w:pPr>
            <w:r>
              <w:rPr>
                <w:rFonts w:ascii="Times New Roman" w:cs="Times New Roman" w:eastAsia="Times New Roman" w:hAnsi="Times New Roman"/>
                <w:sz w:val="8"/>
                <w:szCs w:val="8"/>
                <w:color w:val="auto"/>
                <w:w w:val="89"/>
              </w:rPr>
              <w:t>%</w:t>
            </w:r>
          </w:p>
        </w:tc>
      </w:tr>
      <w:tr>
        <w:trPr>
          <w:trHeight w:val="99"/>
        </w:trPr>
        <w:tc>
          <w:tcPr>
            <w:tcW w:w="2240" w:type="dxa"/>
            <w:vAlign w:val="bottom"/>
            <w:shd w:val="clear" w:color="auto" w:fill="E5F1EE"/>
          </w:tcPr>
          <w:p>
            <w:pPr>
              <w:spacing w:after="0" w:line="89" w:lineRule="exact"/>
              <w:rPr>
                <w:sz w:val="20"/>
                <w:szCs w:val="20"/>
                <w:color w:val="auto"/>
              </w:rPr>
            </w:pPr>
            <w:r>
              <w:rPr>
                <w:rFonts w:ascii="Times New Roman" w:cs="Times New Roman" w:eastAsia="Times New Roman" w:hAnsi="Times New Roman"/>
                <w:sz w:val="8"/>
                <w:szCs w:val="8"/>
                <w:color w:val="auto"/>
              </w:rPr>
              <w:t>Net interest spread</w:t>
            </w: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60" w:type="dxa"/>
            <w:vAlign w:val="bottom"/>
            <w:shd w:val="clear" w:color="auto" w:fill="E5F1EE"/>
          </w:tcPr>
          <w:p>
            <w:pPr>
              <w:spacing w:after="0"/>
              <w:rPr>
                <w:sz w:val="8"/>
                <w:szCs w:val="8"/>
                <w:color w:val="auto"/>
              </w:rPr>
            </w:pPr>
          </w:p>
        </w:tc>
        <w:tc>
          <w:tcPr>
            <w:tcW w:w="160" w:type="dxa"/>
            <w:vAlign w:val="bottom"/>
            <w:shd w:val="clear" w:color="auto" w:fill="E5F1EE"/>
          </w:tcPr>
          <w:p>
            <w:pPr>
              <w:spacing w:after="0"/>
              <w:rPr>
                <w:sz w:val="8"/>
                <w:szCs w:val="8"/>
                <w:color w:val="auto"/>
              </w:rPr>
            </w:pPr>
          </w:p>
        </w:tc>
        <w:tc>
          <w:tcPr>
            <w:tcW w:w="360" w:type="dxa"/>
            <w:vAlign w:val="bottom"/>
            <w:shd w:val="clear" w:color="auto" w:fill="E5F1EE"/>
          </w:tcPr>
          <w:p>
            <w:pPr>
              <w:ind w:left="100"/>
              <w:spacing w:after="0" w:line="89" w:lineRule="exact"/>
              <w:rPr>
                <w:sz w:val="20"/>
                <w:szCs w:val="20"/>
                <w:color w:val="auto"/>
              </w:rPr>
            </w:pPr>
            <w:r>
              <w:rPr>
                <w:rFonts w:ascii="Times New Roman" w:cs="Times New Roman" w:eastAsia="Times New Roman" w:hAnsi="Times New Roman"/>
                <w:sz w:val="8"/>
                <w:szCs w:val="8"/>
                <w:color w:val="auto"/>
              </w:rPr>
              <w:t>2.60</w:t>
            </w:r>
          </w:p>
        </w:tc>
        <w:tc>
          <w:tcPr>
            <w:tcW w:w="6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400" w:type="dxa"/>
            <w:vAlign w:val="bottom"/>
            <w:shd w:val="clear" w:color="auto" w:fill="E5F1EE"/>
          </w:tcPr>
          <w:p>
            <w:pPr>
              <w:ind w:left="140"/>
              <w:spacing w:after="0" w:line="89" w:lineRule="exact"/>
              <w:rPr>
                <w:sz w:val="20"/>
                <w:szCs w:val="20"/>
                <w:color w:val="auto"/>
              </w:rPr>
            </w:pPr>
            <w:r>
              <w:rPr>
                <w:rFonts w:ascii="Times New Roman" w:cs="Times New Roman" w:eastAsia="Times New Roman" w:hAnsi="Times New Roman"/>
                <w:sz w:val="8"/>
                <w:szCs w:val="8"/>
                <w:color w:val="auto"/>
              </w:rPr>
              <w:t>2.56</w:t>
            </w: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160" w:type="dxa"/>
            <w:vAlign w:val="bottom"/>
            <w:shd w:val="clear" w:color="auto" w:fill="E5F1EE"/>
          </w:tcPr>
          <w:p>
            <w:pPr>
              <w:spacing w:after="0"/>
              <w:rPr>
                <w:sz w:val="8"/>
                <w:szCs w:val="8"/>
                <w:color w:val="auto"/>
              </w:rPr>
            </w:pPr>
          </w:p>
        </w:tc>
        <w:tc>
          <w:tcPr>
            <w:tcW w:w="360" w:type="dxa"/>
            <w:vAlign w:val="bottom"/>
            <w:shd w:val="clear" w:color="auto" w:fill="E5F1EE"/>
          </w:tcPr>
          <w:p>
            <w:pPr>
              <w:ind w:left="100"/>
              <w:spacing w:after="0" w:line="89" w:lineRule="exact"/>
              <w:rPr>
                <w:sz w:val="20"/>
                <w:szCs w:val="20"/>
                <w:color w:val="auto"/>
              </w:rPr>
            </w:pPr>
            <w:r>
              <w:rPr>
                <w:rFonts w:ascii="Times New Roman" w:cs="Times New Roman" w:eastAsia="Times New Roman" w:hAnsi="Times New Roman"/>
                <w:sz w:val="8"/>
                <w:szCs w:val="8"/>
                <w:color w:val="auto"/>
              </w:rPr>
              <w:t>2.79</w:t>
            </w:r>
          </w:p>
        </w:tc>
        <w:tc>
          <w:tcPr>
            <w:tcW w:w="60" w:type="dxa"/>
            <w:vAlign w:val="bottom"/>
            <w:shd w:val="clear" w:color="auto" w:fill="E5F1EE"/>
          </w:tcPr>
          <w:p>
            <w:pPr>
              <w:spacing w:after="0"/>
              <w:rPr>
                <w:sz w:val="8"/>
                <w:szCs w:val="8"/>
                <w:color w:val="auto"/>
              </w:rPr>
            </w:pPr>
          </w:p>
        </w:tc>
        <w:tc>
          <w:tcPr>
            <w:tcW w:w="540" w:type="dxa"/>
            <w:vAlign w:val="bottom"/>
            <w:shd w:val="clear" w:color="auto" w:fill="E5F1EE"/>
          </w:tcPr>
          <w:p>
            <w:pPr>
              <w:spacing w:after="0"/>
              <w:rPr>
                <w:sz w:val="8"/>
                <w:szCs w:val="8"/>
                <w:color w:val="auto"/>
              </w:rPr>
            </w:pPr>
          </w:p>
        </w:tc>
        <w:tc>
          <w:tcPr>
            <w:tcW w:w="240" w:type="dxa"/>
            <w:vAlign w:val="bottom"/>
            <w:shd w:val="clear" w:color="auto" w:fill="E5F1EE"/>
          </w:tcPr>
          <w:p>
            <w:pPr>
              <w:spacing w:after="0"/>
              <w:rPr>
                <w:sz w:val="8"/>
                <w:szCs w:val="8"/>
                <w:color w:val="auto"/>
              </w:rPr>
            </w:pPr>
          </w:p>
        </w:tc>
        <w:tc>
          <w:tcPr>
            <w:tcW w:w="60" w:type="dxa"/>
            <w:vAlign w:val="bottom"/>
            <w:shd w:val="clear" w:color="auto" w:fill="E5F1EE"/>
          </w:tcPr>
          <w:p>
            <w:pPr>
              <w:spacing w:after="0"/>
              <w:rPr>
                <w:sz w:val="8"/>
                <w:szCs w:val="8"/>
                <w:color w:val="auto"/>
              </w:rPr>
            </w:pPr>
          </w:p>
        </w:tc>
        <w:tc>
          <w:tcPr>
            <w:tcW w:w="76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10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520" w:type="dxa"/>
            <w:vAlign w:val="bottom"/>
            <w:shd w:val="clear" w:color="auto" w:fill="E5F1EE"/>
          </w:tcPr>
          <w:p>
            <w:pPr>
              <w:ind w:left="260"/>
              <w:spacing w:after="0" w:line="89" w:lineRule="exact"/>
              <w:rPr>
                <w:sz w:val="20"/>
                <w:szCs w:val="20"/>
                <w:color w:val="auto"/>
              </w:rPr>
            </w:pPr>
            <w:r>
              <w:rPr>
                <w:rFonts w:ascii="Times New Roman" w:cs="Times New Roman" w:eastAsia="Times New Roman" w:hAnsi="Times New Roman"/>
                <w:sz w:val="8"/>
                <w:szCs w:val="8"/>
                <w:color w:val="auto"/>
              </w:rPr>
              <w:t>2.55</w:t>
            </w:r>
          </w:p>
        </w:tc>
        <w:tc>
          <w:tcPr>
            <w:tcW w:w="80" w:type="dxa"/>
            <w:vAlign w:val="bottom"/>
            <w:shd w:val="clear" w:color="auto" w:fill="E5F1EE"/>
          </w:tcPr>
          <w:p>
            <w:pPr>
              <w:spacing w:after="0"/>
              <w:rPr>
                <w:sz w:val="8"/>
                <w:szCs w:val="8"/>
                <w:color w:val="auto"/>
              </w:rPr>
            </w:pPr>
          </w:p>
        </w:tc>
        <w:tc>
          <w:tcPr>
            <w:tcW w:w="12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80" w:type="dxa"/>
            <w:vAlign w:val="bottom"/>
            <w:shd w:val="clear" w:color="auto" w:fill="E5F1EE"/>
          </w:tcPr>
          <w:p>
            <w:pPr>
              <w:spacing w:after="0"/>
              <w:rPr>
                <w:sz w:val="8"/>
                <w:szCs w:val="8"/>
                <w:color w:val="auto"/>
              </w:rPr>
            </w:pPr>
          </w:p>
        </w:tc>
        <w:tc>
          <w:tcPr>
            <w:tcW w:w="520" w:type="dxa"/>
            <w:vAlign w:val="bottom"/>
            <w:shd w:val="clear" w:color="auto" w:fill="E5F1EE"/>
          </w:tcPr>
          <w:p>
            <w:pPr>
              <w:ind w:left="260"/>
              <w:spacing w:after="0" w:line="89" w:lineRule="exact"/>
              <w:rPr>
                <w:sz w:val="20"/>
                <w:szCs w:val="20"/>
                <w:color w:val="auto"/>
              </w:rPr>
            </w:pPr>
            <w:r>
              <w:rPr>
                <w:rFonts w:ascii="Times New Roman" w:cs="Times New Roman" w:eastAsia="Times New Roman" w:hAnsi="Times New Roman"/>
                <w:sz w:val="8"/>
                <w:szCs w:val="8"/>
                <w:color w:val="auto"/>
              </w:rPr>
              <w:t>3.02</w:t>
            </w:r>
          </w:p>
        </w:tc>
        <w:tc>
          <w:tcPr>
            <w:tcW w:w="80" w:type="dxa"/>
            <w:vAlign w:val="bottom"/>
            <w:shd w:val="clear" w:color="auto" w:fill="E5F1EE"/>
          </w:tcPr>
          <w:p>
            <w:pPr>
              <w:spacing w:after="0"/>
              <w:rPr>
                <w:sz w:val="8"/>
                <w:szCs w:val="8"/>
                <w:color w:val="auto"/>
              </w:rPr>
            </w:pPr>
          </w:p>
        </w:tc>
        <w:tc>
          <w:tcPr>
            <w:tcW w:w="520" w:type="dxa"/>
            <w:vAlign w:val="bottom"/>
            <w:shd w:val="clear" w:color="auto" w:fill="E5F1EE"/>
          </w:tcPr>
          <w:p>
            <w:pPr>
              <w:spacing w:after="0"/>
              <w:rPr>
                <w:sz w:val="8"/>
                <w:szCs w:val="8"/>
                <w:color w:val="auto"/>
              </w:rPr>
            </w:pPr>
          </w:p>
        </w:tc>
        <w:tc>
          <w:tcPr>
            <w:tcW w:w="100" w:type="dxa"/>
            <w:vAlign w:val="bottom"/>
            <w:shd w:val="clear" w:color="auto" w:fill="E5F1EE"/>
          </w:tcPr>
          <w:p>
            <w:pPr>
              <w:spacing w:after="0"/>
              <w:rPr>
                <w:sz w:val="8"/>
                <w:szCs w:val="8"/>
                <w:color w:val="auto"/>
              </w:rPr>
            </w:pPr>
          </w:p>
        </w:tc>
      </w:tr>
      <w:tr>
        <w:trPr>
          <w:trHeight w:val="112"/>
        </w:trPr>
        <w:tc>
          <w:tcPr>
            <w:tcW w:w="2240" w:type="dxa"/>
            <w:vAlign w:val="bottom"/>
          </w:tcPr>
          <w:p>
            <w:pPr>
              <w:spacing w:after="0"/>
              <w:rPr>
                <w:sz w:val="20"/>
                <w:szCs w:val="20"/>
                <w:color w:val="auto"/>
              </w:rPr>
            </w:pPr>
            <w:r>
              <w:rPr>
                <w:rFonts w:ascii="Times New Roman" w:cs="Times New Roman" w:eastAsia="Times New Roman" w:hAnsi="Times New Roman"/>
                <w:sz w:val="8"/>
                <w:szCs w:val="8"/>
                <w:color w:val="auto"/>
              </w:rPr>
              <w:t>Contribution of interest-free funds</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1.02</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8"/>
                <w:szCs w:val="8"/>
                <w:color w:val="auto"/>
              </w:rPr>
              <w:t>1.03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8"/>
                <w:szCs w:val="8"/>
                <w:color w:val="auto"/>
              </w:rPr>
              <w:t>1.00</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1.03</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8"/>
                <w:szCs w:val="8"/>
                <w:color w:val="auto"/>
              </w:rPr>
              <w:t>0.89</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2240" w:type="dxa"/>
            <w:vAlign w:val="bottom"/>
            <w:shd w:val="clear" w:color="auto" w:fill="E5F1EE"/>
          </w:tcPr>
          <w:p>
            <w:pPr>
              <w:spacing w:after="0"/>
              <w:rPr>
                <w:sz w:val="20"/>
                <w:szCs w:val="20"/>
                <w:color w:val="auto"/>
              </w:rPr>
            </w:pPr>
            <w:r>
              <w:rPr>
                <w:rFonts w:ascii="Times New Roman" w:cs="Times New Roman" w:eastAsia="Times New Roman" w:hAnsi="Times New Roman"/>
                <w:sz w:val="8"/>
                <w:szCs w:val="8"/>
                <w:color w:val="auto"/>
              </w:rPr>
              <w:t>Net interest margin</w:t>
            </w: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3.62 %</w:t>
            </w:r>
          </w:p>
        </w:tc>
        <w:tc>
          <w:tcPr>
            <w:tcW w:w="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400" w:type="dxa"/>
            <w:vAlign w:val="bottom"/>
            <w:shd w:val="clear" w:color="auto" w:fill="E5F1EE"/>
          </w:tcPr>
          <w:p>
            <w:pPr>
              <w:ind w:left="140"/>
              <w:spacing w:after="0"/>
              <w:rPr>
                <w:sz w:val="20"/>
                <w:szCs w:val="20"/>
                <w:color w:val="auto"/>
              </w:rPr>
            </w:pPr>
            <w:r>
              <w:rPr>
                <w:rFonts w:ascii="Times New Roman" w:cs="Times New Roman" w:eastAsia="Times New Roman" w:hAnsi="Times New Roman"/>
                <w:sz w:val="8"/>
                <w:szCs w:val="8"/>
                <w:color w:val="auto"/>
              </w:rPr>
              <w:t>3.59 %</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360" w:type="dxa"/>
            <w:vAlign w:val="bottom"/>
            <w:shd w:val="clear" w:color="auto" w:fill="E5F1EE"/>
          </w:tcPr>
          <w:p>
            <w:pPr>
              <w:ind w:left="100"/>
              <w:spacing w:after="0"/>
              <w:rPr>
                <w:sz w:val="20"/>
                <w:szCs w:val="20"/>
                <w:color w:val="auto"/>
              </w:rPr>
            </w:pPr>
            <w:r>
              <w:rPr>
                <w:rFonts w:ascii="Times New Roman" w:cs="Times New Roman" w:eastAsia="Times New Roman" w:hAnsi="Times New Roman"/>
                <w:sz w:val="8"/>
                <w:szCs w:val="8"/>
                <w:color w:val="auto"/>
              </w:rPr>
              <w:t>3.79 %</w:t>
            </w:r>
          </w:p>
        </w:tc>
        <w:tc>
          <w:tcPr>
            <w:tcW w:w="60" w:type="dxa"/>
            <w:vAlign w:val="bottom"/>
            <w:shd w:val="clear" w:color="auto" w:fill="E5F1EE"/>
          </w:tcPr>
          <w:p>
            <w:pPr>
              <w:spacing w:after="0"/>
              <w:rPr>
                <w:sz w:val="10"/>
                <w:szCs w:val="10"/>
                <w:color w:val="auto"/>
              </w:rPr>
            </w:pPr>
          </w:p>
        </w:tc>
        <w:tc>
          <w:tcPr>
            <w:tcW w:w="540" w:type="dxa"/>
            <w:vAlign w:val="bottom"/>
            <w:shd w:val="clear" w:color="auto" w:fill="E5F1EE"/>
          </w:tcPr>
          <w:p>
            <w:pPr>
              <w:spacing w:after="0"/>
              <w:rPr>
                <w:sz w:val="10"/>
                <w:szCs w:val="10"/>
                <w:color w:val="auto"/>
              </w:rPr>
            </w:pPr>
          </w:p>
        </w:tc>
        <w:tc>
          <w:tcPr>
            <w:tcW w:w="240" w:type="dxa"/>
            <w:vAlign w:val="bottom"/>
            <w:shd w:val="clear" w:color="auto" w:fill="E5F1EE"/>
          </w:tcPr>
          <w:p>
            <w:pPr>
              <w:spacing w:after="0"/>
              <w:rPr>
                <w:sz w:val="10"/>
                <w:szCs w:val="10"/>
                <w:color w:val="auto"/>
              </w:rPr>
            </w:pPr>
          </w:p>
        </w:tc>
        <w:tc>
          <w:tcPr>
            <w:tcW w:w="60" w:type="dxa"/>
            <w:vAlign w:val="bottom"/>
            <w:shd w:val="clear" w:color="auto" w:fill="E5F1EE"/>
          </w:tcPr>
          <w:p>
            <w:pPr>
              <w:spacing w:after="0"/>
              <w:rPr>
                <w:sz w:val="10"/>
                <w:szCs w:val="10"/>
                <w:color w:val="auto"/>
              </w:rPr>
            </w:pPr>
          </w:p>
        </w:tc>
        <w:tc>
          <w:tcPr>
            <w:tcW w:w="76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10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3.58 %</w:t>
            </w:r>
          </w:p>
        </w:tc>
        <w:tc>
          <w:tcPr>
            <w:tcW w:w="80" w:type="dxa"/>
            <w:vAlign w:val="bottom"/>
            <w:shd w:val="clear" w:color="auto" w:fill="E5F1EE"/>
          </w:tcPr>
          <w:p>
            <w:pPr>
              <w:spacing w:after="0"/>
              <w:rPr>
                <w:sz w:val="10"/>
                <w:szCs w:val="10"/>
                <w:color w:val="auto"/>
              </w:rPr>
            </w:pPr>
          </w:p>
        </w:tc>
        <w:tc>
          <w:tcPr>
            <w:tcW w:w="12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ind w:left="260"/>
              <w:spacing w:after="0"/>
              <w:rPr>
                <w:sz w:val="20"/>
                <w:szCs w:val="20"/>
                <w:color w:val="auto"/>
              </w:rPr>
            </w:pPr>
            <w:r>
              <w:rPr>
                <w:rFonts w:ascii="Times New Roman" w:cs="Times New Roman" w:eastAsia="Times New Roman" w:hAnsi="Times New Roman"/>
                <w:sz w:val="8"/>
                <w:szCs w:val="8"/>
                <w:color w:val="auto"/>
              </w:rPr>
              <w:t>3.91 %</w:t>
            </w:r>
          </w:p>
        </w:tc>
        <w:tc>
          <w:tcPr>
            <w:tcW w:w="80" w:type="dxa"/>
            <w:vAlign w:val="bottom"/>
            <w:shd w:val="clear" w:color="auto" w:fill="E5F1EE"/>
          </w:tcPr>
          <w:p>
            <w:pPr>
              <w:spacing w:after="0"/>
              <w:rPr>
                <w:sz w:val="10"/>
                <w:szCs w:val="10"/>
                <w:color w:val="auto"/>
              </w:rPr>
            </w:pPr>
          </w:p>
        </w:tc>
        <w:tc>
          <w:tcPr>
            <w:tcW w:w="520" w:type="dxa"/>
            <w:vAlign w:val="bottom"/>
            <w:shd w:val="clear" w:color="auto" w:fill="E5F1EE"/>
          </w:tcPr>
          <w:p>
            <w:pPr>
              <w:spacing w:after="0"/>
              <w:rPr>
                <w:sz w:val="10"/>
                <w:szCs w:val="10"/>
                <w:color w:val="auto"/>
              </w:rPr>
            </w:pPr>
          </w:p>
        </w:tc>
        <w:tc>
          <w:tcPr>
            <w:tcW w:w="100" w:type="dxa"/>
            <w:vAlign w:val="bottom"/>
            <w:shd w:val="clear" w:color="auto" w:fill="E5F1EE"/>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332" w:right="299" w:bottom="1440" w:gutter="0" w:footer="0" w:header="0"/>
        </w:sectPr>
      </w:pPr>
    </w:p>
    <w:bookmarkStart w:id="19" w:name="page20"/>
    <w:bookmarkEnd w:id="19"/>
    <w:p>
      <w:pPr>
        <w:ind w:left="9780"/>
        <w:spacing w:after="0"/>
        <w:rPr>
          <w:sz w:val="20"/>
          <w:szCs w:val="20"/>
          <w:color w:val="auto"/>
        </w:rPr>
      </w:pPr>
      <w:r>
        <w:rPr>
          <w:rFonts w:ascii="Times New Roman" w:cs="Times New Roman" w:eastAsia="Times New Roman" w:hAnsi="Times New Roman"/>
          <w:sz w:val="12"/>
          <w:szCs w:val="12"/>
          <w:b w:val="1"/>
          <w:bCs w:val="1"/>
          <w:color w:val="FFFFFF"/>
        </w:rPr>
        <w:drawing>
          <wp:anchor simplePos="0" relativeHeight="251657728" behindDoc="1" locked="0" layoutInCell="0" allowOverlap="1">
            <wp:simplePos x="0" y="0"/>
            <wp:positionH relativeFrom="page">
              <wp:posOffset>185420</wp:posOffset>
            </wp:positionH>
            <wp:positionV relativeFrom="page">
              <wp:posOffset>100330</wp:posOffset>
            </wp:positionV>
            <wp:extent cx="7178040" cy="211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211455"/>
                    </a:xfrm>
                    <a:prstGeom prst="rect">
                      <a:avLst/>
                    </a:prstGeom>
                    <a:noFill/>
                  </pic:spPr>
                </pic:pic>
              </a:graphicData>
            </a:graphic>
          </wp:anchor>
        </w:drawing>
        <w:t>Third Quarter 2024 Results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Reconciliation of Quarterly GAAP to Non-GAAP Measures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Three months ended</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3"/>
          </w:tcPr>
          <w:p>
            <w:pPr>
              <w:jc w:val="right"/>
              <w:ind w:right="13"/>
              <w:spacing w:after="0"/>
              <w:rPr>
                <w:sz w:val="20"/>
                <w:szCs w:val="20"/>
                <w:color w:val="auto"/>
              </w:rPr>
            </w:pPr>
            <w:r>
              <w:rPr>
                <w:rFonts w:ascii="Times New Roman" w:cs="Times New Roman" w:eastAsia="Times New Roman" w:hAnsi="Times New Roman"/>
                <w:sz w:val="9"/>
                <w:szCs w:val="9"/>
                <w:color w:val="auto"/>
              </w:rPr>
              <w:t>Nine months ended</w:t>
            </w:r>
          </w:p>
        </w:tc>
        <w:tc>
          <w:tcPr>
            <w:tcW w:w="620" w:type="dxa"/>
            <w:vAlign w:val="bottom"/>
          </w:tcPr>
          <w:p>
            <w:pPr>
              <w:spacing w:after="0"/>
              <w:rPr>
                <w:sz w:val="10"/>
                <w:szCs w:val="10"/>
                <w:color w:val="auto"/>
              </w:rPr>
            </w:pPr>
          </w:p>
        </w:tc>
      </w:tr>
      <w:tr>
        <w:trPr>
          <w:trHeight w:val="127"/>
        </w:trPr>
        <w:tc>
          <w:tcPr>
            <w:tcW w:w="69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9"/>
                <w:szCs w:val="9"/>
                <w:color w:val="auto"/>
              </w:rPr>
              <w:t>September 30,</w:t>
            </w: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9"/>
                <w:szCs w:val="9"/>
                <w:color w:val="auto"/>
              </w:rPr>
              <w:t>September 30,</w:t>
            </w:r>
          </w:p>
        </w:tc>
        <w:tc>
          <w:tcPr>
            <w:tcW w:w="620" w:type="dxa"/>
            <w:vAlign w:val="bottom"/>
            <w:tcBorders>
              <w:bottom w:val="single" w:sz="8" w:color="auto"/>
            </w:tcBorders>
          </w:tcPr>
          <w:p>
            <w:pPr>
              <w:spacing w:after="0"/>
              <w:rPr>
                <w:sz w:val="11"/>
                <w:szCs w:val="11"/>
                <w:color w:val="auto"/>
              </w:rPr>
            </w:pPr>
          </w:p>
        </w:tc>
      </w:tr>
      <w:tr>
        <w:trPr>
          <w:trHeight w:val="114"/>
        </w:trPr>
        <w:tc>
          <w:tcPr>
            <w:tcW w:w="69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9"/>
                <w:szCs w:val="9"/>
                <w:color w:val="auto"/>
              </w:rPr>
              <w:t>2024</w:t>
            </w:r>
          </w:p>
        </w:tc>
        <w:tc>
          <w:tcPr>
            <w:tcW w:w="2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9"/>
                <w:szCs w:val="9"/>
                <w:color w:val="auto"/>
              </w:rPr>
              <w:t>2023</w:t>
            </w: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9"/>
                <w:szCs w:val="9"/>
                <w:color w:val="auto"/>
              </w:rPr>
              <w:t>2024</w:t>
            </w:r>
          </w:p>
        </w:tc>
        <w:tc>
          <w:tcPr>
            <w:tcW w:w="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9"/>
                <w:szCs w:val="9"/>
                <w:color w:val="auto"/>
              </w:rPr>
              <w:t>2023</w:t>
            </w:r>
          </w:p>
        </w:tc>
      </w:tr>
      <w:tr>
        <w:trPr>
          <w:trHeight w:val="103"/>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(Dollars in millions, except per share)</w:t>
            </w: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25"/>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Income statement data</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0"/>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Net income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0"/>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Net income</w:t>
            </w:r>
          </w:p>
        </w:tc>
        <w:tc>
          <w:tcPr>
            <w:tcW w:w="220" w:type="dxa"/>
            <w:vAlign w:val="bottom"/>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721</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690</w:t>
            </w:r>
          </w:p>
        </w:tc>
        <w:tc>
          <w:tcPr>
            <w:tcW w:w="440" w:type="dxa"/>
            <w:vAlign w:val="bottom"/>
            <w:gridSpan w:val="2"/>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1,907</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2,259</w:t>
            </w:r>
          </w:p>
        </w:tc>
      </w:tr>
      <w:tr>
        <w:trPr>
          <w:trHeight w:val="124"/>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 (1)</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10</w:t>
            </w:r>
          </w:p>
        </w:tc>
        <w:tc>
          <w:tcPr>
            <w:tcW w:w="22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12</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32</w:t>
            </w:r>
          </w:p>
        </w:tc>
        <w:tc>
          <w:tcPr>
            <w:tcW w:w="20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36</w:t>
            </w:r>
          </w:p>
        </w:tc>
      </w:tr>
      <w:tr>
        <w:trPr>
          <w:trHeight w:val="135"/>
        </w:trPr>
        <w:tc>
          <w:tcPr>
            <w:tcW w:w="694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Net operating income</w:t>
            </w: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731</w:t>
            </w:r>
          </w:p>
        </w:tc>
        <w:tc>
          <w:tcPr>
            <w:tcW w:w="22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702</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1,939</w:t>
            </w:r>
          </w:p>
        </w:tc>
        <w:tc>
          <w:tcPr>
            <w:tcW w:w="20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2,295</w:t>
            </w:r>
          </w:p>
        </w:tc>
      </w:tr>
      <w:tr>
        <w:trPr>
          <w:trHeight w:val="105"/>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Earnings per common share</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Diluted earnings per common share</w:t>
            </w:r>
          </w:p>
        </w:tc>
        <w:tc>
          <w:tcPr>
            <w:tcW w:w="220" w:type="dxa"/>
            <w:vAlign w:val="bottom"/>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4.02</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3.98</w:t>
            </w:r>
          </w:p>
        </w:tc>
        <w:tc>
          <w:tcPr>
            <w:tcW w:w="440" w:type="dxa"/>
            <w:vAlign w:val="bottom"/>
            <w:gridSpan w:val="2"/>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10.78</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13.05</w:t>
            </w:r>
          </w:p>
        </w:tc>
      </w:tr>
      <w:tr>
        <w:trPr>
          <w:trHeight w:val="124"/>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 (1)</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.06</w:t>
            </w:r>
          </w:p>
        </w:tc>
        <w:tc>
          <w:tcPr>
            <w:tcW w:w="22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.07</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.19</w:t>
            </w:r>
          </w:p>
        </w:tc>
        <w:tc>
          <w:tcPr>
            <w:tcW w:w="20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.21</w:t>
            </w:r>
          </w:p>
        </w:tc>
      </w:tr>
      <w:tr>
        <w:trPr>
          <w:trHeight w:val="135"/>
        </w:trPr>
        <w:tc>
          <w:tcPr>
            <w:tcW w:w="694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Diluted net operating earnings per common share</w:t>
            </w: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4.08</w:t>
            </w:r>
          </w:p>
        </w:tc>
        <w:tc>
          <w:tcPr>
            <w:tcW w:w="22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4.05</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10.97</w:t>
            </w:r>
          </w:p>
        </w:tc>
        <w:tc>
          <w:tcPr>
            <w:tcW w:w="20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13.26</w:t>
            </w:r>
          </w:p>
        </w:tc>
      </w:tr>
      <w:tr>
        <w:trPr>
          <w:trHeight w:val="105"/>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Other expense</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Other expense</w:t>
            </w:r>
          </w:p>
        </w:tc>
        <w:tc>
          <w:tcPr>
            <w:tcW w:w="220" w:type="dxa"/>
            <w:vAlign w:val="bottom"/>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1,303</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1,278</w:t>
            </w:r>
          </w:p>
        </w:tc>
        <w:tc>
          <w:tcPr>
            <w:tcW w:w="440" w:type="dxa"/>
            <w:vAlign w:val="bottom"/>
            <w:gridSpan w:val="2"/>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3,996</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3,929</w:t>
            </w:r>
          </w:p>
        </w:tc>
      </w:tr>
      <w:tr>
        <w:trPr>
          <w:trHeight w:val="124"/>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Amortization of core deposit and other intangible assets</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(12)</w:t>
            </w:r>
          </w:p>
        </w:tc>
        <w:tc>
          <w:tcPr>
            <w:tcW w:w="22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(15)</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(40)</w:t>
            </w:r>
          </w:p>
        </w:tc>
        <w:tc>
          <w:tcPr>
            <w:tcW w:w="20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(47)</w:t>
            </w:r>
          </w:p>
        </w:tc>
      </w:tr>
      <w:tr>
        <w:trPr>
          <w:trHeight w:val="119"/>
        </w:trPr>
        <w:tc>
          <w:tcPr>
            <w:tcW w:w="6940" w:type="dxa"/>
            <w:vAlign w:val="bottom"/>
            <w:tcBorders>
              <w:bottom w:val="single" w:sz="8" w:color="E5F1EE"/>
            </w:tcBorders>
            <w:shd w:val="clear" w:color="auto" w:fill="E5F1EE"/>
          </w:tcPr>
          <w:p>
            <w:pPr>
              <w:spacing w:after="0" w:line="100" w:lineRule="exact"/>
              <w:rPr>
                <w:sz w:val="20"/>
                <w:szCs w:val="20"/>
                <w:color w:val="auto"/>
              </w:rPr>
            </w:pPr>
            <w:r>
              <w:rPr>
                <w:rFonts w:ascii="Times New Roman" w:cs="Times New Roman" w:eastAsia="Times New Roman" w:hAnsi="Times New Roman"/>
                <w:sz w:val="9"/>
                <w:szCs w:val="9"/>
                <w:color w:val="auto"/>
              </w:rPr>
              <w:t>Noninterest operating expense</w:t>
            </w:r>
          </w:p>
        </w:tc>
        <w:tc>
          <w:tcPr>
            <w:tcW w:w="220" w:type="dxa"/>
            <w:vAlign w:val="bottom"/>
            <w:tcBorders>
              <w:bottom w:val="single" w:sz="8" w:color="auto"/>
            </w:tcBorders>
            <w:shd w:val="clear" w:color="auto" w:fill="E5F1EE"/>
          </w:tcPr>
          <w:p>
            <w:pPr>
              <w:jc w:val="right"/>
              <w:ind w:right="11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E5F1EE"/>
          </w:tcPr>
          <w:p>
            <w:pPr>
              <w:jc w:val="right"/>
              <w:ind w:right="53"/>
              <w:spacing w:after="0" w:line="100" w:lineRule="exact"/>
              <w:rPr>
                <w:sz w:val="20"/>
                <w:szCs w:val="20"/>
                <w:color w:val="auto"/>
              </w:rPr>
            </w:pPr>
            <w:r>
              <w:rPr>
                <w:rFonts w:ascii="Times New Roman" w:cs="Times New Roman" w:eastAsia="Times New Roman" w:hAnsi="Times New Roman"/>
                <w:sz w:val="9"/>
                <w:szCs w:val="9"/>
                <w:color w:val="auto"/>
              </w:rPr>
              <w:t>1,291</w:t>
            </w:r>
          </w:p>
        </w:tc>
        <w:tc>
          <w:tcPr>
            <w:tcW w:w="220" w:type="dxa"/>
            <w:vAlign w:val="bottom"/>
            <w:tcBorders>
              <w:bottom w:val="single" w:sz="8" w:color="E5F1EE"/>
            </w:tcBorders>
            <w:shd w:val="clear" w:color="auto" w:fill="E5F1EE"/>
          </w:tcPr>
          <w:p>
            <w:pPr>
              <w:spacing w:after="0"/>
              <w:rPr>
                <w:sz w:val="10"/>
                <w:szCs w:val="10"/>
                <w:color w:val="auto"/>
              </w:rPr>
            </w:pPr>
          </w:p>
        </w:tc>
        <w:tc>
          <w:tcPr>
            <w:tcW w:w="320" w:type="dxa"/>
            <w:vAlign w:val="bottom"/>
            <w:tcBorders>
              <w:bottom w:val="single" w:sz="8" w:color="auto"/>
            </w:tcBorders>
            <w:shd w:val="clear" w:color="auto" w:fill="E5F1EE"/>
          </w:tcPr>
          <w:p>
            <w:pPr>
              <w:jc w:val="right"/>
              <w:ind w:right="21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shd w:val="clear" w:color="auto" w:fill="E5F1EE"/>
          </w:tcPr>
          <w:p>
            <w:pPr>
              <w:jc w:val="right"/>
              <w:ind w:right="53"/>
              <w:spacing w:after="0" w:line="100" w:lineRule="exact"/>
              <w:rPr>
                <w:sz w:val="20"/>
                <w:szCs w:val="20"/>
                <w:color w:val="auto"/>
              </w:rPr>
            </w:pPr>
            <w:r>
              <w:rPr>
                <w:rFonts w:ascii="Times New Roman" w:cs="Times New Roman" w:eastAsia="Times New Roman" w:hAnsi="Times New Roman"/>
                <w:sz w:val="9"/>
                <w:szCs w:val="9"/>
                <w:color w:val="auto"/>
              </w:rPr>
              <w:t>1,263</w:t>
            </w:r>
          </w:p>
        </w:tc>
        <w:tc>
          <w:tcPr>
            <w:tcW w:w="220" w:type="dxa"/>
            <w:vAlign w:val="bottom"/>
            <w:tcBorders>
              <w:bottom w:val="single" w:sz="8" w:color="E5F1EE"/>
            </w:tcBorders>
            <w:shd w:val="clear" w:color="auto" w:fill="E5F1EE"/>
          </w:tcPr>
          <w:p>
            <w:pPr>
              <w:spacing w:after="0"/>
              <w:rPr>
                <w:sz w:val="10"/>
                <w:szCs w:val="10"/>
                <w:color w:val="auto"/>
              </w:rPr>
            </w:pPr>
          </w:p>
        </w:tc>
        <w:tc>
          <w:tcPr>
            <w:tcW w:w="220" w:type="dxa"/>
            <w:vAlign w:val="bottom"/>
            <w:tcBorders>
              <w:bottom w:val="single" w:sz="8" w:color="auto"/>
            </w:tcBorders>
            <w:shd w:val="clear" w:color="auto" w:fill="E5F1EE"/>
          </w:tcPr>
          <w:p>
            <w:pPr>
              <w:jc w:val="right"/>
              <w:ind w:right="11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E5F1EE"/>
          </w:tcPr>
          <w:p>
            <w:pPr>
              <w:jc w:val="right"/>
              <w:ind w:right="73"/>
              <w:spacing w:after="0" w:line="100" w:lineRule="exact"/>
              <w:rPr>
                <w:sz w:val="20"/>
                <w:szCs w:val="20"/>
                <w:color w:val="auto"/>
              </w:rPr>
            </w:pPr>
            <w:r>
              <w:rPr>
                <w:rFonts w:ascii="Times New Roman" w:cs="Times New Roman" w:eastAsia="Times New Roman" w:hAnsi="Times New Roman"/>
                <w:sz w:val="9"/>
                <w:szCs w:val="9"/>
                <w:color w:val="auto"/>
              </w:rPr>
              <w:t>3,956</w:t>
            </w:r>
          </w:p>
        </w:tc>
        <w:tc>
          <w:tcPr>
            <w:tcW w:w="200" w:type="dxa"/>
            <w:vAlign w:val="bottom"/>
            <w:tcBorders>
              <w:bottom w:val="single" w:sz="8" w:color="E5F1EE"/>
            </w:tcBorders>
            <w:shd w:val="clear" w:color="auto" w:fill="E5F1EE"/>
          </w:tcPr>
          <w:p>
            <w:pPr>
              <w:spacing w:after="0"/>
              <w:rPr>
                <w:sz w:val="10"/>
                <w:szCs w:val="10"/>
                <w:color w:val="auto"/>
              </w:rPr>
            </w:pPr>
          </w:p>
        </w:tc>
        <w:tc>
          <w:tcPr>
            <w:tcW w:w="320" w:type="dxa"/>
            <w:vAlign w:val="bottom"/>
            <w:tcBorders>
              <w:bottom w:val="single" w:sz="8" w:color="auto"/>
            </w:tcBorders>
            <w:shd w:val="clear" w:color="auto" w:fill="E5F1EE"/>
          </w:tcPr>
          <w:p>
            <w:pPr>
              <w:jc w:val="right"/>
              <w:ind w:right="213"/>
              <w:spacing w:after="0" w:line="100" w:lineRule="exact"/>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ind w:right="73"/>
              <w:spacing w:after="0" w:line="100" w:lineRule="exact"/>
              <w:rPr>
                <w:sz w:val="20"/>
                <w:szCs w:val="20"/>
                <w:color w:val="auto"/>
              </w:rPr>
            </w:pPr>
            <w:r>
              <w:rPr>
                <w:rFonts w:ascii="Times New Roman" w:cs="Times New Roman" w:eastAsia="Times New Roman" w:hAnsi="Times New Roman"/>
                <w:sz w:val="9"/>
                <w:szCs w:val="9"/>
                <w:color w:val="auto"/>
              </w:rPr>
              <w:t>3,882</w:t>
            </w:r>
          </w:p>
        </w:tc>
      </w:tr>
      <w:tr>
        <w:trPr>
          <w:trHeight w:val="103"/>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Efficiency ratio</w:t>
            </w: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147"/>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Noninterest operating expense (numerator)</w:t>
            </w:r>
          </w:p>
        </w:tc>
        <w:tc>
          <w:tcPr>
            <w:tcW w:w="220" w:type="dxa"/>
            <w:vAlign w:val="bottom"/>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1,291</w:t>
            </w:r>
          </w:p>
        </w:tc>
        <w:tc>
          <w:tcPr>
            <w:tcW w:w="220" w:type="dxa"/>
            <w:vAlign w:val="bottom"/>
            <w:shd w:val="clear" w:color="auto" w:fill="E5F1EE"/>
          </w:tcPr>
          <w:p>
            <w:pPr>
              <w:spacing w:after="0"/>
              <w:rPr>
                <w:sz w:val="12"/>
                <w:szCs w:val="12"/>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1,263</w:t>
            </w:r>
          </w:p>
        </w:tc>
        <w:tc>
          <w:tcPr>
            <w:tcW w:w="440" w:type="dxa"/>
            <w:vAlign w:val="bottom"/>
            <w:gridSpan w:val="2"/>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3,956</w:t>
            </w:r>
          </w:p>
        </w:tc>
        <w:tc>
          <w:tcPr>
            <w:tcW w:w="200" w:type="dxa"/>
            <w:vAlign w:val="bottom"/>
            <w:shd w:val="clear" w:color="auto" w:fill="E5F1EE"/>
          </w:tcPr>
          <w:p>
            <w:pPr>
              <w:spacing w:after="0"/>
              <w:rPr>
                <w:sz w:val="12"/>
                <w:szCs w:val="12"/>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3,882</w:t>
            </w:r>
          </w:p>
        </w:tc>
      </w:tr>
      <w:tr>
        <w:trPr>
          <w:trHeight w:val="120"/>
        </w:trPr>
        <w:tc>
          <w:tcPr>
            <w:tcW w:w="6940" w:type="dxa"/>
            <w:vAlign w:val="bottom"/>
            <w:tcBorders>
              <w:top w:val="single" w:sz="8" w:color="E5F1EE"/>
            </w:tcBorders>
          </w:tcPr>
          <w:p>
            <w:pPr>
              <w:spacing w:after="0"/>
              <w:rPr>
                <w:sz w:val="20"/>
                <w:szCs w:val="20"/>
                <w:color w:val="auto"/>
              </w:rPr>
            </w:pPr>
            <w:r>
              <w:rPr>
                <w:rFonts w:ascii="Times New Roman" w:cs="Times New Roman" w:eastAsia="Times New Roman" w:hAnsi="Times New Roman"/>
                <w:sz w:val="9"/>
                <w:szCs w:val="9"/>
                <w:color w:val="auto"/>
              </w:rPr>
              <w:t>Taxable-equivalent net interest income</w:t>
            </w:r>
          </w:p>
        </w:tc>
        <w:tc>
          <w:tcPr>
            <w:tcW w:w="2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1,739</w:t>
            </w:r>
          </w:p>
        </w:tc>
        <w:tc>
          <w:tcPr>
            <w:tcW w:w="220" w:type="dxa"/>
            <w:vAlign w:val="bottom"/>
            <w:tcBorders>
              <w:top w:val="single" w:sz="8" w:color="E5F1EE"/>
            </w:tcBorders>
          </w:tcPr>
          <w:p>
            <w:pPr>
              <w:spacing w:after="0"/>
              <w:rPr>
                <w:sz w:val="10"/>
                <w:szCs w:val="10"/>
                <w:color w:val="auto"/>
              </w:rPr>
            </w:pPr>
          </w:p>
        </w:tc>
        <w:tc>
          <w:tcPr>
            <w:tcW w:w="3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1,790</w:t>
            </w:r>
          </w:p>
        </w:tc>
        <w:tc>
          <w:tcPr>
            <w:tcW w:w="220" w:type="dxa"/>
            <w:vAlign w:val="bottom"/>
            <w:tcBorders>
              <w:top w:val="single" w:sz="8" w:color="E5F1EE"/>
            </w:tcBorders>
          </w:tcPr>
          <w:p>
            <w:pPr>
              <w:spacing w:after="0"/>
              <w:rPr>
                <w:sz w:val="10"/>
                <w:szCs w:val="10"/>
                <w:color w:val="auto"/>
              </w:rPr>
            </w:pPr>
          </w:p>
        </w:tc>
        <w:tc>
          <w:tcPr>
            <w:tcW w:w="2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5,162</w:t>
            </w:r>
          </w:p>
        </w:tc>
        <w:tc>
          <w:tcPr>
            <w:tcW w:w="200" w:type="dxa"/>
            <w:vAlign w:val="bottom"/>
            <w:tcBorders>
              <w:top w:val="single" w:sz="8" w:color="E5F1EE"/>
            </w:tcBorders>
          </w:tcPr>
          <w:p>
            <w:pPr>
              <w:spacing w:after="0"/>
              <w:rPr>
                <w:sz w:val="10"/>
                <w:szCs w:val="10"/>
                <w:color w:val="auto"/>
              </w:rPr>
            </w:pPr>
          </w:p>
        </w:tc>
        <w:tc>
          <w:tcPr>
            <w:tcW w:w="32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5,434</w:t>
            </w: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Other income</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606</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560</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1,770</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1,950</w:t>
            </w:r>
          </w:p>
        </w:tc>
      </w:tr>
      <w:tr>
        <w:trPr>
          <w:trHeight w:val="124"/>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Less: Gain (loss) on bank investment securities</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(2)</w:t>
            </w:r>
          </w:p>
        </w:tc>
        <w:tc>
          <w:tcPr>
            <w:tcW w:w="22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(8)</w:t>
            </w:r>
          </w:p>
        </w:tc>
        <w:tc>
          <w:tcPr>
            <w:tcW w:w="20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w:t>
            </w:r>
          </w:p>
        </w:tc>
      </w:tr>
      <w:tr>
        <w:trPr>
          <w:trHeight w:val="135"/>
        </w:trPr>
        <w:tc>
          <w:tcPr>
            <w:tcW w:w="694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Denominator</w:t>
            </w: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2,347</w:t>
            </w:r>
          </w:p>
        </w:tc>
        <w:tc>
          <w:tcPr>
            <w:tcW w:w="22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2,350</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6,940</w:t>
            </w:r>
          </w:p>
        </w:tc>
        <w:tc>
          <w:tcPr>
            <w:tcW w:w="20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7,384</w:t>
            </w:r>
          </w:p>
        </w:tc>
      </w:tr>
      <w:tr>
        <w:trPr>
          <w:trHeight w:val="142"/>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Efficiency ratio</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55.0 %</w:t>
            </w:r>
          </w:p>
        </w:tc>
        <w:tc>
          <w:tcPr>
            <w:tcW w:w="220" w:type="dxa"/>
            <w:vAlign w:val="bottom"/>
            <w:tcBorders>
              <w:bottom w:val="single" w:sz="8" w:color="E5F1EE"/>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53.7 %</w:t>
            </w:r>
          </w:p>
        </w:tc>
        <w:tc>
          <w:tcPr>
            <w:tcW w:w="220" w:type="dxa"/>
            <w:vAlign w:val="bottom"/>
            <w:tcBorders>
              <w:bottom w:val="single" w:sz="8" w:color="E5F1EE"/>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57.0 %</w:t>
            </w:r>
          </w:p>
        </w:tc>
        <w:tc>
          <w:tcPr>
            <w:tcW w:w="200" w:type="dxa"/>
            <w:vAlign w:val="bottom"/>
            <w:tcBorders>
              <w:bottom w:val="single" w:sz="8" w:color="E5F1EE"/>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52.6 %</w:t>
            </w:r>
          </w:p>
        </w:tc>
      </w:tr>
      <w:tr>
        <w:trPr>
          <w:trHeight w:val="106"/>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rPr>
              <w:t>Balance sheet data</w:t>
            </w:r>
          </w:p>
        </w:tc>
        <w:tc>
          <w:tcPr>
            <w:tcW w:w="220" w:type="dxa"/>
            <w:vAlign w:val="bottom"/>
            <w:shd w:val="clear" w:color="auto" w:fill="E5F1EE"/>
          </w:tcPr>
          <w:p>
            <w:pPr>
              <w:spacing w:after="0"/>
              <w:rPr>
                <w:sz w:val="9"/>
                <w:szCs w:val="9"/>
                <w:color w:val="auto"/>
              </w:rPr>
            </w:pPr>
          </w:p>
        </w:tc>
        <w:tc>
          <w:tcPr>
            <w:tcW w:w="70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320" w:type="dxa"/>
            <w:vAlign w:val="bottom"/>
            <w:shd w:val="clear" w:color="auto" w:fill="E5F1EE"/>
          </w:tcPr>
          <w:p>
            <w:pPr>
              <w:spacing w:after="0"/>
              <w:rPr>
                <w:sz w:val="9"/>
                <w:szCs w:val="9"/>
                <w:color w:val="auto"/>
              </w:rPr>
            </w:pPr>
          </w:p>
        </w:tc>
        <w:tc>
          <w:tcPr>
            <w:tcW w:w="60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720" w:type="dxa"/>
            <w:vAlign w:val="bottom"/>
            <w:shd w:val="clear" w:color="auto" w:fill="E5F1EE"/>
          </w:tcPr>
          <w:p>
            <w:pPr>
              <w:spacing w:after="0"/>
              <w:rPr>
                <w:sz w:val="9"/>
                <w:szCs w:val="9"/>
                <w:color w:val="auto"/>
              </w:rPr>
            </w:pPr>
          </w:p>
        </w:tc>
        <w:tc>
          <w:tcPr>
            <w:tcW w:w="200" w:type="dxa"/>
            <w:vAlign w:val="bottom"/>
            <w:shd w:val="clear" w:color="auto" w:fill="E5F1EE"/>
          </w:tcPr>
          <w:p>
            <w:pPr>
              <w:spacing w:after="0"/>
              <w:rPr>
                <w:sz w:val="9"/>
                <w:szCs w:val="9"/>
                <w:color w:val="auto"/>
              </w:rPr>
            </w:pPr>
          </w:p>
        </w:tc>
        <w:tc>
          <w:tcPr>
            <w:tcW w:w="320" w:type="dxa"/>
            <w:vAlign w:val="bottom"/>
            <w:shd w:val="clear" w:color="auto" w:fill="E5F1EE"/>
          </w:tcPr>
          <w:p>
            <w:pPr>
              <w:spacing w:after="0"/>
              <w:rPr>
                <w:sz w:val="9"/>
                <w:szCs w:val="9"/>
                <w:color w:val="auto"/>
              </w:rPr>
            </w:pPr>
          </w:p>
        </w:tc>
        <w:tc>
          <w:tcPr>
            <w:tcW w:w="620" w:type="dxa"/>
            <w:vAlign w:val="bottom"/>
            <w:shd w:val="clear" w:color="auto" w:fill="E5F1EE"/>
          </w:tcPr>
          <w:p>
            <w:pPr>
              <w:spacing w:after="0"/>
              <w:rPr>
                <w:sz w:val="9"/>
                <w:szCs w:val="9"/>
                <w:color w:val="auto"/>
              </w:rPr>
            </w:pPr>
          </w:p>
        </w:tc>
      </w:tr>
      <w:tr>
        <w:trPr>
          <w:trHeight w:val="125"/>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Average assets</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7"/>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assets</w:t>
            </w:r>
          </w:p>
        </w:tc>
        <w:tc>
          <w:tcPr>
            <w:tcW w:w="220" w:type="dxa"/>
            <w:vAlign w:val="bottom"/>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209,581</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205,791</w:t>
            </w:r>
          </w:p>
        </w:tc>
        <w:tc>
          <w:tcPr>
            <w:tcW w:w="440" w:type="dxa"/>
            <w:vAlign w:val="bottom"/>
            <w:gridSpan w:val="2"/>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211,008</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204,266</w:t>
            </w:r>
          </w:p>
        </w:tc>
      </w:tr>
      <w:tr>
        <w:trPr>
          <w:trHeight w:val="124"/>
        </w:trPr>
        <w:tc>
          <w:tcPr>
            <w:tcW w:w="6940" w:type="dxa"/>
            <w:vAlign w:val="bottom"/>
          </w:tcPr>
          <w:p>
            <w:pPr>
              <w:spacing w:after="0"/>
              <w:rPr>
                <w:sz w:val="20"/>
                <w:szCs w:val="20"/>
                <w:color w:val="auto"/>
              </w:rPr>
            </w:pPr>
            <w:r>
              <w:rPr>
                <w:rFonts w:ascii="Times New Roman" w:cs="Times New Roman" w:eastAsia="Times New Roman" w:hAnsi="Times New Roman"/>
                <w:sz w:val="9"/>
                <w:szCs w:val="9"/>
                <w:color w:val="auto"/>
              </w:rPr>
              <w:t>Goodwill</w:t>
            </w:r>
          </w:p>
        </w:tc>
        <w:tc>
          <w:tcPr>
            <w:tcW w:w="220" w:type="dxa"/>
            <w:vAlign w:val="bottom"/>
          </w:tcPr>
          <w:p>
            <w:pPr>
              <w:spacing w:after="0"/>
              <w:rPr>
                <w:sz w:val="10"/>
                <w:szCs w:val="1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(8,465)</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(8,476)</w:t>
            </w: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(113)</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(170)</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(126)</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(185)</w:t>
            </w:r>
          </w:p>
        </w:tc>
      </w:tr>
      <w:tr>
        <w:trPr>
          <w:trHeight w:val="124"/>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28</w:t>
            </w:r>
          </w:p>
        </w:tc>
        <w:tc>
          <w:tcPr>
            <w:tcW w:w="22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43</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30</w:t>
            </w:r>
          </w:p>
        </w:tc>
        <w:tc>
          <w:tcPr>
            <w:tcW w:w="20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46</w:t>
            </w:r>
          </w:p>
        </w:tc>
      </w:tr>
      <w:tr>
        <w:trPr>
          <w:trHeight w:val="135"/>
        </w:trPr>
        <w:tc>
          <w:tcPr>
            <w:tcW w:w="694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tangible assets</w:t>
            </w: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201,031</w:t>
            </w:r>
          </w:p>
        </w:tc>
        <w:tc>
          <w:tcPr>
            <w:tcW w:w="22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197,199</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202,447</w:t>
            </w:r>
          </w:p>
        </w:tc>
        <w:tc>
          <w:tcPr>
            <w:tcW w:w="20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195,651</w:t>
            </w:r>
          </w:p>
        </w:tc>
      </w:tr>
      <w:tr>
        <w:trPr>
          <w:trHeight w:val="105"/>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Average common equity</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total equity</w:t>
            </w:r>
          </w:p>
        </w:tc>
        <w:tc>
          <w:tcPr>
            <w:tcW w:w="220" w:type="dxa"/>
            <w:vAlign w:val="bottom"/>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28,725</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26,020</w:t>
            </w:r>
          </w:p>
        </w:tc>
        <w:tc>
          <w:tcPr>
            <w:tcW w:w="440" w:type="dxa"/>
            <w:vAlign w:val="bottom"/>
            <w:gridSpan w:val="2"/>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27,833</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25,696</w:t>
            </w:r>
          </w:p>
        </w:tc>
      </w:tr>
      <w:tr>
        <w:trPr>
          <w:trHeight w:val="124"/>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Preferred stock</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(2,565)</w:t>
            </w:r>
          </w:p>
        </w:tc>
        <w:tc>
          <w:tcPr>
            <w:tcW w:w="22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(2,011)</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(2,328)</w:t>
            </w:r>
          </w:p>
        </w:tc>
        <w:tc>
          <w:tcPr>
            <w:tcW w:w="20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(2,011)</w:t>
            </w:r>
          </w:p>
        </w:tc>
      </w:tr>
      <w:tr>
        <w:trPr>
          <w:trHeight w:val="117"/>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common equity</w:t>
            </w:r>
          </w:p>
        </w:tc>
        <w:tc>
          <w:tcPr>
            <w:tcW w:w="220" w:type="dxa"/>
            <w:vAlign w:val="bottom"/>
            <w:shd w:val="clear" w:color="auto" w:fill="E5F1EE"/>
          </w:tcPr>
          <w:p>
            <w:pPr>
              <w:spacing w:after="0"/>
              <w:rPr>
                <w:sz w:val="10"/>
                <w:szCs w:val="10"/>
                <w:color w:val="auto"/>
              </w:rPr>
            </w:pPr>
          </w:p>
        </w:tc>
        <w:tc>
          <w:tcPr>
            <w:tcW w:w="7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26,160</w:t>
            </w:r>
          </w:p>
        </w:tc>
        <w:tc>
          <w:tcPr>
            <w:tcW w:w="22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60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24,009</w:t>
            </w:r>
          </w:p>
        </w:tc>
        <w:tc>
          <w:tcPr>
            <w:tcW w:w="2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7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25,505</w:t>
            </w:r>
          </w:p>
        </w:tc>
        <w:tc>
          <w:tcPr>
            <w:tcW w:w="200" w:type="dxa"/>
            <w:vAlign w:val="bottom"/>
            <w:shd w:val="clear" w:color="auto" w:fill="E5F1EE"/>
          </w:tcPr>
          <w:p>
            <w:pPr>
              <w:spacing w:after="0"/>
              <w:rPr>
                <w:sz w:val="10"/>
                <w:szCs w:val="10"/>
                <w:color w:val="auto"/>
              </w:rPr>
            </w:pPr>
          </w:p>
        </w:tc>
        <w:tc>
          <w:tcPr>
            <w:tcW w:w="320" w:type="dxa"/>
            <w:vAlign w:val="bottom"/>
            <w:shd w:val="clear" w:color="auto" w:fill="E5F1EE"/>
          </w:tcPr>
          <w:p>
            <w:pPr>
              <w:spacing w:after="0"/>
              <w:rPr>
                <w:sz w:val="10"/>
                <w:szCs w:val="10"/>
                <w:color w:val="auto"/>
              </w:rPr>
            </w:pPr>
          </w:p>
        </w:tc>
        <w:tc>
          <w:tcPr>
            <w:tcW w:w="620" w:type="dxa"/>
            <w:vAlign w:val="bottom"/>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23,685</w:t>
            </w:r>
          </w:p>
        </w:tc>
      </w:tr>
      <w:tr>
        <w:trPr>
          <w:trHeight w:val="124"/>
        </w:trPr>
        <w:tc>
          <w:tcPr>
            <w:tcW w:w="6940" w:type="dxa"/>
            <w:vAlign w:val="bottom"/>
          </w:tcPr>
          <w:p>
            <w:pPr>
              <w:spacing w:after="0"/>
              <w:rPr>
                <w:sz w:val="20"/>
                <w:szCs w:val="20"/>
                <w:color w:val="auto"/>
              </w:rPr>
            </w:pPr>
            <w:r>
              <w:rPr>
                <w:rFonts w:ascii="Times New Roman" w:cs="Times New Roman" w:eastAsia="Times New Roman" w:hAnsi="Times New Roman"/>
                <w:sz w:val="9"/>
                <w:szCs w:val="9"/>
                <w:color w:val="auto"/>
              </w:rPr>
              <w:t>Goodwill</w:t>
            </w:r>
          </w:p>
        </w:tc>
        <w:tc>
          <w:tcPr>
            <w:tcW w:w="220" w:type="dxa"/>
            <w:vAlign w:val="bottom"/>
          </w:tcPr>
          <w:p>
            <w:pPr>
              <w:spacing w:after="0"/>
              <w:rPr>
                <w:sz w:val="10"/>
                <w:szCs w:val="1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(8,465)</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(8,476)</w:t>
            </w: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(113)</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(170)</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(126)</w:t>
            </w: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(185)</w:t>
            </w:r>
          </w:p>
        </w:tc>
      </w:tr>
      <w:tr>
        <w:trPr>
          <w:trHeight w:val="124"/>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28</w:t>
            </w:r>
          </w:p>
        </w:tc>
        <w:tc>
          <w:tcPr>
            <w:tcW w:w="22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43</w:t>
            </w:r>
          </w:p>
        </w:tc>
        <w:tc>
          <w:tcPr>
            <w:tcW w:w="220" w:type="dxa"/>
            <w:vAlign w:val="bottom"/>
            <w:tcBorders>
              <w:bottom w:val="single" w:sz="8" w:color="E5F1EE"/>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30</w:t>
            </w:r>
          </w:p>
        </w:tc>
        <w:tc>
          <w:tcPr>
            <w:tcW w:w="200" w:type="dxa"/>
            <w:vAlign w:val="bottom"/>
            <w:tcBorders>
              <w:bottom w:val="single" w:sz="8" w:color="E5F1EE"/>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46</w:t>
            </w:r>
          </w:p>
        </w:tc>
      </w:tr>
      <w:tr>
        <w:trPr>
          <w:trHeight w:val="135"/>
        </w:trPr>
        <w:tc>
          <w:tcPr>
            <w:tcW w:w="6940" w:type="dxa"/>
            <w:vAlign w:val="bottom"/>
            <w:tcBorders>
              <w:bottom w:val="single" w:sz="8" w:color="E5F1EE"/>
            </w:tcBorders>
            <w:shd w:val="clear" w:color="auto" w:fill="E5F1EE"/>
          </w:tcPr>
          <w:p>
            <w:pPr>
              <w:spacing w:after="0"/>
              <w:rPr>
                <w:sz w:val="20"/>
                <w:szCs w:val="20"/>
                <w:color w:val="auto"/>
              </w:rPr>
            </w:pPr>
            <w:r>
              <w:rPr>
                <w:rFonts w:ascii="Times New Roman" w:cs="Times New Roman" w:eastAsia="Times New Roman" w:hAnsi="Times New Roman"/>
                <w:sz w:val="9"/>
                <w:szCs w:val="9"/>
                <w:color w:val="auto"/>
              </w:rPr>
              <w:t>Average tangible common equity</w:t>
            </w: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17,610</w:t>
            </w:r>
          </w:p>
        </w:tc>
        <w:tc>
          <w:tcPr>
            <w:tcW w:w="22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15,417</w:t>
            </w:r>
          </w:p>
        </w:tc>
        <w:tc>
          <w:tcPr>
            <w:tcW w:w="220" w:type="dxa"/>
            <w:vAlign w:val="bottom"/>
            <w:tcBorders>
              <w:bottom w:val="single" w:sz="8" w:color="E5F1EE"/>
            </w:tcBorders>
            <w:shd w:val="clear" w:color="auto" w:fill="E5F1EE"/>
          </w:tcPr>
          <w:p>
            <w:pPr>
              <w:spacing w:after="0"/>
              <w:rPr>
                <w:sz w:val="11"/>
                <w:szCs w:val="11"/>
                <w:color w:val="auto"/>
              </w:rPr>
            </w:pPr>
          </w:p>
        </w:tc>
        <w:tc>
          <w:tcPr>
            <w:tcW w:w="220" w:type="dxa"/>
            <w:vAlign w:val="bottom"/>
            <w:tcBorders>
              <w:bottom w:val="single" w:sz="8" w:color="auto"/>
            </w:tcBorders>
            <w:shd w:val="clear" w:color="auto" w:fill="E5F1EE"/>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16,944</w:t>
            </w:r>
          </w:p>
        </w:tc>
        <w:tc>
          <w:tcPr>
            <w:tcW w:w="200" w:type="dxa"/>
            <w:vAlign w:val="bottom"/>
            <w:tcBorders>
              <w:bottom w:val="single" w:sz="8" w:color="E5F1EE"/>
            </w:tcBorders>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20" w:type="dxa"/>
            <w:vAlign w:val="bottom"/>
            <w:tcBorders>
              <w:bottom w:val="single" w:sz="8" w:color="auto"/>
            </w:tcBorders>
            <w:shd w:val="clear" w:color="auto" w:fill="E5F1EE"/>
          </w:tcPr>
          <w:p>
            <w:pPr>
              <w:jc w:val="right"/>
              <w:ind w:right="73"/>
              <w:spacing w:after="0"/>
              <w:rPr>
                <w:sz w:val="20"/>
                <w:szCs w:val="20"/>
                <w:color w:val="auto"/>
              </w:rPr>
            </w:pPr>
            <w:r>
              <w:rPr>
                <w:rFonts w:ascii="Times New Roman" w:cs="Times New Roman" w:eastAsia="Times New Roman" w:hAnsi="Times New Roman"/>
                <w:sz w:val="9"/>
                <w:szCs w:val="9"/>
                <w:color w:val="auto"/>
              </w:rPr>
              <w:t>15,070</w:t>
            </w:r>
          </w:p>
        </w:tc>
      </w:tr>
      <w:tr>
        <w:trPr>
          <w:trHeight w:val="105"/>
        </w:trPr>
        <w:tc>
          <w:tcPr>
            <w:tcW w:w="69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At end of quarter</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7"/>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0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24"/>
        </w:trPr>
        <w:tc>
          <w:tcPr>
            <w:tcW w:w="6940" w:type="dxa"/>
            <w:vAlign w:val="bottom"/>
          </w:tcPr>
          <w:p>
            <w:pPr>
              <w:spacing w:after="0"/>
              <w:rPr>
                <w:sz w:val="20"/>
                <w:szCs w:val="20"/>
                <w:color w:val="auto"/>
              </w:rPr>
            </w:pPr>
            <w:r>
              <w:rPr>
                <w:rFonts w:ascii="Times New Roman" w:cs="Times New Roman" w:eastAsia="Times New Roman" w:hAnsi="Times New Roman"/>
                <w:sz w:val="9"/>
                <w:szCs w:val="9"/>
                <w:color w:val="auto"/>
              </w:rPr>
              <w:t>Total assets</w:t>
            </w: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211,785</w:t>
            </w:r>
          </w:p>
        </w:tc>
        <w:tc>
          <w:tcPr>
            <w:tcW w:w="220" w:type="dxa"/>
            <w:vAlign w:val="bottom"/>
          </w:tcPr>
          <w:p>
            <w:pPr>
              <w:spacing w:after="0"/>
              <w:rPr>
                <w:sz w:val="10"/>
                <w:szCs w:val="10"/>
                <w:color w:val="auto"/>
              </w:rPr>
            </w:pPr>
          </w:p>
        </w:tc>
        <w:tc>
          <w:tcPr>
            <w:tcW w:w="32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209,124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Goodwill</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24"/>
        </w:trPr>
        <w:tc>
          <w:tcPr>
            <w:tcW w:w="6940" w:type="dxa"/>
            <w:vAlign w:val="bottom"/>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20" w:type="dxa"/>
            <w:vAlign w:val="bottom"/>
          </w:tcPr>
          <w:p>
            <w:pPr>
              <w:spacing w:after="0"/>
              <w:rPr>
                <w:sz w:val="10"/>
                <w:szCs w:val="1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(107)</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(162)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20" w:type="dxa"/>
            <w:vAlign w:val="bottom"/>
            <w:tcBorders>
              <w:bottom w:val="single" w:sz="8" w:color="auto"/>
            </w:tcBorders>
            <w:shd w:val="clear" w:color="auto" w:fill="E5F1EE"/>
          </w:tcPr>
          <w:p>
            <w:pPr>
              <w:spacing w:after="0"/>
              <w:rPr>
                <w:sz w:val="11"/>
                <w:szCs w:val="11"/>
                <w:color w:val="auto"/>
              </w:rPr>
            </w:pPr>
          </w:p>
        </w:tc>
        <w:tc>
          <w:tcPr>
            <w:tcW w:w="7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30</w:t>
            </w:r>
          </w:p>
        </w:tc>
        <w:tc>
          <w:tcPr>
            <w:tcW w:w="220" w:type="dxa"/>
            <w:vAlign w:val="bottom"/>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spacing w:after="0"/>
              <w:rPr>
                <w:sz w:val="11"/>
                <w:szCs w:val="11"/>
                <w:color w:val="auto"/>
              </w:rPr>
            </w:pPr>
          </w:p>
        </w:tc>
        <w:tc>
          <w:tcPr>
            <w:tcW w:w="6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41</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33"/>
        </w:trPr>
        <w:tc>
          <w:tcPr>
            <w:tcW w:w="6940" w:type="dxa"/>
            <w:vAlign w:val="bottom"/>
            <w:tcBorders>
              <w:bottom w:val="single" w:sz="8" w:color="E5F1EE"/>
            </w:tcBorders>
          </w:tcPr>
          <w:p>
            <w:pPr>
              <w:spacing w:after="0"/>
              <w:rPr>
                <w:sz w:val="20"/>
                <w:szCs w:val="20"/>
                <w:color w:val="auto"/>
              </w:rPr>
            </w:pPr>
            <w:r>
              <w:rPr>
                <w:rFonts w:ascii="Times New Roman" w:cs="Times New Roman" w:eastAsia="Times New Roman" w:hAnsi="Times New Roman"/>
                <w:sz w:val="9"/>
                <w:szCs w:val="9"/>
                <w:color w:val="auto"/>
              </w:rPr>
              <w:t>Total tangible assets</w:t>
            </w:r>
          </w:p>
        </w:tc>
        <w:tc>
          <w:tcPr>
            <w:tcW w:w="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203,243</w:t>
            </w:r>
          </w:p>
        </w:tc>
        <w:tc>
          <w:tcPr>
            <w:tcW w:w="220" w:type="dxa"/>
            <w:vAlign w:val="bottom"/>
            <w:tcBorders>
              <w:bottom w:val="single" w:sz="8" w:color="E5F1EE"/>
            </w:tcBorders>
          </w:tcPr>
          <w:p>
            <w:pPr>
              <w:spacing w:after="0"/>
              <w:rPr>
                <w:sz w:val="11"/>
                <w:szCs w:val="11"/>
                <w:color w:val="auto"/>
              </w:rPr>
            </w:pPr>
          </w:p>
        </w:tc>
        <w:tc>
          <w:tcPr>
            <w:tcW w:w="3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200,538</w:t>
            </w:r>
          </w:p>
        </w:tc>
        <w:tc>
          <w:tcPr>
            <w:tcW w:w="220" w:type="dxa"/>
            <w:vAlign w:val="bottom"/>
            <w:tcBorders>
              <w:bottom w:val="single" w:sz="8" w:color="E5F1EE"/>
            </w:tcBorders>
          </w:tcPr>
          <w:p>
            <w:pPr>
              <w:spacing w:after="0"/>
              <w:rPr>
                <w:sz w:val="11"/>
                <w:szCs w:val="11"/>
                <w:color w:val="auto"/>
              </w:rPr>
            </w:pPr>
          </w:p>
        </w:tc>
        <w:tc>
          <w:tcPr>
            <w:tcW w:w="220" w:type="dxa"/>
            <w:vAlign w:val="bottom"/>
            <w:tcBorders>
              <w:bottom w:val="single" w:sz="8" w:color="E5F1EE"/>
            </w:tcBorders>
          </w:tcPr>
          <w:p>
            <w:pPr>
              <w:spacing w:after="0"/>
              <w:rPr>
                <w:sz w:val="11"/>
                <w:szCs w:val="11"/>
                <w:color w:val="auto"/>
              </w:rPr>
            </w:pPr>
          </w:p>
        </w:tc>
        <w:tc>
          <w:tcPr>
            <w:tcW w:w="720" w:type="dxa"/>
            <w:vAlign w:val="bottom"/>
            <w:tcBorders>
              <w:bottom w:val="single" w:sz="8" w:color="E5F1EE"/>
            </w:tcBorders>
          </w:tcPr>
          <w:p>
            <w:pPr>
              <w:spacing w:after="0"/>
              <w:rPr>
                <w:sz w:val="11"/>
                <w:szCs w:val="11"/>
                <w:color w:val="auto"/>
              </w:rPr>
            </w:pPr>
          </w:p>
        </w:tc>
        <w:tc>
          <w:tcPr>
            <w:tcW w:w="200" w:type="dxa"/>
            <w:vAlign w:val="bottom"/>
            <w:tcBorders>
              <w:bottom w:val="single" w:sz="8" w:color="E5F1EE"/>
            </w:tcBorders>
          </w:tcPr>
          <w:p>
            <w:pPr>
              <w:spacing w:after="0"/>
              <w:rPr>
                <w:sz w:val="11"/>
                <w:szCs w:val="11"/>
                <w:color w:val="auto"/>
              </w:rPr>
            </w:pPr>
          </w:p>
        </w:tc>
        <w:tc>
          <w:tcPr>
            <w:tcW w:w="320" w:type="dxa"/>
            <w:vAlign w:val="bottom"/>
            <w:tcBorders>
              <w:bottom w:val="single" w:sz="8" w:color="E5F1EE"/>
            </w:tcBorders>
          </w:tcPr>
          <w:p>
            <w:pPr>
              <w:spacing w:after="0"/>
              <w:rPr>
                <w:sz w:val="11"/>
                <w:szCs w:val="11"/>
                <w:color w:val="auto"/>
              </w:rPr>
            </w:pPr>
          </w:p>
        </w:tc>
        <w:tc>
          <w:tcPr>
            <w:tcW w:w="620" w:type="dxa"/>
            <w:vAlign w:val="bottom"/>
            <w:tcBorders>
              <w:bottom w:val="single" w:sz="8" w:color="E5F1EE"/>
            </w:tcBorders>
          </w:tcPr>
          <w:p>
            <w:pPr>
              <w:spacing w:after="0"/>
              <w:rPr>
                <w:sz w:val="11"/>
                <w:szCs w:val="11"/>
                <w:color w:val="auto"/>
              </w:rPr>
            </w:pPr>
          </w:p>
        </w:tc>
      </w:tr>
      <w:tr>
        <w:trPr>
          <w:trHeight w:val="106"/>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b w:val="1"/>
                <w:bCs w:val="1"/>
                <w:color w:val="auto"/>
              </w:rPr>
              <w:t>Total common equity</w:t>
            </w:r>
          </w:p>
        </w:tc>
        <w:tc>
          <w:tcPr>
            <w:tcW w:w="220" w:type="dxa"/>
            <w:vAlign w:val="bottom"/>
            <w:shd w:val="clear" w:color="auto" w:fill="E5F1EE"/>
          </w:tcPr>
          <w:p>
            <w:pPr>
              <w:spacing w:after="0"/>
              <w:rPr>
                <w:sz w:val="9"/>
                <w:szCs w:val="9"/>
                <w:color w:val="auto"/>
              </w:rPr>
            </w:pPr>
          </w:p>
        </w:tc>
        <w:tc>
          <w:tcPr>
            <w:tcW w:w="70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320" w:type="dxa"/>
            <w:vAlign w:val="bottom"/>
            <w:shd w:val="clear" w:color="auto" w:fill="E5F1EE"/>
          </w:tcPr>
          <w:p>
            <w:pPr>
              <w:spacing w:after="0"/>
              <w:rPr>
                <w:sz w:val="9"/>
                <w:szCs w:val="9"/>
                <w:color w:val="auto"/>
              </w:rPr>
            </w:pPr>
          </w:p>
        </w:tc>
        <w:tc>
          <w:tcPr>
            <w:tcW w:w="60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220" w:type="dxa"/>
            <w:vAlign w:val="bottom"/>
            <w:shd w:val="clear" w:color="auto" w:fill="E5F1EE"/>
          </w:tcPr>
          <w:p>
            <w:pPr>
              <w:spacing w:after="0"/>
              <w:rPr>
                <w:sz w:val="9"/>
                <w:szCs w:val="9"/>
                <w:color w:val="auto"/>
              </w:rPr>
            </w:pPr>
          </w:p>
        </w:tc>
        <w:tc>
          <w:tcPr>
            <w:tcW w:w="720" w:type="dxa"/>
            <w:vAlign w:val="bottom"/>
            <w:shd w:val="clear" w:color="auto" w:fill="E5F1EE"/>
          </w:tcPr>
          <w:p>
            <w:pPr>
              <w:spacing w:after="0"/>
              <w:rPr>
                <w:sz w:val="9"/>
                <w:szCs w:val="9"/>
                <w:color w:val="auto"/>
              </w:rPr>
            </w:pPr>
          </w:p>
        </w:tc>
        <w:tc>
          <w:tcPr>
            <w:tcW w:w="200" w:type="dxa"/>
            <w:vAlign w:val="bottom"/>
            <w:shd w:val="clear" w:color="auto" w:fill="E5F1EE"/>
          </w:tcPr>
          <w:p>
            <w:pPr>
              <w:spacing w:after="0"/>
              <w:rPr>
                <w:sz w:val="9"/>
                <w:szCs w:val="9"/>
                <w:color w:val="auto"/>
              </w:rPr>
            </w:pPr>
          </w:p>
        </w:tc>
        <w:tc>
          <w:tcPr>
            <w:tcW w:w="320" w:type="dxa"/>
            <w:vAlign w:val="bottom"/>
            <w:shd w:val="clear" w:color="auto" w:fill="E5F1EE"/>
          </w:tcPr>
          <w:p>
            <w:pPr>
              <w:spacing w:after="0"/>
              <w:rPr>
                <w:sz w:val="9"/>
                <w:szCs w:val="9"/>
                <w:color w:val="auto"/>
              </w:rPr>
            </w:pPr>
          </w:p>
        </w:tc>
        <w:tc>
          <w:tcPr>
            <w:tcW w:w="620" w:type="dxa"/>
            <w:vAlign w:val="bottom"/>
            <w:shd w:val="clear" w:color="auto" w:fill="E5F1EE"/>
          </w:tcPr>
          <w:p>
            <w:pPr>
              <w:spacing w:after="0"/>
              <w:rPr>
                <w:sz w:val="9"/>
                <w:szCs w:val="9"/>
                <w:color w:val="auto"/>
              </w:rPr>
            </w:pPr>
          </w:p>
        </w:tc>
      </w:tr>
      <w:tr>
        <w:trPr>
          <w:trHeight w:val="124"/>
        </w:trPr>
        <w:tc>
          <w:tcPr>
            <w:tcW w:w="6940" w:type="dxa"/>
            <w:vAlign w:val="bottom"/>
          </w:tcPr>
          <w:p>
            <w:pPr>
              <w:spacing w:after="0"/>
              <w:rPr>
                <w:sz w:val="20"/>
                <w:szCs w:val="20"/>
                <w:color w:val="auto"/>
              </w:rPr>
            </w:pPr>
            <w:r>
              <w:rPr>
                <w:rFonts w:ascii="Times New Roman" w:cs="Times New Roman" w:eastAsia="Times New Roman" w:hAnsi="Times New Roman"/>
                <w:sz w:val="9"/>
                <w:szCs w:val="9"/>
                <w:color w:val="auto"/>
              </w:rPr>
              <w:t>Total equity</w:t>
            </w: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28,876</w:t>
            </w:r>
          </w:p>
        </w:tc>
        <w:tc>
          <w:tcPr>
            <w:tcW w:w="220" w:type="dxa"/>
            <w:vAlign w:val="bottom"/>
          </w:tcPr>
          <w:p>
            <w:pPr>
              <w:spacing w:after="0"/>
              <w:rPr>
                <w:sz w:val="10"/>
                <w:szCs w:val="10"/>
                <w:color w:val="auto"/>
              </w:rPr>
            </w:pPr>
          </w:p>
        </w:tc>
        <w:tc>
          <w:tcPr>
            <w:tcW w:w="32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26,197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Preferred stock</w:t>
            </w:r>
          </w:p>
        </w:tc>
        <w:tc>
          <w:tcPr>
            <w:tcW w:w="220" w:type="dxa"/>
            <w:vAlign w:val="bottom"/>
            <w:tcBorders>
              <w:bottom w:val="single" w:sz="8" w:color="auto"/>
            </w:tcBorders>
            <w:shd w:val="clear" w:color="auto" w:fill="E5F1EE"/>
          </w:tcPr>
          <w:p>
            <w:pPr>
              <w:spacing w:after="0"/>
              <w:rPr>
                <w:sz w:val="11"/>
                <w:szCs w:val="11"/>
                <w:color w:val="auto"/>
              </w:rPr>
            </w:pPr>
          </w:p>
        </w:tc>
        <w:tc>
          <w:tcPr>
            <w:tcW w:w="700" w:type="dxa"/>
            <w:vAlign w:val="bottom"/>
            <w:tcBorders>
              <w:bottom w:val="single" w:sz="8" w:color="auto"/>
            </w:tcBorders>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(2,394)</w:t>
            </w:r>
          </w:p>
        </w:tc>
        <w:tc>
          <w:tcPr>
            <w:tcW w:w="220" w:type="dxa"/>
            <w:vAlign w:val="bottom"/>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spacing w:after="0"/>
              <w:rPr>
                <w:sz w:val="11"/>
                <w:szCs w:val="11"/>
                <w:color w:val="auto"/>
              </w:rPr>
            </w:pPr>
          </w:p>
        </w:tc>
        <w:tc>
          <w:tcPr>
            <w:tcW w:w="600" w:type="dxa"/>
            <w:vAlign w:val="bottom"/>
            <w:tcBorders>
              <w:bottom w:val="single" w:sz="8" w:color="auto"/>
            </w:tcBorders>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(2,011)</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13"/>
        </w:trPr>
        <w:tc>
          <w:tcPr>
            <w:tcW w:w="6940" w:type="dxa"/>
            <w:vAlign w:val="bottom"/>
          </w:tcPr>
          <w:p>
            <w:pPr>
              <w:spacing w:after="0" w:line="102" w:lineRule="exact"/>
              <w:rPr>
                <w:sz w:val="20"/>
                <w:szCs w:val="20"/>
                <w:color w:val="auto"/>
              </w:rPr>
            </w:pPr>
            <w:r>
              <w:rPr>
                <w:rFonts w:ascii="Times New Roman" w:cs="Times New Roman" w:eastAsia="Times New Roman" w:hAnsi="Times New Roman"/>
                <w:sz w:val="9"/>
                <w:szCs w:val="9"/>
                <w:color w:val="auto"/>
              </w:rPr>
              <w:t>Common equity</w:t>
            </w:r>
          </w:p>
        </w:tc>
        <w:tc>
          <w:tcPr>
            <w:tcW w:w="220" w:type="dxa"/>
            <w:vAlign w:val="bottom"/>
          </w:tcPr>
          <w:p>
            <w:pPr>
              <w:spacing w:after="0"/>
              <w:rPr>
                <w:sz w:val="9"/>
                <w:szCs w:val="9"/>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26,482</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24,186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Goodwill</w:t>
            </w:r>
          </w:p>
        </w:tc>
        <w:tc>
          <w:tcPr>
            <w:tcW w:w="220" w:type="dxa"/>
            <w:vAlign w:val="bottom"/>
            <w:shd w:val="clear" w:color="auto" w:fill="E5F1EE"/>
          </w:tcPr>
          <w:p>
            <w:pPr>
              <w:spacing w:after="0"/>
              <w:rPr>
                <w:sz w:val="11"/>
                <w:szCs w:val="11"/>
                <w:color w:val="auto"/>
              </w:rPr>
            </w:pPr>
          </w:p>
        </w:tc>
        <w:tc>
          <w:tcPr>
            <w:tcW w:w="7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00" w:type="dxa"/>
            <w:vAlign w:val="bottom"/>
            <w:shd w:val="clear" w:color="auto" w:fill="E5F1EE"/>
          </w:tcPr>
          <w:p>
            <w:pPr>
              <w:jc w:val="right"/>
              <w:ind w:right="33"/>
              <w:spacing w:after="0"/>
              <w:rPr>
                <w:sz w:val="20"/>
                <w:szCs w:val="20"/>
                <w:color w:val="auto"/>
              </w:rPr>
            </w:pPr>
            <w:r>
              <w:rPr>
                <w:rFonts w:ascii="Times New Roman" w:cs="Times New Roman" w:eastAsia="Times New Roman" w:hAnsi="Times New Roman"/>
                <w:sz w:val="9"/>
                <w:szCs w:val="9"/>
                <w:color w:val="auto"/>
              </w:rPr>
              <w:t>(8,465)</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24"/>
        </w:trPr>
        <w:tc>
          <w:tcPr>
            <w:tcW w:w="6940" w:type="dxa"/>
            <w:vAlign w:val="bottom"/>
          </w:tcPr>
          <w:p>
            <w:pPr>
              <w:spacing w:after="0"/>
              <w:rPr>
                <w:sz w:val="20"/>
                <w:szCs w:val="20"/>
                <w:color w:val="auto"/>
              </w:rPr>
            </w:pPr>
            <w:r>
              <w:rPr>
                <w:rFonts w:ascii="Times New Roman" w:cs="Times New Roman" w:eastAsia="Times New Roman" w:hAnsi="Times New Roman"/>
                <w:sz w:val="9"/>
                <w:szCs w:val="9"/>
                <w:color w:val="auto"/>
              </w:rPr>
              <w:t>Core deposit and other intangible assets</w:t>
            </w:r>
          </w:p>
        </w:tc>
        <w:tc>
          <w:tcPr>
            <w:tcW w:w="220" w:type="dxa"/>
            <w:vAlign w:val="bottom"/>
          </w:tcPr>
          <w:p>
            <w:pPr>
              <w:spacing w:after="0"/>
              <w:rPr>
                <w:sz w:val="10"/>
                <w:szCs w:val="10"/>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(107)</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(162)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28"/>
        </w:trPr>
        <w:tc>
          <w:tcPr>
            <w:tcW w:w="6940" w:type="dxa"/>
            <w:vAlign w:val="bottom"/>
            <w:shd w:val="clear" w:color="auto" w:fill="E5F1EE"/>
          </w:tcPr>
          <w:p>
            <w:pPr>
              <w:spacing w:after="0"/>
              <w:rPr>
                <w:sz w:val="20"/>
                <w:szCs w:val="20"/>
                <w:color w:val="auto"/>
              </w:rPr>
            </w:pPr>
            <w:r>
              <w:rPr>
                <w:rFonts w:ascii="Times New Roman" w:cs="Times New Roman" w:eastAsia="Times New Roman" w:hAnsi="Times New Roman"/>
                <w:sz w:val="9"/>
                <w:szCs w:val="9"/>
                <w:color w:val="auto"/>
              </w:rPr>
              <w:t>Deferred taxes</w:t>
            </w:r>
          </w:p>
        </w:tc>
        <w:tc>
          <w:tcPr>
            <w:tcW w:w="220" w:type="dxa"/>
            <w:vAlign w:val="bottom"/>
            <w:tcBorders>
              <w:bottom w:val="single" w:sz="8" w:color="auto"/>
            </w:tcBorders>
            <w:shd w:val="clear" w:color="auto" w:fill="E5F1EE"/>
          </w:tcPr>
          <w:p>
            <w:pPr>
              <w:spacing w:after="0"/>
              <w:rPr>
                <w:sz w:val="11"/>
                <w:szCs w:val="11"/>
                <w:color w:val="auto"/>
              </w:rPr>
            </w:pPr>
          </w:p>
        </w:tc>
        <w:tc>
          <w:tcPr>
            <w:tcW w:w="7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30</w:t>
            </w:r>
          </w:p>
        </w:tc>
        <w:tc>
          <w:tcPr>
            <w:tcW w:w="220" w:type="dxa"/>
            <w:vAlign w:val="bottom"/>
            <w:shd w:val="clear" w:color="auto" w:fill="E5F1EE"/>
          </w:tcPr>
          <w:p>
            <w:pPr>
              <w:spacing w:after="0"/>
              <w:rPr>
                <w:sz w:val="11"/>
                <w:szCs w:val="11"/>
                <w:color w:val="auto"/>
              </w:rPr>
            </w:pPr>
          </w:p>
        </w:tc>
        <w:tc>
          <w:tcPr>
            <w:tcW w:w="320" w:type="dxa"/>
            <w:vAlign w:val="bottom"/>
            <w:tcBorders>
              <w:bottom w:val="single" w:sz="8" w:color="auto"/>
            </w:tcBorders>
            <w:shd w:val="clear" w:color="auto" w:fill="E5F1EE"/>
          </w:tcPr>
          <w:p>
            <w:pPr>
              <w:spacing w:after="0"/>
              <w:rPr>
                <w:sz w:val="11"/>
                <w:szCs w:val="11"/>
                <w:color w:val="auto"/>
              </w:rPr>
            </w:pPr>
          </w:p>
        </w:tc>
        <w:tc>
          <w:tcPr>
            <w:tcW w:w="600" w:type="dxa"/>
            <w:vAlign w:val="bottom"/>
            <w:tcBorders>
              <w:bottom w:val="single" w:sz="8" w:color="auto"/>
            </w:tcBorders>
            <w:shd w:val="clear" w:color="auto" w:fill="E5F1EE"/>
          </w:tcPr>
          <w:p>
            <w:pPr>
              <w:jc w:val="right"/>
              <w:ind w:right="53"/>
              <w:spacing w:after="0"/>
              <w:rPr>
                <w:sz w:val="20"/>
                <w:szCs w:val="20"/>
                <w:color w:val="auto"/>
              </w:rPr>
            </w:pPr>
            <w:r>
              <w:rPr>
                <w:rFonts w:ascii="Times New Roman" w:cs="Times New Roman" w:eastAsia="Times New Roman" w:hAnsi="Times New Roman"/>
                <w:sz w:val="9"/>
                <w:szCs w:val="9"/>
                <w:color w:val="auto"/>
              </w:rPr>
              <w:t>41</w:t>
            </w:r>
          </w:p>
        </w:tc>
        <w:tc>
          <w:tcPr>
            <w:tcW w:w="220" w:type="dxa"/>
            <w:vAlign w:val="bottom"/>
            <w:shd w:val="clear" w:color="auto" w:fill="E5F1EE"/>
          </w:tcPr>
          <w:p>
            <w:pPr>
              <w:spacing w:after="0"/>
              <w:rPr>
                <w:sz w:val="11"/>
                <w:szCs w:val="11"/>
                <w:color w:val="auto"/>
              </w:rPr>
            </w:pPr>
          </w:p>
        </w:tc>
        <w:tc>
          <w:tcPr>
            <w:tcW w:w="220" w:type="dxa"/>
            <w:vAlign w:val="bottom"/>
            <w:shd w:val="clear" w:color="auto" w:fill="E5F1EE"/>
          </w:tcPr>
          <w:p>
            <w:pPr>
              <w:spacing w:after="0"/>
              <w:rPr>
                <w:sz w:val="11"/>
                <w:szCs w:val="11"/>
                <w:color w:val="auto"/>
              </w:rPr>
            </w:pPr>
          </w:p>
        </w:tc>
        <w:tc>
          <w:tcPr>
            <w:tcW w:w="720" w:type="dxa"/>
            <w:vAlign w:val="bottom"/>
            <w:shd w:val="clear" w:color="auto" w:fill="E5F1EE"/>
          </w:tcPr>
          <w:p>
            <w:pPr>
              <w:spacing w:after="0"/>
              <w:rPr>
                <w:sz w:val="11"/>
                <w:szCs w:val="11"/>
                <w:color w:val="auto"/>
              </w:rPr>
            </w:pPr>
          </w:p>
        </w:tc>
        <w:tc>
          <w:tcPr>
            <w:tcW w:w="200" w:type="dxa"/>
            <w:vAlign w:val="bottom"/>
            <w:shd w:val="clear" w:color="auto" w:fill="E5F1EE"/>
          </w:tcPr>
          <w:p>
            <w:pPr>
              <w:spacing w:after="0"/>
              <w:rPr>
                <w:sz w:val="11"/>
                <w:szCs w:val="11"/>
                <w:color w:val="auto"/>
              </w:rPr>
            </w:pPr>
          </w:p>
        </w:tc>
        <w:tc>
          <w:tcPr>
            <w:tcW w:w="320" w:type="dxa"/>
            <w:vAlign w:val="bottom"/>
            <w:shd w:val="clear" w:color="auto" w:fill="E5F1EE"/>
          </w:tcPr>
          <w:p>
            <w:pPr>
              <w:spacing w:after="0"/>
              <w:rPr>
                <w:sz w:val="11"/>
                <w:szCs w:val="11"/>
                <w:color w:val="auto"/>
              </w:rPr>
            </w:pPr>
          </w:p>
        </w:tc>
        <w:tc>
          <w:tcPr>
            <w:tcW w:w="620" w:type="dxa"/>
            <w:vAlign w:val="bottom"/>
            <w:shd w:val="clear" w:color="auto" w:fill="E5F1EE"/>
          </w:tcPr>
          <w:p>
            <w:pPr>
              <w:spacing w:after="0"/>
              <w:rPr>
                <w:sz w:val="11"/>
                <w:szCs w:val="11"/>
                <w:color w:val="auto"/>
              </w:rPr>
            </w:pPr>
          </w:p>
        </w:tc>
      </w:tr>
      <w:tr>
        <w:trPr>
          <w:trHeight w:val="113"/>
        </w:trPr>
        <w:tc>
          <w:tcPr>
            <w:tcW w:w="6940" w:type="dxa"/>
            <w:vAlign w:val="bottom"/>
          </w:tcPr>
          <w:p>
            <w:pPr>
              <w:spacing w:after="0"/>
              <w:rPr>
                <w:sz w:val="20"/>
                <w:szCs w:val="20"/>
                <w:color w:val="auto"/>
              </w:rPr>
            </w:pPr>
            <w:r>
              <w:rPr>
                <w:rFonts w:ascii="Times New Roman" w:cs="Times New Roman" w:eastAsia="Times New Roman" w:hAnsi="Times New Roman"/>
                <w:sz w:val="9"/>
                <w:szCs w:val="9"/>
                <w:color w:val="auto"/>
              </w:rPr>
              <w:t>Total tangible common equity</w:t>
            </w:r>
          </w:p>
        </w:tc>
        <w:tc>
          <w:tcPr>
            <w:tcW w:w="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17,940</w:t>
            </w:r>
          </w:p>
        </w:tc>
        <w:tc>
          <w:tcPr>
            <w:tcW w:w="220" w:type="dxa"/>
            <w:vAlign w:val="bottom"/>
          </w:tcPr>
          <w:p>
            <w:pPr>
              <w:spacing w:after="0"/>
              <w:rPr>
                <w:sz w:val="9"/>
                <w:szCs w:val="9"/>
                <w:color w:val="auto"/>
              </w:rPr>
            </w:pPr>
          </w:p>
        </w:tc>
        <w:tc>
          <w:tcPr>
            <w:tcW w:w="3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15,600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After any related tax effect.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300"/>
          </w:cols>
          <w:pgMar w:left="300" w:top="332"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333"/>
        </w:trPr>
        <w:tc>
          <w:tcPr>
            <w:tcW w:w="820" w:type="dxa"/>
            <w:vAlign w:val="bottom"/>
            <w:shd w:val="clear" w:color="auto" w:fill="007856"/>
          </w:tcPr>
          <w:p>
            <w:pPr>
              <w:spacing w:after="0"/>
              <w:rPr>
                <w:sz w:val="24"/>
                <w:szCs w:val="24"/>
                <w:color w:val="auto"/>
              </w:rPr>
            </w:pPr>
          </w:p>
        </w:tc>
        <w:tc>
          <w:tcPr>
            <w:tcW w:w="314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98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260" w:type="dxa"/>
            <w:vAlign w:val="bottom"/>
            <w:shd w:val="clear" w:color="auto" w:fill="007856"/>
          </w:tcPr>
          <w:p>
            <w:pPr>
              <w:spacing w:after="0"/>
              <w:rPr>
                <w:sz w:val="24"/>
                <w:szCs w:val="24"/>
                <w:color w:val="auto"/>
              </w:rPr>
            </w:pPr>
          </w:p>
        </w:tc>
        <w:tc>
          <w:tcPr>
            <w:tcW w:w="92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160" w:type="dxa"/>
            <w:vAlign w:val="bottom"/>
            <w:shd w:val="clear" w:color="auto" w:fill="007856"/>
          </w:tcPr>
          <w:p>
            <w:pPr>
              <w:spacing w:after="0"/>
              <w:rPr>
                <w:sz w:val="24"/>
                <w:szCs w:val="24"/>
                <w:color w:val="auto"/>
              </w:rPr>
            </w:pPr>
          </w:p>
        </w:tc>
        <w:tc>
          <w:tcPr>
            <w:tcW w:w="102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200" w:type="dxa"/>
            <w:vAlign w:val="bottom"/>
            <w:shd w:val="clear" w:color="auto" w:fill="007856"/>
          </w:tcPr>
          <w:p>
            <w:pPr>
              <w:spacing w:after="0"/>
              <w:rPr>
                <w:sz w:val="24"/>
                <w:szCs w:val="24"/>
                <w:color w:val="auto"/>
              </w:rPr>
            </w:pPr>
          </w:p>
        </w:tc>
        <w:tc>
          <w:tcPr>
            <w:tcW w:w="980" w:type="dxa"/>
            <w:vAlign w:val="bottom"/>
            <w:shd w:val="clear" w:color="auto" w:fill="007856"/>
          </w:tcPr>
          <w:p>
            <w:pPr>
              <w:spacing w:after="0"/>
              <w:rPr>
                <w:sz w:val="24"/>
                <w:szCs w:val="24"/>
                <w:color w:val="auto"/>
              </w:rPr>
            </w:pPr>
          </w:p>
        </w:tc>
        <w:tc>
          <w:tcPr>
            <w:tcW w:w="220" w:type="dxa"/>
            <w:vAlign w:val="bottom"/>
            <w:shd w:val="clear" w:color="auto" w:fill="007856"/>
          </w:tcPr>
          <w:p>
            <w:pPr>
              <w:spacing w:after="0"/>
              <w:rPr>
                <w:sz w:val="24"/>
                <w:szCs w:val="24"/>
                <w:color w:val="auto"/>
              </w:rPr>
            </w:pPr>
          </w:p>
        </w:tc>
        <w:tc>
          <w:tcPr>
            <w:tcW w:w="140" w:type="dxa"/>
            <w:vAlign w:val="bottom"/>
            <w:shd w:val="clear" w:color="auto" w:fill="007856"/>
          </w:tcPr>
          <w:p>
            <w:pPr>
              <w:spacing w:after="0"/>
              <w:rPr>
                <w:sz w:val="24"/>
                <w:szCs w:val="24"/>
                <w:color w:val="auto"/>
              </w:rPr>
            </w:pPr>
          </w:p>
        </w:tc>
        <w:tc>
          <w:tcPr>
            <w:tcW w:w="1620" w:type="dxa"/>
            <w:vAlign w:val="bottom"/>
            <w:gridSpan w:val="2"/>
            <w:shd w:val="clear" w:color="auto" w:fill="007856"/>
          </w:tcPr>
          <w:p>
            <w:pPr>
              <w:ind w:left="100"/>
              <w:spacing w:after="0"/>
              <w:rPr>
                <w:sz w:val="20"/>
                <w:szCs w:val="20"/>
                <w:color w:val="auto"/>
              </w:rPr>
            </w:pPr>
            <w:r>
              <w:rPr>
                <w:rFonts w:ascii="Times New Roman" w:cs="Times New Roman" w:eastAsia="Times New Roman" w:hAnsi="Times New Roman"/>
                <w:sz w:val="12"/>
                <w:szCs w:val="12"/>
                <w:b w:val="1"/>
                <w:bCs w:val="1"/>
                <w:color w:val="FFFFFF"/>
              </w:rPr>
              <w:t>Third Quarter 2024 Results</w:t>
            </w:r>
          </w:p>
        </w:tc>
        <w:tc>
          <w:tcPr>
            <w:tcW w:w="0" w:type="dxa"/>
            <w:vAlign w:val="bottom"/>
          </w:tcPr>
          <w:p>
            <w:pPr>
              <w:spacing w:after="0"/>
              <w:rPr>
                <w:sz w:val="1"/>
                <w:szCs w:val="1"/>
                <w:color w:val="auto"/>
              </w:rPr>
            </w:pPr>
          </w:p>
        </w:tc>
      </w:tr>
      <w:tr>
        <w:trPr>
          <w:trHeight w:val="738"/>
        </w:trPr>
        <w:tc>
          <w:tcPr>
            <w:tcW w:w="3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Reconciliation of Quarterly GAAP to Non-GAAP Measures, Five Quarter Trend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8"/>
                <w:szCs w:val="8"/>
                <w:color w:val="auto"/>
              </w:rPr>
              <w:t>Three months ended</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2"/>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8"/>
                <w:szCs w:val="8"/>
                <w:color w:val="auto"/>
              </w:rPr>
              <w:t>September 30,</w:t>
            </w:r>
          </w:p>
        </w:tc>
        <w:tc>
          <w:tcPr>
            <w:tcW w:w="260" w:type="dxa"/>
            <w:vAlign w:val="bottom"/>
          </w:tcPr>
          <w:p>
            <w:pPr>
              <w:spacing w:after="0"/>
              <w:rPr>
                <w:sz w:val="8"/>
                <w:szCs w:val="8"/>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8"/>
                <w:szCs w:val="8"/>
                <w:color w:val="auto"/>
              </w:rPr>
              <w:t>June 30,</w:t>
            </w:r>
          </w:p>
        </w:tc>
        <w:tc>
          <w:tcPr>
            <w:tcW w:w="160" w:type="dxa"/>
            <w:vAlign w:val="bottom"/>
          </w:tcPr>
          <w:p>
            <w:pPr>
              <w:spacing w:after="0"/>
              <w:rPr>
                <w:sz w:val="8"/>
                <w:szCs w:val="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8"/>
                <w:szCs w:val="8"/>
                <w:color w:val="auto"/>
              </w:rPr>
              <w:t>March 31,</w:t>
            </w:r>
          </w:p>
        </w:tc>
        <w:tc>
          <w:tcPr>
            <w:tcW w:w="200" w:type="dxa"/>
            <w:vAlign w:val="bottom"/>
          </w:tcPr>
          <w:p>
            <w:pPr>
              <w:spacing w:after="0"/>
              <w:rPr>
                <w:sz w:val="8"/>
                <w:szCs w:val="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8"/>
                <w:szCs w:val="8"/>
                <w:color w:val="auto"/>
              </w:rPr>
              <w:t>December 31,</w:t>
            </w:r>
          </w:p>
        </w:tc>
        <w:tc>
          <w:tcPr>
            <w:tcW w:w="140" w:type="dxa"/>
            <w:vAlign w:val="bottom"/>
          </w:tcPr>
          <w:p>
            <w:pPr>
              <w:spacing w:after="0"/>
              <w:rPr>
                <w:sz w:val="8"/>
                <w:szCs w:val="8"/>
                <w:color w:val="auto"/>
              </w:rPr>
            </w:pPr>
          </w:p>
        </w:tc>
        <w:tc>
          <w:tcPr>
            <w:tcW w:w="1040" w:type="dxa"/>
            <w:vAlign w:val="bottom"/>
          </w:tcPr>
          <w:p>
            <w:pPr>
              <w:jc w:val="right"/>
              <w:ind w:right="298"/>
              <w:spacing w:after="0"/>
              <w:rPr>
                <w:sz w:val="20"/>
                <w:szCs w:val="20"/>
                <w:color w:val="auto"/>
              </w:rPr>
            </w:pPr>
            <w:r>
              <w:rPr>
                <w:rFonts w:ascii="Times New Roman" w:cs="Times New Roman" w:eastAsia="Times New Roman" w:hAnsi="Times New Roman"/>
                <w:sz w:val="8"/>
                <w:szCs w:val="8"/>
                <w:color w:val="auto"/>
              </w:rPr>
              <w:t>September 30,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8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8"/>
                <w:szCs w:val="8"/>
                <w:color w:val="auto"/>
              </w:rPr>
              <w:t>2024</w:t>
            </w:r>
          </w:p>
        </w:tc>
        <w:tc>
          <w:tcPr>
            <w:tcW w:w="2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8"/>
                <w:szCs w:val="8"/>
                <w:color w:val="auto"/>
              </w:rPr>
              <w:t>2024</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8"/>
                <w:szCs w:val="8"/>
                <w:color w:val="auto"/>
              </w:rPr>
              <w:t>2024</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8"/>
                <w:szCs w:val="8"/>
                <w:color w:val="auto"/>
              </w:rPr>
              <w:t>2023</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8"/>
                <w:szCs w:val="8"/>
                <w:color w:val="auto"/>
              </w:rPr>
              <w:t>2023</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(Dollars in millions, except per share)</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Income statement data</w:t>
            </w:r>
          </w:p>
        </w:tc>
        <w:tc>
          <w:tcPr>
            <w:tcW w:w="3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Net income</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Net income</w:t>
            </w:r>
          </w:p>
        </w:tc>
        <w:tc>
          <w:tcPr>
            <w:tcW w:w="200" w:type="dxa"/>
            <w:vAlign w:val="bottom"/>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721</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655</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531</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482</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690</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Amortization of core deposit and other intangible assets (1)</w:t>
            </w: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10</w:t>
            </w:r>
          </w:p>
        </w:tc>
        <w:tc>
          <w:tcPr>
            <w:tcW w:w="200" w:type="dxa"/>
            <w:vAlign w:val="bottom"/>
            <w:tcBorders>
              <w:bottom w:val="single" w:sz="8" w:color="E5F1EE"/>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10</w:t>
            </w:r>
          </w:p>
        </w:tc>
        <w:tc>
          <w:tcPr>
            <w:tcW w:w="220" w:type="dxa"/>
            <w:vAlign w:val="bottom"/>
            <w:tcBorders>
              <w:bottom w:val="single" w:sz="8" w:color="E5F1EE"/>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12</w:t>
            </w:r>
          </w:p>
        </w:tc>
        <w:tc>
          <w:tcPr>
            <w:tcW w:w="220" w:type="dxa"/>
            <w:vAlign w:val="bottom"/>
            <w:tcBorders>
              <w:bottom w:val="single" w:sz="8" w:color="E5F1E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12</w:t>
            </w:r>
          </w:p>
        </w:tc>
        <w:tc>
          <w:tcPr>
            <w:tcW w:w="220" w:type="dxa"/>
            <w:vAlign w:val="bottom"/>
            <w:tcBorders>
              <w:bottom w:val="single" w:sz="8" w:color="E5F1EE"/>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12</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E5F1EE"/>
            </w:tcBorders>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Net operating income</w:t>
            </w:r>
          </w:p>
        </w:tc>
        <w:tc>
          <w:tcPr>
            <w:tcW w:w="200" w:type="dxa"/>
            <w:vAlign w:val="bottom"/>
            <w:tcBorders>
              <w:bottom w:val="single" w:sz="8" w:color="auto"/>
            </w:tcBorders>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731</w:t>
            </w:r>
          </w:p>
        </w:tc>
        <w:tc>
          <w:tcPr>
            <w:tcW w:w="200" w:type="dxa"/>
            <w:vAlign w:val="bottom"/>
            <w:tcBorders>
              <w:bottom w:val="single" w:sz="8" w:color="E5F1EE"/>
            </w:tcBorders>
            <w:shd w:val="clear" w:color="auto" w:fill="E5F1EE"/>
          </w:tcPr>
          <w:p>
            <w:pPr>
              <w:spacing w:after="0"/>
              <w:rPr>
                <w:sz w:val="11"/>
                <w:szCs w:val="11"/>
                <w:color w:val="auto"/>
              </w:rPr>
            </w:pPr>
          </w:p>
        </w:tc>
        <w:tc>
          <w:tcPr>
            <w:tcW w:w="260" w:type="dxa"/>
            <w:vAlign w:val="bottom"/>
            <w:tcBorders>
              <w:bottom w:val="single" w:sz="8" w:color="auto"/>
            </w:tcBorders>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665</w:t>
            </w:r>
          </w:p>
        </w:tc>
        <w:tc>
          <w:tcPr>
            <w:tcW w:w="220" w:type="dxa"/>
            <w:vAlign w:val="bottom"/>
            <w:tcBorders>
              <w:bottom w:val="single" w:sz="8" w:color="E5F1EE"/>
            </w:tcBorders>
            <w:shd w:val="clear" w:color="auto" w:fill="E5F1EE"/>
          </w:tcPr>
          <w:p>
            <w:pPr>
              <w:spacing w:after="0"/>
              <w:rPr>
                <w:sz w:val="11"/>
                <w:szCs w:val="11"/>
                <w:color w:val="auto"/>
              </w:rPr>
            </w:pPr>
          </w:p>
        </w:tc>
        <w:tc>
          <w:tcPr>
            <w:tcW w:w="16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543</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494</w:t>
            </w:r>
          </w:p>
        </w:tc>
        <w:tc>
          <w:tcPr>
            <w:tcW w:w="220" w:type="dxa"/>
            <w:vAlign w:val="bottom"/>
            <w:tcBorders>
              <w:bottom w:val="single" w:sz="8" w:color="E5F1EE"/>
            </w:tcBorders>
            <w:shd w:val="clear" w:color="auto" w:fill="E5F1EE"/>
          </w:tcPr>
          <w:p>
            <w:pPr>
              <w:spacing w:after="0"/>
              <w:rPr>
                <w:sz w:val="11"/>
                <w:szCs w:val="11"/>
                <w:color w:val="auto"/>
              </w:rPr>
            </w:pPr>
          </w:p>
        </w:tc>
        <w:tc>
          <w:tcPr>
            <w:tcW w:w="1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702</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960" w:type="dxa"/>
            <w:vAlign w:val="bottom"/>
            <w:gridSpan w:val="2"/>
          </w:tcPr>
          <w:p>
            <w:pPr>
              <w:spacing w:after="0" w:line="89" w:lineRule="exact"/>
              <w:rPr>
                <w:sz w:val="20"/>
                <w:szCs w:val="20"/>
                <w:color w:val="auto"/>
              </w:rPr>
            </w:pPr>
            <w:r>
              <w:rPr>
                <w:rFonts w:ascii="Times New Roman" w:cs="Times New Roman" w:eastAsia="Times New Roman" w:hAnsi="Times New Roman"/>
                <w:sz w:val="8"/>
                <w:szCs w:val="8"/>
                <w:b w:val="1"/>
                <w:bCs w:val="1"/>
                <w:color w:val="auto"/>
              </w:rPr>
              <w:t>Earnings per common share</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Diluted earnings per common share</w:t>
            </w:r>
          </w:p>
        </w:tc>
        <w:tc>
          <w:tcPr>
            <w:tcW w:w="200" w:type="dxa"/>
            <w:vAlign w:val="bottom"/>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4.02</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3.73</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3.02</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2.74</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3.98</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Amortization of core deposit and other intangible assets (1)</w:t>
            </w: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.06</w:t>
            </w:r>
          </w:p>
        </w:tc>
        <w:tc>
          <w:tcPr>
            <w:tcW w:w="200" w:type="dxa"/>
            <w:vAlign w:val="bottom"/>
            <w:tcBorders>
              <w:bottom w:val="single" w:sz="8" w:color="E5F1EE"/>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.06</w:t>
            </w:r>
          </w:p>
        </w:tc>
        <w:tc>
          <w:tcPr>
            <w:tcW w:w="220" w:type="dxa"/>
            <w:vAlign w:val="bottom"/>
            <w:tcBorders>
              <w:bottom w:val="single" w:sz="8" w:color="E5F1EE"/>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.07</w:t>
            </w:r>
          </w:p>
        </w:tc>
        <w:tc>
          <w:tcPr>
            <w:tcW w:w="220" w:type="dxa"/>
            <w:vAlign w:val="bottom"/>
            <w:tcBorders>
              <w:bottom w:val="single" w:sz="8" w:color="E5F1E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.07</w:t>
            </w:r>
          </w:p>
        </w:tc>
        <w:tc>
          <w:tcPr>
            <w:tcW w:w="220" w:type="dxa"/>
            <w:vAlign w:val="bottom"/>
            <w:tcBorders>
              <w:bottom w:val="single" w:sz="8" w:color="E5F1EE"/>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.07</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E5F1EE"/>
            </w:tcBorders>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Diluted net operating earnings per common share</w:t>
            </w:r>
          </w:p>
        </w:tc>
        <w:tc>
          <w:tcPr>
            <w:tcW w:w="200" w:type="dxa"/>
            <w:vAlign w:val="bottom"/>
            <w:tcBorders>
              <w:bottom w:val="single" w:sz="8" w:color="auto"/>
            </w:tcBorders>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4.08</w:t>
            </w:r>
          </w:p>
        </w:tc>
        <w:tc>
          <w:tcPr>
            <w:tcW w:w="200" w:type="dxa"/>
            <w:vAlign w:val="bottom"/>
            <w:tcBorders>
              <w:bottom w:val="single" w:sz="8" w:color="E5F1EE"/>
            </w:tcBorders>
            <w:shd w:val="clear" w:color="auto" w:fill="E5F1EE"/>
          </w:tcPr>
          <w:p>
            <w:pPr>
              <w:spacing w:after="0"/>
              <w:rPr>
                <w:sz w:val="11"/>
                <w:szCs w:val="11"/>
                <w:color w:val="auto"/>
              </w:rPr>
            </w:pPr>
          </w:p>
        </w:tc>
        <w:tc>
          <w:tcPr>
            <w:tcW w:w="260" w:type="dxa"/>
            <w:vAlign w:val="bottom"/>
            <w:tcBorders>
              <w:bottom w:val="single" w:sz="8" w:color="auto"/>
            </w:tcBorders>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3.79</w:t>
            </w:r>
          </w:p>
        </w:tc>
        <w:tc>
          <w:tcPr>
            <w:tcW w:w="220" w:type="dxa"/>
            <w:vAlign w:val="bottom"/>
            <w:tcBorders>
              <w:bottom w:val="single" w:sz="8" w:color="E5F1EE"/>
            </w:tcBorders>
            <w:shd w:val="clear" w:color="auto" w:fill="E5F1EE"/>
          </w:tcPr>
          <w:p>
            <w:pPr>
              <w:spacing w:after="0"/>
              <w:rPr>
                <w:sz w:val="11"/>
                <w:szCs w:val="11"/>
                <w:color w:val="auto"/>
              </w:rPr>
            </w:pPr>
          </w:p>
        </w:tc>
        <w:tc>
          <w:tcPr>
            <w:tcW w:w="16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3.09</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2.81</w:t>
            </w:r>
          </w:p>
        </w:tc>
        <w:tc>
          <w:tcPr>
            <w:tcW w:w="220" w:type="dxa"/>
            <w:vAlign w:val="bottom"/>
            <w:tcBorders>
              <w:bottom w:val="single" w:sz="8" w:color="E5F1EE"/>
            </w:tcBorders>
            <w:shd w:val="clear" w:color="auto" w:fill="E5F1EE"/>
          </w:tcPr>
          <w:p>
            <w:pPr>
              <w:spacing w:after="0"/>
              <w:rPr>
                <w:sz w:val="11"/>
                <w:szCs w:val="11"/>
                <w:color w:val="auto"/>
              </w:rPr>
            </w:pPr>
          </w:p>
        </w:tc>
        <w:tc>
          <w:tcPr>
            <w:tcW w:w="1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4.05</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960" w:type="dxa"/>
            <w:vAlign w:val="bottom"/>
            <w:gridSpan w:val="2"/>
          </w:tcPr>
          <w:p>
            <w:pPr>
              <w:spacing w:after="0" w:line="89" w:lineRule="exact"/>
              <w:rPr>
                <w:sz w:val="20"/>
                <w:szCs w:val="20"/>
                <w:color w:val="auto"/>
              </w:rPr>
            </w:pPr>
            <w:r>
              <w:rPr>
                <w:rFonts w:ascii="Times New Roman" w:cs="Times New Roman" w:eastAsia="Times New Roman" w:hAnsi="Times New Roman"/>
                <w:sz w:val="8"/>
                <w:szCs w:val="8"/>
                <w:b w:val="1"/>
                <w:bCs w:val="1"/>
                <w:color w:val="auto"/>
              </w:rPr>
              <w:t>Other expense</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Other expense</w:t>
            </w:r>
          </w:p>
        </w:tc>
        <w:tc>
          <w:tcPr>
            <w:tcW w:w="200" w:type="dxa"/>
            <w:vAlign w:val="bottom"/>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1,303</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1,297</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1,396</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1,450</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1,278</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Amortization of core deposit and other intangible assets</w:t>
            </w: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(12)</w:t>
            </w:r>
          </w:p>
        </w:tc>
        <w:tc>
          <w:tcPr>
            <w:tcW w:w="200" w:type="dxa"/>
            <w:vAlign w:val="bottom"/>
            <w:tcBorders>
              <w:bottom w:val="single" w:sz="8" w:color="E5F1EE"/>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(13)</w:t>
            </w:r>
          </w:p>
        </w:tc>
        <w:tc>
          <w:tcPr>
            <w:tcW w:w="220" w:type="dxa"/>
            <w:vAlign w:val="bottom"/>
            <w:tcBorders>
              <w:bottom w:val="single" w:sz="8" w:color="E5F1EE"/>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(15)</w:t>
            </w:r>
          </w:p>
        </w:tc>
        <w:tc>
          <w:tcPr>
            <w:tcW w:w="220" w:type="dxa"/>
            <w:vAlign w:val="bottom"/>
            <w:tcBorders>
              <w:bottom w:val="single" w:sz="8" w:color="E5F1E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(15)</w:t>
            </w:r>
          </w:p>
        </w:tc>
        <w:tc>
          <w:tcPr>
            <w:tcW w:w="220" w:type="dxa"/>
            <w:vAlign w:val="bottom"/>
            <w:tcBorders>
              <w:bottom w:val="single" w:sz="8" w:color="E5F1EE"/>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(15)</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3960" w:type="dxa"/>
            <w:vAlign w:val="bottom"/>
            <w:tcBorders>
              <w:bottom w:val="single" w:sz="8" w:color="E5F1EE"/>
            </w:tcBorders>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Noninterest operating expense</w:t>
            </w:r>
          </w:p>
        </w:tc>
        <w:tc>
          <w:tcPr>
            <w:tcW w:w="200" w:type="dxa"/>
            <w:vAlign w:val="bottom"/>
            <w:tcBorders>
              <w:bottom w:val="single" w:sz="8" w:color="auto"/>
            </w:tcBorders>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1,291</w:t>
            </w:r>
          </w:p>
        </w:tc>
        <w:tc>
          <w:tcPr>
            <w:tcW w:w="200" w:type="dxa"/>
            <w:vAlign w:val="bottom"/>
            <w:tcBorders>
              <w:bottom w:val="single" w:sz="8" w:color="E5F1EE"/>
            </w:tcBorders>
            <w:shd w:val="clear" w:color="auto" w:fill="E5F1EE"/>
          </w:tcPr>
          <w:p>
            <w:pPr>
              <w:spacing w:after="0"/>
              <w:rPr>
                <w:sz w:val="9"/>
                <w:szCs w:val="9"/>
                <w:color w:val="auto"/>
              </w:rPr>
            </w:pPr>
          </w:p>
        </w:tc>
        <w:tc>
          <w:tcPr>
            <w:tcW w:w="260" w:type="dxa"/>
            <w:vAlign w:val="bottom"/>
            <w:tcBorders>
              <w:bottom w:val="single" w:sz="8" w:color="auto"/>
            </w:tcBorders>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1,284</w:t>
            </w:r>
          </w:p>
        </w:tc>
        <w:tc>
          <w:tcPr>
            <w:tcW w:w="220" w:type="dxa"/>
            <w:vAlign w:val="bottom"/>
            <w:tcBorders>
              <w:bottom w:val="single" w:sz="8" w:color="E5F1EE"/>
            </w:tcBorders>
            <w:shd w:val="clear" w:color="auto" w:fill="E5F1EE"/>
          </w:tcPr>
          <w:p>
            <w:pPr>
              <w:spacing w:after="0"/>
              <w:rPr>
                <w:sz w:val="9"/>
                <w:szCs w:val="9"/>
                <w:color w:val="auto"/>
              </w:rPr>
            </w:pPr>
          </w:p>
        </w:tc>
        <w:tc>
          <w:tcPr>
            <w:tcW w:w="16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1,381</w:t>
            </w:r>
          </w:p>
        </w:tc>
        <w:tc>
          <w:tcPr>
            <w:tcW w:w="220" w:type="dxa"/>
            <w:vAlign w:val="bottom"/>
            <w:tcBorders>
              <w:bottom w:val="single" w:sz="8" w:color="E5F1EE"/>
            </w:tcBorders>
            <w:shd w:val="clear" w:color="auto" w:fill="E5F1EE"/>
          </w:tcPr>
          <w:p>
            <w:pPr>
              <w:spacing w:after="0"/>
              <w:rPr>
                <w:sz w:val="9"/>
                <w:szCs w:val="9"/>
                <w:color w:val="auto"/>
              </w:rPr>
            </w:pPr>
          </w:p>
        </w:tc>
        <w:tc>
          <w:tcPr>
            <w:tcW w:w="200" w:type="dxa"/>
            <w:vAlign w:val="bottom"/>
            <w:tcBorders>
              <w:bottom w:val="single" w:sz="8" w:color="auto"/>
            </w:tcBorders>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1,435</w:t>
            </w:r>
          </w:p>
        </w:tc>
        <w:tc>
          <w:tcPr>
            <w:tcW w:w="220" w:type="dxa"/>
            <w:vAlign w:val="bottom"/>
            <w:tcBorders>
              <w:bottom w:val="single" w:sz="8" w:color="E5F1EE"/>
            </w:tcBorders>
            <w:shd w:val="clear" w:color="auto" w:fill="E5F1EE"/>
          </w:tcPr>
          <w:p>
            <w:pPr>
              <w:spacing w:after="0"/>
              <w:rPr>
                <w:sz w:val="9"/>
                <w:szCs w:val="9"/>
                <w:color w:val="auto"/>
              </w:rPr>
            </w:pPr>
          </w:p>
        </w:tc>
        <w:tc>
          <w:tcPr>
            <w:tcW w:w="1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1,263</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960" w:type="dxa"/>
            <w:vAlign w:val="bottom"/>
            <w:gridSpan w:val="2"/>
          </w:tcPr>
          <w:p>
            <w:pPr>
              <w:spacing w:after="0" w:line="89" w:lineRule="exact"/>
              <w:rPr>
                <w:sz w:val="20"/>
                <w:szCs w:val="20"/>
                <w:color w:val="auto"/>
              </w:rPr>
            </w:pPr>
            <w:r>
              <w:rPr>
                <w:rFonts w:ascii="Times New Roman" w:cs="Times New Roman" w:eastAsia="Times New Roman" w:hAnsi="Times New Roman"/>
                <w:sz w:val="8"/>
                <w:szCs w:val="8"/>
                <w:b w:val="1"/>
                <w:bCs w:val="1"/>
                <w:color w:val="auto"/>
              </w:rPr>
              <w:t>Efficiency ratio</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960" w:type="dxa"/>
            <w:vAlign w:val="bottom"/>
            <w:tcBorders>
              <w:bottom w:val="single" w:sz="8" w:color="E5F1EE"/>
            </w:tcBorders>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Noninterest operating expense (numerator)</w:t>
            </w:r>
          </w:p>
        </w:tc>
        <w:tc>
          <w:tcPr>
            <w:tcW w:w="200" w:type="dxa"/>
            <w:vAlign w:val="bottom"/>
            <w:tcBorders>
              <w:bottom w:val="single" w:sz="8" w:color="auto"/>
            </w:tcBorders>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1,291</w:t>
            </w:r>
          </w:p>
        </w:tc>
        <w:tc>
          <w:tcPr>
            <w:tcW w:w="200" w:type="dxa"/>
            <w:vAlign w:val="bottom"/>
            <w:tcBorders>
              <w:bottom w:val="single" w:sz="8" w:color="E5F1EE"/>
            </w:tcBorders>
            <w:shd w:val="clear" w:color="auto" w:fill="E5F1EE"/>
          </w:tcPr>
          <w:p>
            <w:pPr>
              <w:spacing w:after="0"/>
              <w:rPr>
                <w:sz w:val="12"/>
                <w:szCs w:val="12"/>
                <w:color w:val="auto"/>
              </w:rPr>
            </w:pPr>
          </w:p>
        </w:tc>
        <w:tc>
          <w:tcPr>
            <w:tcW w:w="260" w:type="dxa"/>
            <w:vAlign w:val="bottom"/>
            <w:tcBorders>
              <w:bottom w:val="single" w:sz="8" w:color="auto"/>
            </w:tcBorders>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1,284</w:t>
            </w:r>
          </w:p>
        </w:tc>
        <w:tc>
          <w:tcPr>
            <w:tcW w:w="220" w:type="dxa"/>
            <w:vAlign w:val="bottom"/>
            <w:tcBorders>
              <w:bottom w:val="single" w:sz="8" w:color="E5F1EE"/>
            </w:tcBorders>
            <w:shd w:val="clear" w:color="auto" w:fill="E5F1EE"/>
          </w:tcPr>
          <w:p>
            <w:pPr>
              <w:spacing w:after="0"/>
              <w:rPr>
                <w:sz w:val="12"/>
                <w:szCs w:val="12"/>
                <w:color w:val="auto"/>
              </w:rPr>
            </w:pPr>
          </w:p>
        </w:tc>
        <w:tc>
          <w:tcPr>
            <w:tcW w:w="16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1,381</w:t>
            </w:r>
          </w:p>
        </w:tc>
        <w:tc>
          <w:tcPr>
            <w:tcW w:w="220" w:type="dxa"/>
            <w:vAlign w:val="bottom"/>
            <w:tcBorders>
              <w:bottom w:val="single" w:sz="8" w:color="E5F1EE"/>
            </w:tcBorders>
            <w:shd w:val="clear" w:color="auto" w:fill="E5F1EE"/>
          </w:tcPr>
          <w:p>
            <w:pPr>
              <w:spacing w:after="0"/>
              <w:rPr>
                <w:sz w:val="12"/>
                <w:szCs w:val="12"/>
                <w:color w:val="auto"/>
              </w:rPr>
            </w:pPr>
          </w:p>
        </w:tc>
        <w:tc>
          <w:tcPr>
            <w:tcW w:w="200" w:type="dxa"/>
            <w:vAlign w:val="bottom"/>
            <w:tcBorders>
              <w:bottom w:val="single" w:sz="8" w:color="auto"/>
            </w:tcBorders>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1,435</w:t>
            </w:r>
          </w:p>
        </w:tc>
        <w:tc>
          <w:tcPr>
            <w:tcW w:w="220" w:type="dxa"/>
            <w:vAlign w:val="bottom"/>
            <w:tcBorders>
              <w:bottom w:val="single" w:sz="8" w:color="E5F1EE"/>
            </w:tcBorders>
            <w:shd w:val="clear" w:color="auto" w:fill="E5F1EE"/>
          </w:tcPr>
          <w:p>
            <w:pPr>
              <w:spacing w:after="0"/>
              <w:rPr>
                <w:sz w:val="12"/>
                <w:szCs w:val="12"/>
                <w:color w:val="auto"/>
              </w:rPr>
            </w:pPr>
          </w:p>
        </w:tc>
        <w:tc>
          <w:tcPr>
            <w:tcW w:w="1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1,263</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Taxable-equivalent net interest income</w:t>
            </w: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1,739</w:t>
            </w:r>
          </w:p>
        </w:tc>
        <w:tc>
          <w:tcPr>
            <w:tcW w:w="200" w:type="dxa"/>
            <w:vAlign w:val="bottom"/>
          </w:tcPr>
          <w:p>
            <w:pPr>
              <w:spacing w:after="0"/>
              <w:rPr>
                <w:sz w:val="9"/>
                <w:szCs w:val="9"/>
                <w:color w:val="auto"/>
              </w:rPr>
            </w:pPr>
          </w:p>
        </w:tc>
        <w:tc>
          <w:tcPr>
            <w:tcW w:w="26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1,731</w:t>
            </w:r>
          </w:p>
        </w:tc>
        <w:tc>
          <w:tcPr>
            <w:tcW w:w="220" w:type="dxa"/>
            <w:vAlign w:val="bottom"/>
          </w:tcPr>
          <w:p>
            <w:pPr>
              <w:spacing w:after="0"/>
              <w:rPr>
                <w:sz w:val="9"/>
                <w:szCs w:val="9"/>
                <w:color w:val="auto"/>
              </w:rPr>
            </w:pPr>
          </w:p>
        </w:tc>
        <w:tc>
          <w:tcPr>
            <w:tcW w:w="1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1,692</w:t>
            </w:r>
          </w:p>
        </w:tc>
        <w:tc>
          <w:tcPr>
            <w:tcW w:w="220" w:type="dxa"/>
            <w:vAlign w:val="bottom"/>
          </w:tcPr>
          <w:p>
            <w:pPr>
              <w:spacing w:after="0"/>
              <w:rPr>
                <w:sz w:val="9"/>
                <w:szCs w:val="9"/>
                <w:color w:val="auto"/>
              </w:rPr>
            </w:pPr>
          </w:p>
        </w:tc>
        <w:tc>
          <w:tcPr>
            <w:tcW w:w="20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1,735</w:t>
            </w:r>
          </w:p>
        </w:tc>
        <w:tc>
          <w:tcPr>
            <w:tcW w:w="220" w:type="dxa"/>
            <w:vAlign w:val="bottom"/>
          </w:tcPr>
          <w:p>
            <w:pPr>
              <w:spacing w:after="0"/>
              <w:rPr>
                <w:sz w:val="9"/>
                <w:szCs w:val="9"/>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1,790</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Other income</w:t>
            </w: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606</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spacing w:after="0"/>
              <w:rPr>
                <w:sz w:val="10"/>
                <w:szCs w:val="10"/>
                <w:color w:val="auto"/>
              </w:rPr>
            </w:pPr>
          </w:p>
        </w:tc>
        <w:tc>
          <w:tcPr>
            <w:tcW w:w="9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584</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10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580</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578</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spacing w:after="0"/>
              <w:rPr>
                <w:sz w:val="10"/>
                <w:szCs w:val="10"/>
                <w:color w:val="auto"/>
              </w:rPr>
            </w:pPr>
          </w:p>
        </w:tc>
        <w:tc>
          <w:tcPr>
            <w:tcW w:w="104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560</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Less: Gain (loss) on bank investment securities</w:t>
            </w: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w:t>
            </w:r>
          </w:p>
        </w:tc>
        <w:tc>
          <w:tcPr>
            <w:tcW w:w="200" w:type="dxa"/>
            <w:vAlign w:val="bottom"/>
            <w:tcBorders>
              <w:bottom w:val="single" w:sz="8" w:color="E5F1EE"/>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(8)</w:t>
            </w:r>
          </w:p>
        </w:tc>
        <w:tc>
          <w:tcPr>
            <w:tcW w:w="220" w:type="dxa"/>
            <w:vAlign w:val="bottom"/>
            <w:tcBorders>
              <w:bottom w:val="single" w:sz="8" w:color="E5F1EE"/>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2</w:t>
            </w:r>
          </w:p>
        </w:tc>
        <w:tc>
          <w:tcPr>
            <w:tcW w:w="220" w:type="dxa"/>
            <w:vAlign w:val="bottom"/>
            <w:tcBorders>
              <w:bottom w:val="single" w:sz="8" w:color="E5F1E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4</w:t>
            </w:r>
          </w:p>
        </w:tc>
        <w:tc>
          <w:tcPr>
            <w:tcW w:w="220" w:type="dxa"/>
            <w:vAlign w:val="bottom"/>
            <w:tcBorders>
              <w:bottom w:val="single" w:sz="8" w:color="E5F1EE"/>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E5F1EE"/>
            </w:tcBorders>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Denominator</w:t>
            </w:r>
          </w:p>
        </w:tc>
        <w:tc>
          <w:tcPr>
            <w:tcW w:w="200" w:type="dxa"/>
            <w:vAlign w:val="bottom"/>
            <w:tcBorders>
              <w:bottom w:val="single" w:sz="8" w:color="auto"/>
            </w:tcBorders>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2,347</w:t>
            </w:r>
          </w:p>
        </w:tc>
        <w:tc>
          <w:tcPr>
            <w:tcW w:w="200" w:type="dxa"/>
            <w:vAlign w:val="bottom"/>
            <w:tcBorders>
              <w:bottom w:val="single" w:sz="8" w:color="E5F1EE"/>
            </w:tcBorders>
            <w:shd w:val="clear" w:color="auto" w:fill="E5F1EE"/>
          </w:tcPr>
          <w:p>
            <w:pPr>
              <w:spacing w:after="0"/>
              <w:rPr>
                <w:sz w:val="11"/>
                <w:szCs w:val="11"/>
                <w:color w:val="auto"/>
              </w:rPr>
            </w:pPr>
          </w:p>
        </w:tc>
        <w:tc>
          <w:tcPr>
            <w:tcW w:w="260" w:type="dxa"/>
            <w:vAlign w:val="bottom"/>
            <w:tcBorders>
              <w:bottom w:val="single" w:sz="8" w:color="auto"/>
            </w:tcBorders>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2,323</w:t>
            </w:r>
          </w:p>
        </w:tc>
        <w:tc>
          <w:tcPr>
            <w:tcW w:w="220" w:type="dxa"/>
            <w:vAlign w:val="bottom"/>
            <w:tcBorders>
              <w:bottom w:val="single" w:sz="8" w:color="E5F1EE"/>
            </w:tcBorders>
            <w:shd w:val="clear" w:color="auto" w:fill="E5F1EE"/>
          </w:tcPr>
          <w:p>
            <w:pPr>
              <w:spacing w:after="0"/>
              <w:rPr>
                <w:sz w:val="11"/>
                <w:szCs w:val="11"/>
                <w:color w:val="auto"/>
              </w:rPr>
            </w:pPr>
          </w:p>
        </w:tc>
        <w:tc>
          <w:tcPr>
            <w:tcW w:w="16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2,270</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2,309</w:t>
            </w:r>
          </w:p>
        </w:tc>
        <w:tc>
          <w:tcPr>
            <w:tcW w:w="220" w:type="dxa"/>
            <w:vAlign w:val="bottom"/>
            <w:tcBorders>
              <w:bottom w:val="single" w:sz="8" w:color="E5F1EE"/>
            </w:tcBorders>
            <w:shd w:val="clear" w:color="auto" w:fill="E5F1EE"/>
          </w:tcPr>
          <w:p>
            <w:pPr>
              <w:spacing w:after="0"/>
              <w:rPr>
                <w:sz w:val="11"/>
                <w:szCs w:val="11"/>
                <w:color w:val="auto"/>
              </w:rPr>
            </w:pPr>
          </w:p>
        </w:tc>
        <w:tc>
          <w:tcPr>
            <w:tcW w:w="1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2,350</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60" w:type="dxa"/>
            <w:vAlign w:val="bottom"/>
            <w:tcBorders>
              <w:bottom w:val="single" w:sz="8" w:color="E5F1EE"/>
            </w:tcBorders>
            <w:gridSpan w:val="2"/>
          </w:tcPr>
          <w:p>
            <w:pPr>
              <w:spacing w:after="0" w:line="87" w:lineRule="exact"/>
              <w:rPr>
                <w:sz w:val="20"/>
                <w:szCs w:val="20"/>
                <w:color w:val="auto"/>
              </w:rPr>
            </w:pPr>
            <w:r>
              <w:rPr>
                <w:rFonts w:ascii="Times New Roman" w:cs="Times New Roman" w:eastAsia="Times New Roman" w:hAnsi="Times New Roman"/>
                <w:sz w:val="8"/>
                <w:szCs w:val="8"/>
                <w:color w:val="auto"/>
              </w:rPr>
              <w:t>Efficiency ratio</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55.0 %</w:t>
            </w:r>
          </w:p>
        </w:tc>
        <w:tc>
          <w:tcPr>
            <w:tcW w:w="200" w:type="dxa"/>
            <w:vAlign w:val="bottom"/>
            <w:tcBorders>
              <w:bottom w:val="single" w:sz="8" w:color="E5F1EE"/>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55.3 %</w:t>
            </w:r>
          </w:p>
        </w:tc>
        <w:tc>
          <w:tcPr>
            <w:tcW w:w="220" w:type="dxa"/>
            <w:vAlign w:val="bottom"/>
            <w:tcBorders>
              <w:bottom w:val="single" w:sz="8" w:color="E5F1EE"/>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60.8 %</w:t>
            </w:r>
          </w:p>
        </w:tc>
        <w:tc>
          <w:tcPr>
            <w:tcW w:w="220" w:type="dxa"/>
            <w:vAlign w:val="bottom"/>
            <w:tcBorders>
              <w:bottom w:val="single" w:sz="8" w:color="E5F1EE"/>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62.1 %</w:t>
            </w:r>
          </w:p>
        </w:tc>
        <w:tc>
          <w:tcPr>
            <w:tcW w:w="220" w:type="dxa"/>
            <w:vAlign w:val="bottom"/>
            <w:tcBorders>
              <w:bottom w:val="single" w:sz="8" w:color="E5F1EE"/>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53.7 %</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960" w:type="dxa"/>
            <w:vAlign w:val="bottom"/>
            <w:gridSpan w:val="2"/>
            <w:shd w:val="clear" w:color="auto" w:fill="E5F1EE"/>
          </w:tcPr>
          <w:p>
            <w:pPr>
              <w:spacing w:after="0" w:line="89" w:lineRule="exact"/>
              <w:rPr>
                <w:sz w:val="20"/>
                <w:szCs w:val="20"/>
                <w:color w:val="auto"/>
              </w:rPr>
            </w:pPr>
            <w:r>
              <w:rPr>
                <w:rFonts w:ascii="Times New Roman" w:cs="Times New Roman" w:eastAsia="Times New Roman" w:hAnsi="Times New Roman"/>
                <w:sz w:val="8"/>
                <w:szCs w:val="8"/>
                <w:b w:val="1"/>
                <w:bCs w:val="1"/>
                <w:color w:val="auto"/>
              </w:rPr>
              <w:t>Balance sheet data</w:t>
            </w:r>
          </w:p>
        </w:tc>
        <w:tc>
          <w:tcPr>
            <w:tcW w:w="200" w:type="dxa"/>
            <w:vAlign w:val="bottom"/>
            <w:shd w:val="clear" w:color="auto" w:fill="E5F1EE"/>
          </w:tcPr>
          <w:p>
            <w:pPr>
              <w:spacing w:after="0"/>
              <w:rPr>
                <w:sz w:val="8"/>
                <w:szCs w:val="8"/>
                <w:color w:val="auto"/>
              </w:rPr>
            </w:pPr>
          </w:p>
        </w:tc>
        <w:tc>
          <w:tcPr>
            <w:tcW w:w="980" w:type="dxa"/>
            <w:vAlign w:val="bottom"/>
            <w:shd w:val="clear" w:color="auto" w:fill="E5F1EE"/>
          </w:tcPr>
          <w:p>
            <w:pPr>
              <w:spacing w:after="0"/>
              <w:rPr>
                <w:sz w:val="8"/>
                <w:szCs w:val="8"/>
                <w:color w:val="auto"/>
              </w:rPr>
            </w:pPr>
          </w:p>
        </w:tc>
        <w:tc>
          <w:tcPr>
            <w:tcW w:w="200" w:type="dxa"/>
            <w:vAlign w:val="bottom"/>
            <w:shd w:val="clear" w:color="auto" w:fill="E5F1EE"/>
          </w:tcPr>
          <w:p>
            <w:pPr>
              <w:spacing w:after="0"/>
              <w:rPr>
                <w:sz w:val="8"/>
                <w:szCs w:val="8"/>
                <w:color w:val="auto"/>
              </w:rPr>
            </w:pPr>
          </w:p>
        </w:tc>
        <w:tc>
          <w:tcPr>
            <w:tcW w:w="260" w:type="dxa"/>
            <w:vAlign w:val="bottom"/>
            <w:shd w:val="clear" w:color="auto" w:fill="E5F1EE"/>
          </w:tcPr>
          <w:p>
            <w:pPr>
              <w:spacing w:after="0"/>
              <w:rPr>
                <w:sz w:val="8"/>
                <w:szCs w:val="8"/>
                <w:color w:val="auto"/>
              </w:rPr>
            </w:pPr>
          </w:p>
        </w:tc>
        <w:tc>
          <w:tcPr>
            <w:tcW w:w="920" w:type="dxa"/>
            <w:vAlign w:val="bottom"/>
            <w:shd w:val="clear" w:color="auto" w:fill="E5F1EE"/>
          </w:tcPr>
          <w:p>
            <w:pPr>
              <w:spacing w:after="0"/>
              <w:rPr>
                <w:sz w:val="8"/>
                <w:szCs w:val="8"/>
                <w:color w:val="auto"/>
              </w:rPr>
            </w:pPr>
          </w:p>
        </w:tc>
        <w:tc>
          <w:tcPr>
            <w:tcW w:w="220" w:type="dxa"/>
            <w:vAlign w:val="bottom"/>
            <w:shd w:val="clear" w:color="auto" w:fill="E5F1EE"/>
          </w:tcPr>
          <w:p>
            <w:pPr>
              <w:spacing w:after="0"/>
              <w:rPr>
                <w:sz w:val="8"/>
                <w:szCs w:val="8"/>
                <w:color w:val="auto"/>
              </w:rPr>
            </w:pPr>
          </w:p>
        </w:tc>
        <w:tc>
          <w:tcPr>
            <w:tcW w:w="160" w:type="dxa"/>
            <w:vAlign w:val="bottom"/>
            <w:shd w:val="clear" w:color="auto" w:fill="E5F1EE"/>
          </w:tcPr>
          <w:p>
            <w:pPr>
              <w:spacing w:after="0"/>
              <w:rPr>
                <w:sz w:val="8"/>
                <w:szCs w:val="8"/>
                <w:color w:val="auto"/>
              </w:rPr>
            </w:pPr>
          </w:p>
        </w:tc>
        <w:tc>
          <w:tcPr>
            <w:tcW w:w="1020" w:type="dxa"/>
            <w:vAlign w:val="bottom"/>
            <w:shd w:val="clear" w:color="auto" w:fill="E5F1EE"/>
          </w:tcPr>
          <w:p>
            <w:pPr>
              <w:spacing w:after="0"/>
              <w:rPr>
                <w:sz w:val="8"/>
                <w:szCs w:val="8"/>
                <w:color w:val="auto"/>
              </w:rPr>
            </w:pPr>
          </w:p>
        </w:tc>
        <w:tc>
          <w:tcPr>
            <w:tcW w:w="220" w:type="dxa"/>
            <w:vAlign w:val="bottom"/>
            <w:shd w:val="clear" w:color="auto" w:fill="E5F1EE"/>
          </w:tcPr>
          <w:p>
            <w:pPr>
              <w:spacing w:after="0"/>
              <w:rPr>
                <w:sz w:val="8"/>
                <w:szCs w:val="8"/>
                <w:color w:val="auto"/>
              </w:rPr>
            </w:pPr>
          </w:p>
        </w:tc>
        <w:tc>
          <w:tcPr>
            <w:tcW w:w="200" w:type="dxa"/>
            <w:vAlign w:val="bottom"/>
            <w:shd w:val="clear" w:color="auto" w:fill="E5F1EE"/>
          </w:tcPr>
          <w:p>
            <w:pPr>
              <w:spacing w:after="0"/>
              <w:rPr>
                <w:sz w:val="8"/>
                <w:szCs w:val="8"/>
                <w:color w:val="auto"/>
              </w:rPr>
            </w:pPr>
          </w:p>
        </w:tc>
        <w:tc>
          <w:tcPr>
            <w:tcW w:w="980" w:type="dxa"/>
            <w:vAlign w:val="bottom"/>
            <w:shd w:val="clear" w:color="auto" w:fill="E5F1EE"/>
          </w:tcPr>
          <w:p>
            <w:pPr>
              <w:spacing w:after="0"/>
              <w:rPr>
                <w:sz w:val="8"/>
                <w:szCs w:val="8"/>
                <w:color w:val="auto"/>
              </w:rPr>
            </w:pPr>
          </w:p>
        </w:tc>
        <w:tc>
          <w:tcPr>
            <w:tcW w:w="220" w:type="dxa"/>
            <w:vAlign w:val="bottom"/>
            <w:shd w:val="clear" w:color="auto" w:fill="E5F1EE"/>
          </w:tcPr>
          <w:p>
            <w:pPr>
              <w:spacing w:after="0"/>
              <w:rPr>
                <w:sz w:val="8"/>
                <w:szCs w:val="8"/>
                <w:color w:val="auto"/>
              </w:rPr>
            </w:pPr>
          </w:p>
        </w:tc>
        <w:tc>
          <w:tcPr>
            <w:tcW w:w="140" w:type="dxa"/>
            <w:vAlign w:val="bottom"/>
            <w:shd w:val="clear" w:color="auto" w:fill="E5F1EE"/>
          </w:tcPr>
          <w:p>
            <w:pPr>
              <w:spacing w:after="0"/>
              <w:rPr>
                <w:sz w:val="8"/>
                <w:szCs w:val="8"/>
                <w:color w:val="auto"/>
              </w:rPr>
            </w:pPr>
          </w:p>
        </w:tc>
        <w:tc>
          <w:tcPr>
            <w:tcW w:w="1040" w:type="dxa"/>
            <w:vAlign w:val="bottom"/>
            <w:shd w:val="clear" w:color="auto" w:fill="E5F1E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Average assets</w:t>
            </w: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Average assets</w:t>
            </w:r>
          </w:p>
        </w:tc>
        <w:tc>
          <w:tcPr>
            <w:tcW w:w="200" w:type="dxa"/>
            <w:vAlign w:val="bottom"/>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209,581</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211,981</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211,478</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208,752</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205,791</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Goodwill</w:t>
            </w: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Core deposit and other intangible assets</w:t>
            </w: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(113)</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spacing w:after="0"/>
              <w:rPr>
                <w:sz w:val="10"/>
                <w:szCs w:val="10"/>
                <w:color w:val="auto"/>
              </w:rPr>
            </w:pPr>
          </w:p>
        </w:tc>
        <w:tc>
          <w:tcPr>
            <w:tcW w:w="9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(126)</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10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(140)</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(154)</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spacing w:after="0"/>
              <w:rPr>
                <w:sz w:val="10"/>
                <w:szCs w:val="10"/>
                <w:color w:val="auto"/>
              </w:rPr>
            </w:pPr>
          </w:p>
        </w:tc>
        <w:tc>
          <w:tcPr>
            <w:tcW w:w="10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(170)</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Deferred taxes</w:t>
            </w: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28</w:t>
            </w:r>
          </w:p>
        </w:tc>
        <w:tc>
          <w:tcPr>
            <w:tcW w:w="200" w:type="dxa"/>
            <w:vAlign w:val="bottom"/>
            <w:tcBorders>
              <w:bottom w:val="single" w:sz="8" w:color="E5F1EE"/>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30</w:t>
            </w:r>
          </w:p>
        </w:tc>
        <w:tc>
          <w:tcPr>
            <w:tcW w:w="220" w:type="dxa"/>
            <w:vAlign w:val="bottom"/>
            <w:tcBorders>
              <w:bottom w:val="single" w:sz="8" w:color="E5F1EE"/>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33</w:t>
            </w:r>
          </w:p>
        </w:tc>
        <w:tc>
          <w:tcPr>
            <w:tcW w:w="220" w:type="dxa"/>
            <w:vAlign w:val="bottom"/>
            <w:tcBorders>
              <w:bottom w:val="single" w:sz="8" w:color="E5F1E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39</w:t>
            </w:r>
          </w:p>
        </w:tc>
        <w:tc>
          <w:tcPr>
            <w:tcW w:w="220" w:type="dxa"/>
            <w:vAlign w:val="bottom"/>
            <w:tcBorders>
              <w:bottom w:val="single" w:sz="8" w:color="E5F1EE"/>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43</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E5F1EE"/>
            </w:tcBorders>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Average tangible assets</w:t>
            </w:r>
          </w:p>
        </w:tc>
        <w:tc>
          <w:tcPr>
            <w:tcW w:w="200" w:type="dxa"/>
            <w:vAlign w:val="bottom"/>
            <w:tcBorders>
              <w:bottom w:val="single" w:sz="8" w:color="auto"/>
            </w:tcBorders>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201,031</w:t>
            </w:r>
          </w:p>
        </w:tc>
        <w:tc>
          <w:tcPr>
            <w:tcW w:w="200" w:type="dxa"/>
            <w:vAlign w:val="bottom"/>
            <w:tcBorders>
              <w:bottom w:val="single" w:sz="8" w:color="E5F1EE"/>
            </w:tcBorders>
            <w:shd w:val="clear" w:color="auto" w:fill="E5F1EE"/>
          </w:tcPr>
          <w:p>
            <w:pPr>
              <w:spacing w:after="0"/>
              <w:rPr>
                <w:sz w:val="11"/>
                <w:szCs w:val="11"/>
                <w:color w:val="auto"/>
              </w:rPr>
            </w:pPr>
          </w:p>
        </w:tc>
        <w:tc>
          <w:tcPr>
            <w:tcW w:w="260" w:type="dxa"/>
            <w:vAlign w:val="bottom"/>
            <w:tcBorders>
              <w:bottom w:val="single" w:sz="8" w:color="auto"/>
            </w:tcBorders>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203,420</w:t>
            </w:r>
          </w:p>
        </w:tc>
        <w:tc>
          <w:tcPr>
            <w:tcW w:w="220" w:type="dxa"/>
            <w:vAlign w:val="bottom"/>
            <w:tcBorders>
              <w:bottom w:val="single" w:sz="8" w:color="E5F1EE"/>
            </w:tcBorders>
            <w:shd w:val="clear" w:color="auto" w:fill="E5F1EE"/>
          </w:tcPr>
          <w:p>
            <w:pPr>
              <w:spacing w:after="0"/>
              <w:rPr>
                <w:sz w:val="11"/>
                <w:szCs w:val="11"/>
                <w:color w:val="auto"/>
              </w:rPr>
            </w:pPr>
          </w:p>
        </w:tc>
        <w:tc>
          <w:tcPr>
            <w:tcW w:w="16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202,906</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200,172</w:t>
            </w:r>
          </w:p>
        </w:tc>
        <w:tc>
          <w:tcPr>
            <w:tcW w:w="220" w:type="dxa"/>
            <w:vAlign w:val="bottom"/>
            <w:tcBorders>
              <w:bottom w:val="single" w:sz="8" w:color="E5F1EE"/>
            </w:tcBorders>
            <w:shd w:val="clear" w:color="auto" w:fill="E5F1EE"/>
          </w:tcPr>
          <w:p>
            <w:pPr>
              <w:spacing w:after="0"/>
              <w:rPr>
                <w:sz w:val="11"/>
                <w:szCs w:val="11"/>
                <w:color w:val="auto"/>
              </w:rPr>
            </w:pPr>
          </w:p>
        </w:tc>
        <w:tc>
          <w:tcPr>
            <w:tcW w:w="1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197,199</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960" w:type="dxa"/>
            <w:vAlign w:val="bottom"/>
            <w:gridSpan w:val="2"/>
          </w:tcPr>
          <w:p>
            <w:pPr>
              <w:spacing w:after="0" w:line="89" w:lineRule="exact"/>
              <w:rPr>
                <w:sz w:val="20"/>
                <w:szCs w:val="20"/>
                <w:color w:val="auto"/>
              </w:rPr>
            </w:pPr>
            <w:r>
              <w:rPr>
                <w:rFonts w:ascii="Times New Roman" w:cs="Times New Roman" w:eastAsia="Times New Roman" w:hAnsi="Times New Roman"/>
                <w:sz w:val="8"/>
                <w:szCs w:val="8"/>
                <w:b w:val="1"/>
                <w:bCs w:val="1"/>
                <w:color w:val="auto"/>
              </w:rPr>
              <w:t>Average common equity</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Average total equity</w:t>
            </w:r>
          </w:p>
        </w:tc>
        <w:tc>
          <w:tcPr>
            <w:tcW w:w="200" w:type="dxa"/>
            <w:vAlign w:val="bottom"/>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28,725</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27,745</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27,019</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26,500</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26,020</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Preferred stock</w:t>
            </w: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(2,565)</w:t>
            </w:r>
          </w:p>
        </w:tc>
        <w:tc>
          <w:tcPr>
            <w:tcW w:w="200" w:type="dxa"/>
            <w:vAlign w:val="bottom"/>
            <w:tcBorders>
              <w:bottom w:val="single" w:sz="8" w:color="E5F1EE"/>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(2,405)</w:t>
            </w:r>
          </w:p>
        </w:tc>
        <w:tc>
          <w:tcPr>
            <w:tcW w:w="220" w:type="dxa"/>
            <w:vAlign w:val="bottom"/>
            <w:tcBorders>
              <w:bottom w:val="single" w:sz="8" w:color="E5F1EE"/>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(2,011)</w:t>
            </w:r>
          </w:p>
        </w:tc>
        <w:tc>
          <w:tcPr>
            <w:tcW w:w="220" w:type="dxa"/>
            <w:vAlign w:val="bottom"/>
            <w:tcBorders>
              <w:bottom w:val="single" w:sz="8" w:color="E5F1E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(2,011)</w:t>
            </w:r>
          </w:p>
        </w:tc>
        <w:tc>
          <w:tcPr>
            <w:tcW w:w="220" w:type="dxa"/>
            <w:vAlign w:val="bottom"/>
            <w:tcBorders>
              <w:bottom w:val="single" w:sz="8" w:color="E5F1EE"/>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(2,011)</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Average common equity</w:t>
            </w:r>
          </w:p>
        </w:tc>
        <w:tc>
          <w:tcPr>
            <w:tcW w:w="200" w:type="dxa"/>
            <w:vAlign w:val="bottom"/>
            <w:shd w:val="clear" w:color="auto" w:fill="E5F1EE"/>
          </w:tcPr>
          <w:p>
            <w:pPr>
              <w:spacing w:after="0"/>
              <w:rPr>
                <w:sz w:val="9"/>
                <w:szCs w:val="9"/>
                <w:color w:val="auto"/>
              </w:rPr>
            </w:pPr>
          </w:p>
        </w:tc>
        <w:tc>
          <w:tcPr>
            <w:tcW w:w="980" w:type="dxa"/>
            <w:vAlign w:val="bottom"/>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26,160</w:t>
            </w:r>
          </w:p>
        </w:tc>
        <w:tc>
          <w:tcPr>
            <w:tcW w:w="200" w:type="dxa"/>
            <w:vAlign w:val="bottom"/>
            <w:shd w:val="clear" w:color="auto" w:fill="E5F1EE"/>
          </w:tcPr>
          <w:p>
            <w:pPr>
              <w:spacing w:after="0"/>
              <w:rPr>
                <w:sz w:val="9"/>
                <w:szCs w:val="9"/>
                <w:color w:val="auto"/>
              </w:rPr>
            </w:pPr>
          </w:p>
        </w:tc>
        <w:tc>
          <w:tcPr>
            <w:tcW w:w="260" w:type="dxa"/>
            <w:vAlign w:val="bottom"/>
            <w:shd w:val="clear" w:color="auto" w:fill="E5F1EE"/>
          </w:tcPr>
          <w:p>
            <w:pPr>
              <w:spacing w:after="0"/>
              <w:rPr>
                <w:sz w:val="9"/>
                <w:szCs w:val="9"/>
                <w:color w:val="auto"/>
              </w:rPr>
            </w:pPr>
          </w:p>
        </w:tc>
        <w:tc>
          <w:tcPr>
            <w:tcW w:w="9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25,340</w:t>
            </w:r>
          </w:p>
        </w:tc>
        <w:tc>
          <w:tcPr>
            <w:tcW w:w="220" w:type="dxa"/>
            <w:vAlign w:val="bottom"/>
            <w:shd w:val="clear" w:color="auto" w:fill="E5F1EE"/>
          </w:tcPr>
          <w:p>
            <w:pPr>
              <w:spacing w:after="0"/>
              <w:rPr>
                <w:sz w:val="9"/>
                <w:szCs w:val="9"/>
                <w:color w:val="auto"/>
              </w:rPr>
            </w:pPr>
          </w:p>
        </w:tc>
        <w:tc>
          <w:tcPr>
            <w:tcW w:w="160" w:type="dxa"/>
            <w:vAlign w:val="bottom"/>
            <w:shd w:val="clear" w:color="auto" w:fill="E5F1EE"/>
          </w:tcPr>
          <w:p>
            <w:pPr>
              <w:spacing w:after="0"/>
              <w:rPr>
                <w:sz w:val="9"/>
                <w:szCs w:val="9"/>
                <w:color w:val="auto"/>
              </w:rPr>
            </w:pPr>
          </w:p>
        </w:tc>
        <w:tc>
          <w:tcPr>
            <w:tcW w:w="102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25,008</w:t>
            </w:r>
          </w:p>
        </w:tc>
        <w:tc>
          <w:tcPr>
            <w:tcW w:w="220" w:type="dxa"/>
            <w:vAlign w:val="bottom"/>
            <w:shd w:val="clear" w:color="auto" w:fill="E5F1EE"/>
          </w:tcPr>
          <w:p>
            <w:pPr>
              <w:spacing w:after="0"/>
              <w:rPr>
                <w:sz w:val="9"/>
                <w:szCs w:val="9"/>
                <w:color w:val="auto"/>
              </w:rPr>
            </w:pPr>
          </w:p>
        </w:tc>
        <w:tc>
          <w:tcPr>
            <w:tcW w:w="200" w:type="dxa"/>
            <w:vAlign w:val="bottom"/>
            <w:shd w:val="clear" w:color="auto" w:fill="E5F1EE"/>
          </w:tcPr>
          <w:p>
            <w:pPr>
              <w:spacing w:after="0"/>
              <w:rPr>
                <w:sz w:val="9"/>
                <w:szCs w:val="9"/>
                <w:color w:val="auto"/>
              </w:rPr>
            </w:pPr>
          </w:p>
        </w:tc>
        <w:tc>
          <w:tcPr>
            <w:tcW w:w="98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24,489</w:t>
            </w:r>
          </w:p>
        </w:tc>
        <w:tc>
          <w:tcPr>
            <w:tcW w:w="220" w:type="dxa"/>
            <w:vAlign w:val="bottom"/>
            <w:shd w:val="clear" w:color="auto" w:fill="E5F1EE"/>
          </w:tcPr>
          <w:p>
            <w:pPr>
              <w:spacing w:after="0"/>
              <w:rPr>
                <w:sz w:val="9"/>
                <w:szCs w:val="9"/>
                <w:color w:val="auto"/>
              </w:rPr>
            </w:pPr>
          </w:p>
        </w:tc>
        <w:tc>
          <w:tcPr>
            <w:tcW w:w="140" w:type="dxa"/>
            <w:vAlign w:val="bottom"/>
            <w:shd w:val="clear" w:color="auto" w:fill="E5F1EE"/>
          </w:tcPr>
          <w:p>
            <w:pPr>
              <w:spacing w:after="0"/>
              <w:rPr>
                <w:sz w:val="9"/>
                <w:szCs w:val="9"/>
                <w:color w:val="auto"/>
              </w:rPr>
            </w:pPr>
          </w:p>
        </w:tc>
        <w:tc>
          <w:tcPr>
            <w:tcW w:w="1040" w:type="dxa"/>
            <w:vAlign w:val="bottom"/>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24,009</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Goodwill</w:t>
            </w: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Core deposit and other intangible assets</w:t>
            </w: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(113)</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spacing w:after="0"/>
              <w:rPr>
                <w:sz w:val="10"/>
                <w:szCs w:val="10"/>
                <w:color w:val="auto"/>
              </w:rPr>
            </w:pPr>
          </w:p>
        </w:tc>
        <w:tc>
          <w:tcPr>
            <w:tcW w:w="9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(126)</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10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(140)</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(154)</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spacing w:after="0"/>
              <w:rPr>
                <w:sz w:val="10"/>
                <w:szCs w:val="10"/>
                <w:color w:val="auto"/>
              </w:rPr>
            </w:pPr>
          </w:p>
        </w:tc>
        <w:tc>
          <w:tcPr>
            <w:tcW w:w="10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(170)</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Deferred taxes</w:t>
            </w: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28</w:t>
            </w:r>
          </w:p>
        </w:tc>
        <w:tc>
          <w:tcPr>
            <w:tcW w:w="200" w:type="dxa"/>
            <w:vAlign w:val="bottom"/>
            <w:tcBorders>
              <w:bottom w:val="single" w:sz="8" w:color="E5F1EE"/>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30</w:t>
            </w:r>
          </w:p>
        </w:tc>
        <w:tc>
          <w:tcPr>
            <w:tcW w:w="220" w:type="dxa"/>
            <w:vAlign w:val="bottom"/>
            <w:tcBorders>
              <w:bottom w:val="single" w:sz="8" w:color="E5F1EE"/>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33</w:t>
            </w:r>
          </w:p>
        </w:tc>
        <w:tc>
          <w:tcPr>
            <w:tcW w:w="220" w:type="dxa"/>
            <w:vAlign w:val="bottom"/>
            <w:tcBorders>
              <w:bottom w:val="single" w:sz="8" w:color="E5F1EE"/>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39</w:t>
            </w:r>
          </w:p>
        </w:tc>
        <w:tc>
          <w:tcPr>
            <w:tcW w:w="220" w:type="dxa"/>
            <w:vAlign w:val="bottom"/>
            <w:tcBorders>
              <w:bottom w:val="single" w:sz="8" w:color="E5F1EE"/>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43</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E5F1EE"/>
            </w:tcBorders>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Average tangible common equity</w:t>
            </w:r>
          </w:p>
        </w:tc>
        <w:tc>
          <w:tcPr>
            <w:tcW w:w="200" w:type="dxa"/>
            <w:vAlign w:val="bottom"/>
            <w:tcBorders>
              <w:bottom w:val="single" w:sz="8" w:color="auto"/>
            </w:tcBorders>
            <w:shd w:val="clear" w:color="auto" w:fill="E5F1EE"/>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17,610</w:t>
            </w:r>
          </w:p>
        </w:tc>
        <w:tc>
          <w:tcPr>
            <w:tcW w:w="200" w:type="dxa"/>
            <w:vAlign w:val="bottom"/>
            <w:tcBorders>
              <w:bottom w:val="single" w:sz="8" w:color="E5F1EE"/>
            </w:tcBorders>
            <w:shd w:val="clear" w:color="auto" w:fill="E5F1EE"/>
          </w:tcPr>
          <w:p>
            <w:pPr>
              <w:spacing w:after="0"/>
              <w:rPr>
                <w:sz w:val="11"/>
                <w:szCs w:val="11"/>
                <w:color w:val="auto"/>
              </w:rPr>
            </w:pPr>
          </w:p>
        </w:tc>
        <w:tc>
          <w:tcPr>
            <w:tcW w:w="260" w:type="dxa"/>
            <w:vAlign w:val="bottom"/>
            <w:tcBorders>
              <w:bottom w:val="single" w:sz="8" w:color="auto"/>
            </w:tcBorders>
            <w:shd w:val="clear" w:color="auto" w:fill="E5F1EE"/>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16,779</w:t>
            </w:r>
          </w:p>
        </w:tc>
        <w:tc>
          <w:tcPr>
            <w:tcW w:w="220" w:type="dxa"/>
            <w:vAlign w:val="bottom"/>
            <w:tcBorders>
              <w:bottom w:val="single" w:sz="8" w:color="E5F1EE"/>
            </w:tcBorders>
            <w:shd w:val="clear" w:color="auto" w:fill="E5F1EE"/>
          </w:tcPr>
          <w:p>
            <w:pPr>
              <w:spacing w:after="0"/>
              <w:rPr>
                <w:sz w:val="11"/>
                <w:szCs w:val="11"/>
                <w:color w:val="auto"/>
              </w:rPr>
            </w:pPr>
          </w:p>
        </w:tc>
        <w:tc>
          <w:tcPr>
            <w:tcW w:w="16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16,436</w:t>
            </w:r>
          </w:p>
        </w:tc>
        <w:tc>
          <w:tcPr>
            <w:tcW w:w="220" w:type="dxa"/>
            <w:vAlign w:val="bottom"/>
            <w:tcBorders>
              <w:bottom w:val="single" w:sz="8" w:color="E5F1EE"/>
            </w:tcBorders>
            <w:shd w:val="clear" w:color="auto" w:fill="E5F1EE"/>
          </w:tcPr>
          <w:p>
            <w:pPr>
              <w:spacing w:after="0"/>
              <w:rPr>
                <w:sz w:val="11"/>
                <w:szCs w:val="11"/>
                <w:color w:val="auto"/>
              </w:rPr>
            </w:pPr>
          </w:p>
        </w:tc>
        <w:tc>
          <w:tcPr>
            <w:tcW w:w="200" w:type="dxa"/>
            <w:vAlign w:val="bottom"/>
            <w:tcBorders>
              <w:bottom w:val="single" w:sz="8" w:color="auto"/>
            </w:tcBorders>
            <w:shd w:val="clear" w:color="auto" w:fill="E5F1EE"/>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15,909</w:t>
            </w:r>
          </w:p>
        </w:tc>
        <w:tc>
          <w:tcPr>
            <w:tcW w:w="220" w:type="dxa"/>
            <w:vAlign w:val="bottom"/>
            <w:tcBorders>
              <w:bottom w:val="single" w:sz="8" w:color="E5F1EE"/>
            </w:tcBorders>
            <w:shd w:val="clear" w:color="auto" w:fill="E5F1EE"/>
          </w:tcPr>
          <w:p>
            <w:pPr>
              <w:spacing w:after="0"/>
              <w:rPr>
                <w:sz w:val="11"/>
                <w:szCs w:val="11"/>
                <w:color w:val="auto"/>
              </w:rPr>
            </w:pPr>
          </w:p>
        </w:tc>
        <w:tc>
          <w:tcPr>
            <w:tcW w:w="1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15,417</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960" w:type="dxa"/>
            <w:vAlign w:val="bottom"/>
            <w:gridSpan w:val="2"/>
          </w:tcPr>
          <w:p>
            <w:pPr>
              <w:spacing w:after="0" w:line="89" w:lineRule="exact"/>
              <w:rPr>
                <w:sz w:val="20"/>
                <w:szCs w:val="20"/>
                <w:color w:val="auto"/>
              </w:rPr>
            </w:pPr>
            <w:r>
              <w:rPr>
                <w:rFonts w:ascii="Times New Roman" w:cs="Times New Roman" w:eastAsia="Times New Roman" w:hAnsi="Times New Roman"/>
                <w:sz w:val="8"/>
                <w:szCs w:val="8"/>
                <w:b w:val="1"/>
                <w:bCs w:val="1"/>
                <w:color w:val="auto"/>
              </w:rPr>
              <w:t>At end of quarter</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b w:val="1"/>
                <w:bCs w:val="1"/>
                <w:color w:val="auto"/>
              </w:rPr>
              <w:t>Total assets</w:t>
            </w: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spacing w:after="0"/>
              <w:rPr>
                <w:sz w:val="10"/>
                <w:szCs w:val="10"/>
                <w:color w:val="auto"/>
              </w:rPr>
            </w:pPr>
          </w:p>
        </w:tc>
        <w:tc>
          <w:tcPr>
            <w:tcW w:w="9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102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spacing w:after="0"/>
              <w:rPr>
                <w:sz w:val="10"/>
                <w:szCs w:val="10"/>
                <w:color w:val="auto"/>
              </w:rPr>
            </w:pP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spacing w:after="0"/>
              <w:rPr>
                <w:sz w:val="10"/>
                <w:szCs w:val="10"/>
                <w:color w:val="auto"/>
              </w:rPr>
            </w:pPr>
          </w:p>
        </w:tc>
        <w:tc>
          <w:tcPr>
            <w:tcW w:w="1040" w:type="dxa"/>
            <w:vAlign w:val="bottom"/>
            <w:shd w:val="clear" w:color="auto" w:fill="E5F1EE"/>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Total assets</w:t>
            </w: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211,785</w:t>
            </w:r>
          </w:p>
        </w:tc>
        <w:tc>
          <w:tcPr>
            <w:tcW w:w="200" w:type="dxa"/>
            <w:vAlign w:val="bottom"/>
          </w:tcPr>
          <w:p>
            <w:pPr>
              <w:spacing w:after="0"/>
              <w:rPr>
                <w:sz w:val="9"/>
                <w:szCs w:val="9"/>
                <w:color w:val="auto"/>
              </w:rPr>
            </w:pPr>
          </w:p>
        </w:tc>
        <w:tc>
          <w:tcPr>
            <w:tcW w:w="26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208,855</w:t>
            </w:r>
          </w:p>
        </w:tc>
        <w:tc>
          <w:tcPr>
            <w:tcW w:w="220" w:type="dxa"/>
            <w:vAlign w:val="bottom"/>
          </w:tcPr>
          <w:p>
            <w:pPr>
              <w:spacing w:after="0"/>
              <w:rPr>
                <w:sz w:val="9"/>
                <w:szCs w:val="9"/>
                <w:color w:val="auto"/>
              </w:rPr>
            </w:pPr>
          </w:p>
        </w:tc>
        <w:tc>
          <w:tcPr>
            <w:tcW w:w="1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215,137</w:t>
            </w:r>
          </w:p>
        </w:tc>
        <w:tc>
          <w:tcPr>
            <w:tcW w:w="220" w:type="dxa"/>
            <w:vAlign w:val="bottom"/>
          </w:tcPr>
          <w:p>
            <w:pPr>
              <w:spacing w:after="0"/>
              <w:rPr>
                <w:sz w:val="9"/>
                <w:szCs w:val="9"/>
                <w:color w:val="auto"/>
              </w:rPr>
            </w:pPr>
          </w:p>
        </w:tc>
        <w:tc>
          <w:tcPr>
            <w:tcW w:w="20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208,264</w:t>
            </w:r>
          </w:p>
        </w:tc>
        <w:tc>
          <w:tcPr>
            <w:tcW w:w="220" w:type="dxa"/>
            <w:vAlign w:val="bottom"/>
          </w:tcPr>
          <w:p>
            <w:pPr>
              <w:spacing w:after="0"/>
              <w:rPr>
                <w:sz w:val="9"/>
                <w:szCs w:val="9"/>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209,124</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Goodwill</w:t>
            </w: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spacing w:after="0"/>
              <w:rPr>
                <w:sz w:val="10"/>
                <w:szCs w:val="10"/>
                <w:color w:val="auto"/>
              </w:rPr>
            </w:pPr>
          </w:p>
        </w:tc>
        <w:tc>
          <w:tcPr>
            <w:tcW w:w="9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10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spacing w:after="0"/>
              <w:rPr>
                <w:sz w:val="10"/>
                <w:szCs w:val="10"/>
                <w:color w:val="auto"/>
              </w:rPr>
            </w:pPr>
          </w:p>
        </w:tc>
        <w:tc>
          <w:tcPr>
            <w:tcW w:w="10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Core deposit and other intangible assets</w:t>
            </w: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(107)</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(119)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(132)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(147)</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(162)</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Deferred taxes</w:t>
            </w:r>
          </w:p>
        </w:tc>
        <w:tc>
          <w:tcPr>
            <w:tcW w:w="200" w:type="dxa"/>
            <w:vAlign w:val="bottom"/>
            <w:tcBorders>
              <w:bottom w:val="single" w:sz="8" w:color="auto"/>
            </w:tcBorders>
            <w:shd w:val="clear" w:color="auto" w:fill="E5F1EE"/>
          </w:tcPr>
          <w:p>
            <w:pPr>
              <w:spacing w:after="0"/>
              <w:rPr>
                <w:sz w:val="10"/>
                <w:szCs w:val="10"/>
                <w:color w:val="auto"/>
              </w:rPr>
            </w:pP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30</w:t>
            </w:r>
          </w:p>
        </w:tc>
        <w:tc>
          <w:tcPr>
            <w:tcW w:w="200" w:type="dxa"/>
            <w:vAlign w:val="bottom"/>
            <w:shd w:val="clear" w:color="auto" w:fill="E5F1EE"/>
          </w:tcPr>
          <w:p>
            <w:pPr>
              <w:spacing w:after="0"/>
              <w:rPr>
                <w:sz w:val="10"/>
                <w:szCs w:val="10"/>
                <w:color w:val="auto"/>
              </w:rPr>
            </w:pPr>
          </w:p>
        </w:tc>
        <w:tc>
          <w:tcPr>
            <w:tcW w:w="260" w:type="dxa"/>
            <w:vAlign w:val="bottom"/>
            <w:tcBorders>
              <w:bottom w:val="single" w:sz="8" w:color="auto"/>
            </w:tcBorders>
            <w:shd w:val="clear" w:color="auto" w:fill="E5F1EE"/>
          </w:tcPr>
          <w:p>
            <w:pPr>
              <w:spacing w:after="0"/>
              <w:rPr>
                <w:sz w:val="10"/>
                <w:szCs w:val="10"/>
                <w:color w:val="auto"/>
              </w:rPr>
            </w:pP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31</w:t>
            </w:r>
          </w:p>
        </w:tc>
        <w:tc>
          <w:tcPr>
            <w:tcW w:w="220" w:type="dxa"/>
            <w:vAlign w:val="bottom"/>
            <w:shd w:val="clear" w:color="auto" w:fill="E5F1EE"/>
          </w:tcPr>
          <w:p>
            <w:pPr>
              <w:spacing w:after="0"/>
              <w:rPr>
                <w:sz w:val="10"/>
                <w:szCs w:val="10"/>
                <w:color w:val="auto"/>
              </w:rPr>
            </w:pPr>
          </w:p>
        </w:tc>
        <w:tc>
          <w:tcPr>
            <w:tcW w:w="160" w:type="dxa"/>
            <w:vAlign w:val="bottom"/>
            <w:tcBorders>
              <w:bottom w:val="single" w:sz="8" w:color="auto"/>
            </w:tcBorders>
            <w:shd w:val="clear" w:color="auto" w:fill="E5F1EE"/>
          </w:tcPr>
          <w:p>
            <w:pPr>
              <w:spacing w:after="0"/>
              <w:rPr>
                <w:sz w:val="10"/>
                <w:szCs w:val="10"/>
                <w:color w:val="auto"/>
              </w:rPr>
            </w:pP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34</w:t>
            </w:r>
          </w:p>
        </w:tc>
        <w:tc>
          <w:tcPr>
            <w:tcW w:w="220" w:type="dxa"/>
            <w:vAlign w:val="bottom"/>
            <w:shd w:val="clear" w:color="auto" w:fill="E5F1EE"/>
          </w:tcPr>
          <w:p>
            <w:pPr>
              <w:spacing w:after="0"/>
              <w:rPr>
                <w:sz w:val="10"/>
                <w:szCs w:val="10"/>
                <w:color w:val="auto"/>
              </w:rPr>
            </w:pPr>
          </w:p>
        </w:tc>
        <w:tc>
          <w:tcPr>
            <w:tcW w:w="200" w:type="dxa"/>
            <w:vAlign w:val="bottom"/>
            <w:tcBorders>
              <w:bottom w:val="single" w:sz="8" w:color="auto"/>
            </w:tcBorders>
            <w:shd w:val="clear" w:color="auto" w:fill="E5F1EE"/>
          </w:tcPr>
          <w:p>
            <w:pPr>
              <w:spacing w:after="0"/>
              <w:rPr>
                <w:sz w:val="10"/>
                <w:szCs w:val="10"/>
                <w:color w:val="auto"/>
              </w:rPr>
            </w:pP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37</w:t>
            </w:r>
          </w:p>
        </w:tc>
        <w:tc>
          <w:tcPr>
            <w:tcW w:w="220" w:type="dxa"/>
            <w:vAlign w:val="bottom"/>
            <w:shd w:val="clear" w:color="auto" w:fill="E5F1EE"/>
          </w:tcPr>
          <w:p>
            <w:pPr>
              <w:spacing w:after="0"/>
              <w:rPr>
                <w:sz w:val="10"/>
                <w:szCs w:val="10"/>
                <w:color w:val="auto"/>
              </w:rPr>
            </w:pPr>
          </w:p>
        </w:tc>
        <w:tc>
          <w:tcPr>
            <w:tcW w:w="140" w:type="dxa"/>
            <w:vAlign w:val="bottom"/>
            <w:tcBorders>
              <w:bottom w:val="single" w:sz="8" w:color="auto"/>
            </w:tcBorders>
            <w:shd w:val="clear" w:color="auto" w:fill="E5F1EE"/>
          </w:tcPr>
          <w:p>
            <w:pPr>
              <w:spacing w:after="0"/>
              <w:rPr>
                <w:sz w:val="10"/>
                <w:szCs w:val="10"/>
                <w:color w:val="auto"/>
              </w:rPr>
            </w:pP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41</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960" w:type="dxa"/>
            <w:vAlign w:val="bottom"/>
            <w:tcBorders>
              <w:bottom w:val="single" w:sz="8" w:color="E5F1EE"/>
            </w:tcBorders>
            <w:gridSpan w:val="2"/>
          </w:tcPr>
          <w:p>
            <w:pPr>
              <w:spacing w:after="0"/>
              <w:rPr>
                <w:sz w:val="20"/>
                <w:szCs w:val="20"/>
                <w:color w:val="auto"/>
              </w:rPr>
            </w:pPr>
            <w:r>
              <w:rPr>
                <w:rFonts w:ascii="Times New Roman" w:cs="Times New Roman" w:eastAsia="Times New Roman" w:hAnsi="Times New Roman"/>
                <w:sz w:val="8"/>
                <w:szCs w:val="8"/>
                <w:color w:val="auto"/>
              </w:rPr>
              <w:t>Total tangible assets</w:t>
            </w:r>
          </w:p>
        </w:tc>
        <w:tc>
          <w:tcPr>
            <w:tcW w:w="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203,243</w:t>
            </w:r>
          </w:p>
        </w:tc>
        <w:tc>
          <w:tcPr>
            <w:tcW w:w="200" w:type="dxa"/>
            <w:vAlign w:val="bottom"/>
            <w:tcBorders>
              <w:bottom w:val="single" w:sz="8" w:color="E5F1EE"/>
            </w:tcBorders>
          </w:tcPr>
          <w:p>
            <w:pPr>
              <w:spacing w:after="0"/>
              <w:rPr>
                <w:sz w:val="10"/>
                <w:szCs w:val="10"/>
                <w:color w:val="auto"/>
              </w:rPr>
            </w:pPr>
          </w:p>
        </w:tc>
        <w:tc>
          <w:tcPr>
            <w:tcW w:w="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200,302</w:t>
            </w:r>
          </w:p>
        </w:tc>
        <w:tc>
          <w:tcPr>
            <w:tcW w:w="220" w:type="dxa"/>
            <w:vAlign w:val="bottom"/>
            <w:tcBorders>
              <w:bottom w:val="single" w:sz="8" w:color="E5F1EE"/>
            </w:tcBorders>
          </w:tcPr>
          <w:p>
            <w:pPr>
              <w:spacing w:after="0"/>
              <w:rPr>
                <w:sz w:val="10"/>
                <w:szCs w:val="10"/>
                <w:color w:val="auto"/>
              </w:rPr>
            </w:pPr>
          </w:p>
        </w:tc>
        <w:tc>
          <w:tcPr>
            <w:tcW w:w="1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206,574</w:t>
            </w:r>
          </w:p>
        </w:tc>
        <w:tc>
          <w:tcPr>
            <w:tcW w:w="220" w:type="dxa"/>
            <w:vAlign w:val="bottom"/>
            <w:tcBorders>
              <w:bottom w:val="single" w:sz="8" w:color="E5F1EE"/>
            </w:tcBorders>
          </w:tcPr>
          <w:p>
            <w:pPr>
              <w:spacing w:after="0"/>
              <w:rPr>
                <w:sz w:val="10"/>
                <w:szCs w:val="10"/>
                <w:color w:val="auto"/>
              </w:rPr>
            </w:pPr>
          </w:p>
        </w:tc>
        <w:tc>
          <w:tcPr>
            <w:tcW w:w="2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199,689</w:t>
            </w:r>
          </w:p>
        </w:tc>
        <w:tc>
          <w:tcPr>
            <w:tcW w:w="220" w:type="dxa"/>
            <w:vAlign w:val="bottom"/>
            <w:tcBorders>
              <w:bottom w:val="single" w:sz="8" w:color="E5F1EE"/>
            </w:tcBorders>
          </w:tcPr>
          <w:p>
            <w:pPr>
              <w:spacing w:after="0"/>
              <w:rPr>
                <w:sz w:val="10"/>
                <w:szCs w:val="10"/>
                <w:color w:val="auto"/>
              </w:rPr>
            </w:pPr>
          </w:p>
        </w:tc>
        <w:tc>
          <w:tcPr>
            <w:tcW w:w="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200,538</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960" w:type="dxa"/>
            <w:vAlign w:val="bottom"/>
            <w:gridSpan w:val="2"/>
            <w:shd w:val="clear" w:color="auto" w:fill="E5F1EE"/>
          </w:tcPr>
          <w:p>
            <w:pPr>
              <w:spacing w:after="0" w:line="89" w:lineRule="exact"/>
              <w:rPr>
                <w:sz w:val="20"/>
                <w:szCs w:val="20"/>
                <w:color w:val="auto"/>
              </w:rPr>
            </w:pPr>
            <w:r>
              <w:rPr>
                <w:rFonts w:ascii="Times New Roman" w:cs="Times New Roman" w:eastAsia="Times New Roman" w:hAnsi="Times New Roman"/>
                <w:sz w:val="8"/>
                <w:szCs w:val="8"/>
                <w:b w:val="1"/>
                <w:bCs w:val="1"/>
                <w:color w:val="auto"/>
              </w:rPr>
              <w:t>Total common equity</w:t>
            </w:r>
          </w:p>
        </w:tc>
        <w:tc>
          <w:tcPr>
            <w:tcW w:w="200" w:type="dxa"/>
            <w:vAlign w:val="bottom"/>
            <w:shd w:val="clear" w:color="auto" w:fill="E5F1EE"/>
          </w:tcPr>
          <w:p>
            <w:pPr>
              <w:spacing w:after="0"/>
              <w:rPr>
                <w:sz w:val="8"/>
                <w:szCs w:val="8"/>
                <w:color w:val="auto"/>
              </w:rPr>
            </w:pPr>
          </w:p>
        </w:tc>
        <w:tc>
          <w:tcPr>
            <w:tcW w:w="980" w:type="dxa"/>
            <w:vAlign w:val="bottom"/>
            <w:shd w:val="clear" w:color="auto" w:fill="E5F1EE"/>
          </w:tcPr>
          <w:p>
            <w:pPr>
              <w:spacing w:after="0"/>
              <w:rPr>
                <w:sz w:val="8"/>
                <w:szCs w:val="8"/>
                <w:color w:val="auto"/>
              </w:rPr>
            </w:pPr>
          </w:p>
        </w:tc>
        <w:tc>
          <w:tcPr>
            <w:tcW w:w="200" w:type="dxa"/>
            <w:vAlign w:val="bottom"/>
            <w:shd w:val="clear" w:color="auto" w:fill="E5F1EE"/>
          </w:tcPr>
          <w:p>
            <w:pPr>
              <w:spacing w:after="0"/>
              <w:rPr>
                <w:sz w:val="8"/>
                <w:szCs w:val="8"/>
                <w:color w:val="auto"/>
              </w:rPr>
            </w:pPr>
          </w:p>
        </w:tc>
        <w:tc>
          <w:tcPr>
            <w:tcW w:w="260" w:type="dxa"/>
            <w:vAlign w:val="bottom"/>
            <w:shd w:val="clear" w:color="auto" w:fill="E5F1EE"/>
          </w:tcPr>
          <w:p>
            <w:pPr>
              <w:spacing w:after="0"/>
              <w:rPr>
                <w:sz w:val="8"/>
                <w:szCs w:val="8"/>
                <w:color w:val="auto"/>
              </w:rPr>
            </w:pPr>
          </w:p>
        </w:tc>
        <w:tc>
          <w:tcPr>
            <w:tcW w:w="920" w:type="dxa"/>
            <w:vAlign w:val="bottom"/>
            <w:shd w:val="clear" w:color="auto" w:fill="E5F1EE"/>
          </w:tcPr>
          <w:p>
            <w:pPr>
              <w:spacing w:after="0"/>
              <w:rPr>
                <w:sz w:val="8"/>
                <w:szCs w:val="8"/>
                <w:color w:val="auto"/>
              </w:rPr>
            </w:pPr>
          </w:p>
        </w:tc>
        <w:tc>
          <w:tcPr>
            <w:tcW w:w="220" w:type="dxa"/>
            <w:vAlign w:val="bottom"/>
            <w:shd w:val="clear" w:color="auto" w:fill="E5F1EE"/>
          </w:tcPr>
          <w:p>
            <w:pPr>
              <w:spacing w:after="0"/>
              <w:rPr>
                <w:sz w:val="8"/>
                <w:szCs w:val="8"/>
                <w:color w:val="auto"/>
              </w:rPr>
            </w:pPr>
          </w:p>
        </w:tc>
        <w:tc>
          <w:tcPr>
            <w:tcW w:w="160" w:type="dxa"/>
            <w:vAlign w:val="bottom"/>
            <w:shd w:val="clear" w:color="auto" w:fill="E5F1EE"/>
          </w:tcPr>
          <w:p>
            <w:pPr>
              <w:spacing w:after="0"/>
              <w:rPr>
                <w:sz w:val="8"/>
                <w:szCs w:val="8"/>
                <w:color w:val="auto"/>
              </w:rPr>
            </w:pPr>
          </w:p>
        </w:tc>
        <w:tc>
          <w:tcPr>
            <w:tcW w:w="1020" w:type="dxa"/>
            <w:vAlign w:val="bottom"/>
            <w:shd w:val="clear" w:color="auto" w:fill="E5F1EE"/>
          </w:tcPr>
          <w:p>
            <w:pPr>
              <w:spacing w:after="0"/>
              <w:rPr>
                <w:sz w:val="8"/>
                <w:szCs w:val="8"/>
                <w:color w:val="auto"/>
              </w:rPr>
            </w:pPr>
          </w:p>
        </w:tc>
        <w:tc>
          <w:tcPr>
            <w:tcW w:w="220" w:type="dxa"/>
            <w:vAlign w:val="bottom"/>
            <w:shd w:val="clear" w:color="auto" w:fill="E5F1EE"/>
          </w:tcPr>
          <w:p>
            <w:pPr>
              <w:spacing w:after="0"/>
              <w:rPr>
                <w:sz w:val="8"/>
                <w:szCs w:val="8"/>
                <w:color w:val="auto"/>
              </w:rPr>
            </w:pPr>
          </w:p>
        </w:tc>
        <w:tc>
          <w:tcPr>
            <w:tcW w:w="200" w:type="dxa"/>
            <w:vAlign w:val="bottom"/>
            <w:shd w:val="clear" w:color="auto" w:fill="E5F1EE"/>
          </w:tcPr>
          <w:p>
            <w:pPr>
              <w:spacing w:after="0"/>
              <w:rPr>
                <w:sz w:val="8"/>
                <w:szCs w:val="8"/>
                <w:color w:val="auto"/>
              </w:rPr>
            </w:pPr>
          </w:p>
        </w:tc>
        <w:tc>
          <w:tcPr>
            <w:tcW w:w="980" w:type="dxa"/>
            <w:vAlign w:val="bottom"/>
            <w:shd w:val="clear" w:color="auto" w:fill="E5F1EE"/>
          </w:tcPr>
          <w:p>
            <w:pPr>
              <w:spacing w:after="0"/>
              <w:rPr>
                <w:sz w:val="8"/>
                <w:szCs w:val="8"/>
                <w:color w:val="auto"/>
              </w:rPr>
            </w:pPr>
          </w:p>
        </w:tc>
        <w:tc>
          <w:tcPr>
            <w:tcW w:w="220" w:type="dxa"/>
            <w:vAlign w:val="bottom"/>
            <w:shd w:val="clear" w:color="auto" w:fill="E5F1EE"/>
          </w:tcPr>
          <w:p>
            <w:pPr>
              <w:spacing w:after="0"/>
              <w:rPr>
                <w:sz w:val="8"/>
                <w:szCs w:val="8"/>
                <w:color w:val="auto"/>
              </w:rPr>
            </w:pPr>
          </w:p>
        </w:tc>
        <w:tc>
          <w:tcPr>
            <w:tcW w:w="140" w:type="dxa"/>
            <w:vAlign w:val="bottom"/>
            <w:shd w:val="clear" w:color="auto" w:fill="E5F1EE"/>
          </w:tcPr>
          <w:p>
            <w:pPr>
              <w:spacing w:after="0"/>
              <w:rPr>
                <w:sz w:val="8"/>
                <w:szCs w:val="8"/>
                <w:color w:val="auto"/>
              </w:rPr>
            </w:pPr>
          </w:p>
        </w:tc>
        <w:tc>
          <w:tcPr>
            <w:tcW w:w="1040" w:type="dxa"/>
            <w:vAlign w:val="bottom"/>
            <w:shd w:val="clear" w:color="auto" w:fill="E5F1E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Total equity</w:t>
            </w:r>
          </w:p>
        </w:tc>
        <w:tc>
          <w:tcPr>
            <w:tcW w:w="200" w:type="dxa"/>
            <w:vAlign w:val="bottom"/>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28,876</w:t>
            </w:r>
          </w:p>
        </w:tc>
        <w:tc>
          <w:tcPr>
            <w:tcW w:w="200" w:type="dxa"/>
            <w:vAlign w:val="bottom"/>
          </w:tcPr>
          <w:p>
            <w:pPr>
              <w:spacing w:after="0"/>
              <w:rPr>
                <w:sz w:val="9"/>
                <w:szCs w:val="9"/>
                <w:color w:val="auto"/>
              </w:rPr>
            </w:pPr>
          </w:p>
        </w:tc>
        <w:tc>
          <w:tcPr>
            <w:tcW w:w="26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28,424</w:t>
            </w:r>
          </w:p>
        </w:tc>
        <w:tc>
          <w:tcPr>
            <w:tcW w:w="220" w:type="dxa"/>
            <w:vAlign w:val="bottom"/>
          </w:tcPr>
          <w:p>
            <w:pPr>
              <w:spacing w:after="0"/>
              <w:rPr>
                <w:sz w:val="9"/>
                <w:szCs w:val="9"/>
                <w:color w:val="auto"/>
              </w:rPr>
            </w:pPr>
          </w:p>
        </w:tc>
        <w:tc>
          <w:tcPr>
            <w:tcW w:w="16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27,169</w:t>
            </w:r>
          </w:p>
        </w:tc>
        <w:tc>
          <w:tcPr>
            <w:tcW w:w="220" w:type="dxa"/>
            <w:vAlign w:val="bottom"/>
          </w:tcPr>
          <w:p>
            <w:pPr>
              <w:spacing w:after="0"/>
              <w:rPr>
                <w:sz w:val="9"/>
                <w:szCs w:val="9"/>
                <w:color w:val="auto"/>
              </w:rPr>
            </w:pPr>
          </w:p>
        </w:tc>
        <w:tc>
          <w:tcPr>
            <w:tcW w:w="200" w:type="dxa"/>
            <w:vAlign w:val="bottom"/>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26,957</w:t>
            </w:r>
          </w:p>
        </w:tc>
        <w:tc>
          <w:tcPr>
            <w:tcW w:w="220" w:type="dxa"/>
            <w:vAlign w:val="bottom"/>
          </w:tcPr>
          <w:p>
            <w:pPr>
              <w:spacing w:after="0"/>
              <w:rPr>
                <w:sz w:val="9"/>
                <w:szCs w:val="9"/>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26,197</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Preferred stock</w:t>
            </w:r>
          </w:p>
        </w:tc>
        <w:tc>
          <w:tcPr>
            <w:tcW w:w="200" w:type="dxa"/>
            <w:vAlign w:val="bottom"/>
            <w:tcBorders>
              <w:bottom w:val="single" w:sz="8" w:color="auto"/>
            </w:tcBorders>
            <w:shd w:val="clear" w:color="auto" w:fill="E5F1EE"/>
          </w:tcPr>
          <w:p>
            <w:pPr>
              <w:spacing w:after="0"/>
              <w:rPr>
                <w:sz w:val="10"/>
                <w:szCs w:val="10"/>
                <w:color w:val="auto"/>
              </w:rPr>
            </w:pPr>
          </w:p>
        </w:tc>
        <w:tc>
          <w:tcPr>
            <w:tcW w:w="98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(2,394)</w:t>
            </w:r>
          </w:p>
        </w:tc>
        <w:tc>
          <w:tcPr>
            <w:tcW w:w="200" w:type="dxa"/>
            <w:vAlign w:val="bottom"/>
            <w:shd w:val="clear" w:color="auto" w:fill="E5F1EE"/>
          </w:tcPr>
          <w:p>
            <w:pPr>
              <w:spacing w:after="0"/>
              <w:rPr>
                <w:sz w:val="10"/>
                <w:szCs w:val="10"/>
                <w:color w:val="auto"/>
              </w:rPr>
            </w:pPr>
          </w:p>
        </w:tc>
        <w:tc>
          <w:tcPr>
            <w:tcW w:w="260" w:type="dxa"/>
            <w:vAlign w:val="bottom"/>
            <w:tcBorders>
              <w:bottom w:val="single" w:sz="8" w:color="auto"/>
            </w:tcBorders>
            <w:shd w:val="clear" w:color="auto" w:fill="E5F1EE"/>
          </w:tcPr>
          <w:p>
            <w:pPr>
              <w:spacing w:after="0"/>
              <w:rPr>
                <w:sz w:val="10"/>
                <w:szCs w:val="10"/>
                <w:color w:val="auto"/>
              </w:rPr>
            </w:pPr>
          </w:p>
        </w:tc>
        <w:tc>
          <w:tcPr>
            <w:tcW w:w="92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(2,744)</w:t>
            </w:r>
          </w:p>
        </w:tc>
        <w:tc>
          <w:tcPr>
            <w:tcW w:w="220" w:type="dxa"/>
            <w:vAlign w:val="bottom"/>
            <w:shd w:val="clear" w:color="auto" w:fill="E5F1EE"/>
          </w:tcPr>
          <w:p>
            <w:pPr>
              <w:spacing w:after="0"/>
              <w:rPr>
                <w:sz w:val="10"/>
                <w:szCs w:val="10"/>
                <w:color w:val="auto"/>
              </w:rPr>
            </w:pPr>
          </w:p>
        </w:tc>
        <w:tc>
          <w:tcPr>
            <w:tcW w:w="160" w:type="dxa"/>
            <w:vAlign w:val="bottom"/>
            <w:tcBorders>
              <w:bottom w:val="single" w:sz="8" w:color="auto"/>
            </w:tcBorders>
            <w:shd w:val="clear" w:color="auto" w:fill="E5F1EE"/>
          </w:tcPr>
          <w:p>
            <w:pPr>
              <w:spacing w:after="0"/>
              <w:rPr>
                <w:sz w:val="10"/>
                <w:szCs w:val="10"/>
                <w:color w:val="auto"/>
              </w:rPr>
            </w:pPr>
          </w:p>
        </w:tc>
        <w:tc>
          <w:tcPr>
            <w:tcW w:w="102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(2,011)</w:t>
            </w:r>
          </w:p>
        </w:tc>
        <w:tc>
          <w:tcPr>
            <w:tcW w:w="220" w:type="dxa"/>
            <w:vAlign w:val="bottom"/>
            <w:shd w:val="clear" w:color="auto" w:fill="E5F1EE"/>
          </w:tcPr>
          <w:p>
            <w:pPr>
              <w:spacing w:after="0"/>
              <w:rPr>
                <w:sz w:val="10"/>
                <w:szCs w:val="10"/>
                <w:color w:val="auto"/>
              </w:rPr>
            </w:pPr>
          </w:p>
        </w:tc>
        <w:tc>
          <w:tcPr>
            <w:tcW w:w="200" w:type="dxa"/>
            <w:vAlign w:val="bottom"/>
            <w:tcBorders>
              <w:bottom w:val="single" w:sz="8" w:color="auto"/>
            </w:tcBorders>
            <w:shd w:val="clear" w:color="auto" w:fill="E5F1EE"/>
          </w:tcPr>
          <w:p>
            <w:pPr>
              <w:spacing w:after="0"/>
              <w:rPr>
                <w:sz w:val="10"/>
                <w:szCs w:val="10"/>
                <w:color w:val="auto"/>
              </w:rPr>
            </w:pPr>
          </w:p>
        </w:tc>
        <w:tc>
          <w:tcPr>
            <w:tcW w:w="98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(2,011)</w:t>
            </w:r>
          </w:p>
        </w:tc>
        <w:tc>
          <w:tcPr>
            <w:tcW w:w="220" w:type="dxa"/>
            <w:vAlign w:val="bottom"/>
            <w:shd w:val="clear" w:color="auto" w:fill="E5F1EE"/>
          </w:tcPr>
          <w:p>
            <w:pPr>
              <w:spacing w:after="0"/>
              <w:rPr>
                <w:sz w:val="10"/>
                <w:szCs w:val="10"/>
                <w:color w:val="auto"/>
              </w:rPr>
            </w:pPr>
          </w:p>
        </w:tc>
        <w:tc>
          <w:tcPr>
            <w:tcW w:w="140" w:type="dxa"/>
            <w:vAlign w:val="bottom"/>
            <w:tcBorders>
              <w:bottom w:val="single" w:sz="8" w:color="auto"/>
            </w:tcBorders>
            <w:shd w:val="clear" w:color="auto" w:fill="E5F1EE"/>
          </w:tcPr>
          <w:p>
            <w:pPr>
              <w:spacing w:after="0"/>
              <w:rPr>
                <w:sz w:val="10"/>
                <w:szCs w:val="10"/>
                <w:color w:val="auto"/>
              </w:rPr>
            </w:pPr>
          </w:p>
        </w:tc>
        <w:tc>
          <w:tcPr>
            <w:tcW w:w="1040" w:type="dxa"/>
            <w:vAlign w:val="bottom"/>
            <w:tcBorders>
              <w:bottom w:val="single" w:sz="8" w:color="auto"/>
            </w:tcBorders>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(2,011)</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960" w:type="dxa"/>
            <w:vAlign w:val="bottom"/>
            <w:gridSpan w:val="2"/>
          </w:tcPr>
          <w:p>
            <w:pPr>
              <w:spacing w:after="0" w:line="87" w:lineRule="exact"/>
              <w:rPr>
                <w:sz w:val="20"/>
                <w:szCs w:val="20"/>
                <w:color w:val="auto"/>
              </w:rPr>
            </w:pPr>
            <w:r>
              <w:rPr>
                <w:rFonts w:ascii="Times New Roman" w:cs="Times New Roman" w:eastAsia="Times New Roman" w:hAnsi="Times New Roman"/>
                <w:sz w:val="8"/>
                <w:szCs w:val="8"/>
                <w:color w:val="auto"/>
              </w:rPr>
              <w:t>Common equity</w:t>
            </w:r>
          </w:p>
        </w:tc>
        <w:tc>
          <w:tcPr>
            <w:tcW w:w="200" w:type="dxa"/>
            <w:vAlign w:val="bottom"/>
          </w:tcPr>
          <w:p>
            <w:pPr>
              <w:spacing w:after="0"/>
              <w:rPr>
                <w:sz w:val="8"/>
                <w:szCs w:val="8"/>
                <w:color w:val="auto"/>
              </w:rPr>
            </w:pPr>
          </w:p>
        </w:tc>
        <w:tc>
          <w:tcPr>
            <w:tcW w:w="980" w:type="dxa"/>
            <w:vAlign w:val="bottom"/>
          </w:tcPr>
          <w:p>
            <w:pPr>
              <w:jc w:val="right"/>
              <w:ind w:right="78"/>
              <w:spacing w:after="0"/>
              <w:rPr>
                <w:sz w:val="20"/>
                <w:szCs w:val="20"/>
                <w:color w:val="auto"/>
              </w:rPr>
            </w:pPr>
            <w:r>
              <w:rPr>
                <w:rFonts w:ascii="Times New Roman" w:cs="Times New Roman" w:eastAsia="Times New Roman" w:hAnsi="Times New Roman"/>
                <w:sz w:val="8"/>
                <w:szCs w:val="8"/>
                <w:color w:val="auto"/>
              </w:rPr>
              <w:t>26,482</w:t>
            </w: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25,680</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25,158</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24,946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8"/>
                <w:szCs w:val="8"/>
                <w:color w:val="auto"/>
              </w:rPr>
              <w:t>24,186</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Goodwill</w:t>
            </w: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00" w:type="dxa"/>
            <w:vAlign w:val="bottom"/>
            <w:shd w:val="clear" w:color="auto" w:fill="E5F1EE"/>
          </w:tcPr>
          <w:p>
            <w:pPr>
              <w:spacing w:after="0"/>
              <w:rPr>
                <w:sz w:val="10"/>
                <w:szCs w:val="10"/>
                <w:color w:val="auto"/>
              </w:rPr>
            </w:pPr>
          </w:p>
        </w:tc>
        <w:tc>
          <w:tcPr>
            <w:tcW w:w="260" w:type="dxa"/>
            <w:vAlign w:val="bottom"/>
            <w:shd w:val="clear" w:color="auto" w:fill="E5F1EE"/>
          </w:tcPr>
          <w:p>
            <w:pPr>
              <w:spacing w:after="0"/>
              <w:rPr>
                <w:sz w:val="10"/>
                <w:szCs w:val="10"/>
                <w:color w:val="auto"/>
              </w:rPr>
            </w:pPr>
          </w:p>
        </w:tc>
        <w:tc>
          <w:tcPr>
            <w:tcW w:w="9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shd w:val="clear" w:color="auto" w:fill="E5F1EE"/>
          </w:tcPr>
          <w:p>
            <w:pPr>
              <w:spacing w:after="0"/>
              <w:rPr>
                <w:sz w:val="10"/>
                <w:szCs w:val="10"/>
                <w:color w:val="auto"/>
              </w:rPr>
            </w:pPr>
          </w:p>
        </w:tc>
        <w:tc>
          <w:tcPr>
            <w:tcW w:w="160" w:type="dxa"/>
            <w:vAlign w:val="bottom"/>
            <w:shd w:val="clear" w:color="auto" w:fill="E5F1EE"/>
          </w:tcPr>
          <w:p>
            <w:pPr>
              <w:spacing w:after="0"/>
              <w:rPr>
                <w:sz w:val="10"/>
                <w:szCs w:val="10"/>
                <w:color w:val="auto"/>
              </w:rPr>
            </w:pPr>
          </w:p>
        </w:tc>
        <w:tc>
          <w:tcPr>
            <w:tcW w:w="102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shd w:val="clear" w:color="auto" w:fill="E5F1EE"/>
          </w:tcPr>
          <w:p>
            <w:pPr>
              <w:spacing w:after="0"/>
              <w:rPr>
                <w:sz w:val="10"/>
                <w:szCs w:val="10"/>
                <w:color w:val="auto"/>
              </w:rPr>
            </w:pPr>
          </w:p>
        </w:tc>
        <w:tc>
          <w:tcPr>
            <w:tcW w:w="200" w:type="dxa"/>
            <w:vAlign w:val="bottom"/>
            <w:shd w:val="clear" w:color="auto" w:fill="E5F1EE"/>
          </w:tcPr>
          <w:p>
            <w:pPr>
              <w:spacing w:after="0"/>
              <w:rPr>
                <w:sz w:val="10"/>
                <w:szCs w:val="10"/>
                <w:color w:val="auto"/>
              </w:rPr>
            </w:pPr>
          </w:p>
        </w:tc>
        <w:tc>
          <w:tcPr>
            <w:tcW w:w="98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220" w:type="dxa"/>
            <w:vAlign w:val="bottom"/>
            <w:shd w:val="clear" w:color="auto" w:fill="E5F1EE"/>
          </w:tcPr>
          <w:p>
            <w:pPr>
              <w:spacing w:after="0"/>
              <w:rPr>
                <w:sz w:val="10"/>
                <w:szCs w:val="10"/>
                <w:color w:val="auto"/>
              </w:rPr>
            </w:pPr>
          </w:p>
        </w:tc>
        <w:tc>
          <w:tcPr>
            <w:tcW w:w="140" w:type="dxa"/>
            <w:vAlign w:val="bottom"/>
            <w:shd w:val="clear" w:color="auto" w:fill="E5F1EE"/>
          </w:tcPr>
          <w:p>
            <w:pPr>
              <w:spacing w:after="0"/>
              <w:rPr>
                <w:sz w:val="10"/>
                <w:szCs w:val="10"/>
                <w:color w:val="auto"/>
              </w:rPr>
            </w:pPr>
          </w:p>
        </w:tc>
        <w:tc>
          <w:tcPr>
            <w:tcW w:w="1040" w:type="dxa"/>
            <w:vAlign w:val="bottom"/>
            <w:shd w:val="clear" w:color="auto" w:fill="E5F1EE"/>
          </w:tcPr>
          <w:p>
            <w:pPr>
              <w:jc w:val="right"/>
              <w:ind w:right="38"/>
              <w:spacing w:after="0"/>
              <w:rPr>
                <w:sz w:val="20"/>
                <w:szCs w:val="20"/>
                <w:color w:val="auto"/>
              </w:rPr>
            </w:pPr>
            <w:r>
              <w:rPr>
                <w:rFonts w:ascii="Times New Roman" w:cs="Times New Roman" w:eastAsia="Times New Roman" w:hAnsi="Times New Roman"/>
                <w:sz w:val="8"/>
                <w:szCs w:val="8"/>
                <w:color w:val="auto"/>
              </w:rPr>
              <w:t>(8,465)</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Core deposit and other intangible assets</w:t>
            </w: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(107)</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(119)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(132)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(147)</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(162)</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60" w:type="dxa"/>
            <w:vAlign w:val="bottom"/>
            <w:gridSpan w:val="2"/>
            <w:shd w:val="clear" w:color="auto" w:fill="E5F1EE"/>
          </w:tcPr>
          <w:p>
            <w:pPr>
              <w:spacing w:after="0"/>
              <w:rPr>
                <w:sz w:val="20"/>
                <w:szCs w:val="20"/>
                <w:color w:val="auto"/>
              </w:rPr>
            </w:pPr>
            <w:r>
              <w:rPr>
                <w:rFonts w:ascii="Times New Roman" w:cs="Times New Roman" w:eastAsia="Times New Roman" w:hAnsi="Times New Roman"/>
                <w:sz w:val="8"/>
                <w:szCs w:val="8"/>
                <w:color w:val="auto"/>
              </w:rPr>
              <w:t>Deferred taxes</w:t>
            </w:r>
          </w:p>
        </w:tc>
        <w:tc>
          <w:tcPr>
            <w:tcW w:w="200" w:type="dxa"/>
            <w:vAlign w:val="bottom"/>
            <w:tcBorders>
              <w:bottom w:val="single" w:sz="8" w:color="auto"/>
            </w:tcBorders>
            <w:shd w:val="clear" w:color="auto" w:fill="E5F1EE"/>
          </w:tcPr>
          <w:p>
            <w:pPr>
              <w:spacing w:after="0"/>
              <w:rPr>
                <w:sz w:val="10"/>
                <w:szCs w:val="10"/>
                <w:color w:val="auto"/>
              </w:rPr>
            </w:pPr>
          </w:p>
        </w:tc>
        <w:tc>
          <w:tcPr>
            <w:tcW w:w="980" w:type="dxa"/>
            <w:vAlign w:val="bottom"/>
            <w:tcBorders>
              <w:bottom w:val="single" w:sz="8" w:color="auto"/>
            </w:tcBorders>
            <w:shd w:val="clear" w:color="auto" w:fill="E5F1EE"/>
          </w:tcPr>
          <w:p>
            <w:pPr>
              <w:jc w:val="right"/>
              <w:ind w:right="78"/>
              <w:spacing w:after="0"/>
              <w:rPr>
                <w:sz w:val="20"/>
                <w:szCs w:val="20"/>
                <w:color w:val="auto"/>
              </w:rPr>
            </w:pPr>
            <w:r>
              <w:rPr>
                <w:rFonts w:ascii="Times New Roman" w:cs="Times New Roman" w:eastAsia="Times New Roman" w:hAnsi="Times New Roman"/>
                <w:sz w:val="8"/>
                <w:szCs w:val="8"/>
                <w:color w:val="auto"/>
              </w:rPr>
              <w:t>30</w:t>
            </w:r>
          </w:p>
        </w:tc>
        <w:tc>
          <w:tcPr>
            <w:tcW w:w="200" w:type="dxa"/>
            <w:vAlign w:val="bottom"/>
            <w:shd w:val="clear" w:color="auto" w:fill="E5F1EE"/>
          </w:tcPr>
          <w:p>
            <w:pPr>
              <w:spacing w:after="0"/>
              <w:rPr>
                <w:sz w:val="10"/>
                <w:szCs w:val="10"/>
                <w:color w:val="auto"/>
              </w:rPr>
            </w:pPr>
          </w:p>
        </w:tc>
        <w:tc>
          <w:tcPr>
            <w:tcW w:w="260" w:type="dxa"/>
            <w:vAlign w:val="bottom"/>
            <w:tcBorders>
              <w:bottom w:val="single" w:sz="8" w:color="auto"/>
            </w:tcBorders>
            <w:shd w:val="clear" w:color="auto" w:fill="E5F1EE"/>
          </w:tcPr>
          <w:p>
            <w:pPr>
              <w:spacing w:after="0"/>
              <w:rPr>
                <w:sz w:val="10"/>
                <w:szCs w:val="10"/>
                <w:color w:val="auto"/>
              </w:rPr>
            </w:pPr>
          </w:p>
        </w:tc>
        <w:tc>
          <w:tcPr>
            <w:tcW w:w="9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31</w:t>
            </w:r>
          </w:p>
        </w:tc>
        <w:tc>
          <w:tcPr>
            <w:tcW w:w="220" w:type="dxa"/>
            <w:vAlign w:val="bottom"/>
            <w:shd w:val="clear" w:color="auto" w:fill="E5F1EE"/>
          </w:tcPr>
          <w:p>
            <w:pPr>
              <w:spacing w:after="0"/>
              <w:rPr>
                <w:sz w:val="10"/>
                <w:szCs w:val="10"/>
                <w:color w:val="auto"/>
              </w:rPr>
            </w:pPr>
          </w:p>
        </w:tc>
        <w:tc>
          <w:tcPr>
            <w:tcW w:w="160" w:type="dxa"/>
            <w:vAlign w:val="bottom"/>
            <w:tcBorders>
              <w:bottom w:val="single" w:sz="8" w:color="auto"/>
            </w:tcBorders>
            <w:shd w:val="clear" w:color="auto" w:fill="E5F1EE"/>
          </w:tcPr>
          <w:p>
            <w:pPr>
              <w:spacing w:after="0"/>
              <w:rPr>
                <w:sz w:val="10"/>
                <w:szCs w:val="10"/>
                <w:color w:val="auto"/>
              </w:rPr>
            </w:pPr>
          </w:p>
        </w:tc>
        <w:tc>
          <w:tcPr>
            <w:tcW w:w="102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34</w:t>
            </w:r>
          </w:p>
        </w:tc>
        <w:tc>
          <w:tcPr>
            <w:tcW w:w="220" w:type="dxa"/>
            <w:vAlign w:val="bottom"/>
            <w:shd w:val="clear" w:color="auto" w:fill="E5F1EE"/>
          </w:tcPr>
          <w:p>
            <w:pPr>
              <w:spacing w:after="0"/>
              <w:rPr>
                <w:sz w:val="10"/>
                <w:szCs w:val="10"/>
                <w:color w:val="auto"/>
              </w:rPr>
            </w:pPr>
          </w:p>
        </w:tc>
        <w:tc>
          <w:tcPr>
            <w:tcW w:w="200" w:type="dxa"/>
            <w:vAlign w:val="bottom"/>
            <w:tcBorders>
              <w:bottom w:val="single" w:sz="8" w:color="auto"/>
            </w:tcBorders>
            <w:shd w:val="clear" w:color="auto" w:fill="E5F1EE"/>
          </w:tcPr>
          <w:p>
            <w:pPr>
              <w:spacing w:after="0"/>
              <w:rPr>
                <w:sz w:val="10"/>
                <w:szCs w:val="10"/>
                <w:color w:val="auto"/>
              </w:rPr>
            </w:pPr>
          </w:p>
        </w:tc>
        <w:tc>
          <w:tcPr>
            <w:tcW w:w="98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37</w:t>
            </w:r>
          </w:p>
        </w:tc>
        <w:tc>
          <w:tcPr>
            <w:tcW w:w="220" w:type="dxa"/>
            <w:vAlign w:val="bottom"/>
            <w:shd w:val="clear" w:color="auto" w:fill="E5F1EE"/>
          </w:tcPr>
          <w:p>
            <w:pPr>
              <w:spacing w:after="0"/>
              <w:rPr>
                <w:sz w:val="10"/>
                <w:szCs w:val="10"/>
                <w:color w:val="auto"/>
              </w:rPr>
            </w:pPr>
          </w:p>
        </w:tc>
        <w:tc>
          <w:tcPr>
            <w:tcW w:w="140" w:type="dxa"/>
            <w:vAlign w:val="bottom"/>
            <w:tcBorders>
              <w:bottom w:val="single" w:sz="8" w:color="auto"/>
            </w:tcBorders>
            <w:shd w:val="clear" w:color="auto" w:fill="E5F1EE"/>
          </w:tcPr>
          <w:p>
            <w:pPr>
              <w:spacing w:after="0"/>
              <w:rPr>
                <w:sz w:val="10"/>
                <w:szCs w:val="10"/>
                <w:color w:val="auto"/>
              </w:rPr>
            </w:pPr>
          </w:p>
        </w:tc>
        <w:tc>
          <w:tcPr>
            <w:tcW w:w="1040" w:type="dxa"/>
            <w:vAlign w:val="bottom"/>
            <w:tcBorders>
              <w:bottom w:val="single" w:sz="8" w:color="auto"/>
            </w:tcBorders>
            <w:shd w:val="clear" w:color="auto" w:fill="E5F1EE"/>
          </w:tcPr>
          <w:p>
            <w:pPr>
              <w:jc w:val="right"/>
              <w:ind w:right="58"/>
              <w:spacing w:after="0"/>
              <w:rPr>
                <w:sz w:val="20"/>
                <w:szCs w:val="20"/>
                <w:color w:val="auto"/>
              </w:rPr>
            </w:pPr>
            <w:r>
              <w:rPr>
                <w:rFonts w:ascii="Times New Roman" w:cs="Times New Roman" w:eastAsia="Times New Roman" w:hAnsi="Times New Roman"/>
                <w:sz w:val="8"/>
                <w:szCs w:val="8"/>
                <w:color w:val="auto"/>
              </w:rPr>
              <w:t>41</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9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Total tangible common equity</w:t>
            </w:r>
          </w:p>
        </w:tc>
        <w:tc>
          <w:tcPr>
            <w:tcW w:w="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8"/>
                <w:szCs w:val="8"/>
                <w:color w:val="auto"/>
              </w:rPr>
              <w:t>17,940</w:t>
            </w:r>
          </w:p>
        </w:tc>
        <w:tc>
          <w:tcPr>
            <w:tcW w:w="200" w:type="dxa"/>
            <w:vAlign w:val="bottom"/>
          </w:tcPr>
          <w:p>
            <w:pPr>
              <w:spacing w:after="0"/>
              <w:rPr>
                <w:sz w:val="8"/>
                <w:szCs w:val="8"/>
                <w:color w:val="auto"/>
              </w:rPr>
            </w:pPr>
          </w:p>
        </w:tc>
        <w:tc>
          <w:tcPr>
            <w:tcW w:w="2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17,127</w:t>
            </w:r>
          </w:p>
        </w:tc>
        <w:tc>
          <w:tcPr>
            <w:tcW w:w="220" w:type="dxa"/>
            <w:vAlign w:val="bottom"/>
          </w:tcPr>
          <w:p>
            <w:pPr>
              <w:spacing w:after="0"/>
              <w:rPr>
                <w:sz w:val="8"/>
                <w:szCs w:val="8"/>
                <w:color w:val="auto"/>
              </w:rPr>
            </w:pPr>
          </w:p>
        </w:tc>
        <w:tc>
          <w:tcPr>
            <w:tcW w:w="1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w w:val="98"/>
              </w:rPr>
              <w:t>$</w:t>
            </w:r>
          </w:p>
        </w:tc>
        <w:tc>
          <w:tcPr>
            <w:tcW w:w="10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16,595</w:t>
            </w:r>
          </w:p>
        </w:tc>
        <w:tc>
          <w:tcPr>
            <w:tcW w:w="220" w:type="dxa"/>
            <w:vAlign w:val="bottom"/>
          </w:tcPr>
          <w:p>
            <w:pPr>
              <w:spacing w:after="0"/>
              <w:rPr>
                <w:sz w:val="8"/>
                <w:szCs w:val="8"/>
                <w:color w:val="auto"/>
              </w:rPr>
            </w:pPr>
          </w:p>
        </w:tc>
        <w:tc>
          <w:tcPr>
            <w:tcW w:w="2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8"/>
                <w:szCs w:val="8"/>
                <w:color w:val="auto"/>
                <w:w w:val="98"/>
              </w:rPr>
              <w:t>$</w:t>
            </w:r>
          </w:p>
        </w:tc>
        <w:tc>
          <w:tcPr>
            <w:tcW w:w="9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16,371</w:t>
            </w:r>
          </w:p>
        </w:tc>
        <w:tc>
          <w:tcPr>
            <w:tcW w:w="220" w:type="dxa"/>
            <w:vAlign w:val="bottom"/>
          </w:tcPr>
          <w:p>
            <w:pPr>
              <w:spacing w:after="0"/>
              <w:rPr>
                <w:sz w:val="8"/>
                <w:szCs w:val="8"/>
                <w:color w:val="auto"/>
              </w:rPr>
            </w:pPr>
          </w:p>
        </w:tc>
        <w:tc>
          <w:tcPr>
            <w:tcW w:w="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10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8"/>
                <w:szCs w:val="8"/>
                <w:color w:val="auto"/>
              </w:rPr>
              <w:t>15,600</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100330</wp:posOffset>
            </wp:positionV>
            <wp:extent cx="147447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1714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362902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629025"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After any related tax effect.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300"/>
          </w:cols>
          <w:pgMar w:left="300" w:top="158" w:right="299"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800"/>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2024-10-17T05:11:45Z</dcterms:created>
  <dcterms:modified xsi:type="dcterms:W3CDTF">2024-10-17T05:11:45Z</dcterms:modified>
</cp:coreProperties>
</file>