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4"/>
              </w:rPr>
              <w:t>New York</w:t>
            </w:r>
          </w:p>
        </w:tc>
        <w:tc>
          <w:tcPr>
            <w:tcW w:w="346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3"/>
              </w:rPr>
              <w:t>One M &amp; T Plaza</w:t>
            </w:r>
          </w:p>
        </w:tc>
        <w:tc>
          <w:tcPr>
            <w:tcW w:w="3460" w:type="dxa"/>
            <w:vAlign w:val="bottom"/>
          </w:tcPr>
          <w:p>
            <w:pPr>
              <w:spacing w:after="0"/>
              <w:rPr>
                <w:sz w:val="24"/>
                <w:szCs w:val="24"/>
                <w:color w:val="auto"/>
              </w:rPr>
            </w:pPr>
          </w:p>
        </w:tc>
      </w:t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5"/>
              </w:rPr>
              <w:t>Buffalo, New York</w:t>
            </w:r>
          </w:p>
        </w:tc>
        <w:tc>
          <w:tcPr>
            <w:tcW w:w="3460" w:type="dxa"/>
            <w:vAlign w:val="bottom"/>
          </w:tcPr>
          <w:p>
            <w:pPr>
              <w:spacing w:after="0"/>
              <w:rPr>
                <w:sz w:val="18"/>
                <w:szCs w:val="18"/>
                <w:color w:val="auto"/>
              </w:rPr>
            </w:pP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(Address of principal</w:t>
            </w:r>
          </w:p>
        </w:tc>
        <w:tc>
          <w:tcPr>
            <w:tcW w:w="346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executive offices)</w:t>
            </w:r>
          </w:p>
        </w:tc>
        <w:tc>
          <w:tcPr>
            <w:tcW w:w="3460" w:type="dxa"/>
            <w:vAlign w:val="bottom"/>
          </w:tcPr>
          <w:p>
            <w:pPr>
              <w:jc w:val="center"/>
              <w:ind w:left="201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(716) 842-5445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o Yes o No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 w:lineRule="exact"/>
        <w:rPr>
          <w:sz w:val="20"/>
          <w:szCs w:val="20"/>
          <w:color w:val="auto"/>
        </w:rPr>
      </w:pPr>
    </w:p>
    <w:p>
      <w:pPr>
        <w:ind w:left="2800" w:right="220" w:hanging="4951"/>
        <w:spacing w:after="0" w:line="223" w:lineRule="exact"/>
        <w:tabs>
          <w:tab w:leader="none" w:pos="27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9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the registrant’s Common Stock, $0.50 par value, outstanding as of the close of business on April 30, 2009: 111,113,528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577850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March 31,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60" w:type="dxa"/>
            <w:vAlign w:val="bottom"/>
            <w:tcBorders>
              <w:bottom w:val="single" w:sz="8" w:color="auto"/>
            </w:tcBorders>
            <w:gridSpan w:val="27"/>
          </w:tcPr>
          <w:p>
            <w:pPr>
              <w:spacing w:after="0"/>
              <w:rPr>
                <w:sz w:val="20"/>
                <w:szCs w:val="20"/>
                <w:color w:val="auto"/>
              </w:rPr>
            </w:pPr>
            <w:r>
              <w:rPr>
                <w:rFonts w:ascii="Arial" w:cs="Arial" w:eastAsia="Arial" w:hAnsi="Arial"/>
                <w:sz w:val="14"/>
                <w:szCs w:val="14"/>
                <w:color w:val="auto"/>
              </w:rPr>
              <w:t>Table of Contents of Information Required in Report</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Page</w:t>
            </w:r>
          </w:p>
        </w:tc>
      </w:tr>
      <w:tr>
        <w:trPr>
          <w:trHeight w:val="169"/>
        </w:trPr>
        <w:tc>
          <w:tcPr>
            <w:tcW w:w="10060" w:type="dxa"/>
            <w:vAlign w:val="bottom"/>
            <w:gridSpan w:val="27"/>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21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420" w:type="dxa"/>
            <w:vAlign w:val="bottom"/>
            <w:tcBorders>
              <w:top w:val="single" w:sz="8" w:color="0000EE"/>
            </w:tcBorders>
            <w:gridSpan w:val="3"/>
          </w:tcPr>
          <w:p>
            <w:pPr>
              <w:spacing w:after="0"/>
              <w:rPr>
                <w:sz w:val="24"/>
                <w:szCs w:val="24"/>
                <w:color w:val="auto"/>
              </w:rPr>
            </w:pPr>
          </w:p>
        </w:tc>
        <w:tc>
          <w:tcPr>
            <w:tcW w:w="7320" w:type="dxa"/>
            <w:vAlign w:val="bottom"/>
            <w:gridSpan w:val="12"/>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4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 — March 31, 2009 and December 31, 2008</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20" w:type="dxa"/>
            <w:vAlign w:val="bottom"/>
            <w:tcBorders>
              <w:bottom w:val="single" w:sz="8" w:color="0000EE"/>
            </w:tcBorders>
            <w:gridSpan w:val="21"/>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 OF INCOME — Three months ended March 31, 2009 and 2008</w:t>
              </w:r>
            </w:hyperlink>
          </w:p>
        </w:tc>
        <w:tc>
          <w:tcPr>
            <w:tcW w:w="2520" w:type="dxa"/>
            <w:vAlign w:val="bottom"/>
            <w:gridSpan w:val="4"/>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40" w:type="dxa"/>
            <w:vAlign w:val="bottom"/>
            <w:tcBorders>
              <w:bottom w:val="single" w:sz="8" w:color="0000EE"/>
            </w:tcBorders>
            <w:gridSpan w:val="22"/>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 OF CASH FLOWS — Three months ended March 31, 2009 and 2008</w:t>
              </w:r>
            </w:hyperlink>
          </w:p>
        </w:tc>
        <w:tc>
          <w:tcPr>
            <w:tcW w:w="2100" w:type="dxa"/>
            <w:vAlign w:val="bottom"/>
            <w:gridSpan w:val="3"/>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20" w:type="dxa"/>
            <w:vAlign w:val="bottom"/>
            <w:tcBorders>
              <w:bottom w:val="single" w:sz="8" w:color="0000EE"/>
            </w:tcBorders>
            <w:gridSpan w:val="23"/>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 OF CHANGES IN STOCKHOLDERS’ EQUITY — Three months ended March 31, 2009 and</w:t>
              </w:r>
            </w:hyperlink>
          </w:p>
        </w:tc>
        <w:tc>
          <w:tcPr>
            <w:tcW w:w="32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980" w:type="dxa"/>
            <w:vAlign w:val="bottom"/>
            <w:gridSpan w:val="4"/>
          </w:tcPr>
          <w:p>
            <w:pPr>
              <w:ind w:left="62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2008</w:t>
              </w:r>
            </w:hyperlink>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20" w:type="dxa"/>
            <w:vAlign w:val="bottom"/>
            <w:tcBorders>
              <w:bottom w:val="single" w:sz="8" w:color="0000EE"/>
            </w:tcBorders>
            <w:gridSpan w:val="24"/>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SUMMARY OF CHANGES IN ALLOWANCE FOR CREDIT LOSSES — Three months ended March 31, 2009</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2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2008</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NOTES TO FINANCIAL STATEMENTS</w:t>
              </w:r>
            </w:hyperlink>
          </w:p>
        </w:tc>
        <w:tc>
          <w:tcPr>
            <w:tcW w:w="6580" w:type="dxa"/>
            <w:vAlign w:val="bottom"/>
            <w:gridSpan w:val="10"/>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220" w:type="dxa"/>
            <w:vAlign w:val="bottom"/>
          </w:tcPr>
          <w:p>
            <w:pPr>
              <w:spacing w:after="0"/>
              <w:rPr>
                <w:sz w:val="24"/>
                <w:szCs w:val="24"/>
                <w:color w:val="auto"/>
              </w:rPr>
            </w:pPr>
          </w:p>
        </w:tc>
        <w:tc>
          <w:tcPr>
            <w:tcW w:w="9840" w:type="dxa"/>
            <w:vAlign w:val="bottom"/>
            <w:gridSpan w:val="2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22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800" w:type="dxa"/>
            <w:vAlign w:val="bottom"/>
            <w:gridSpan w:val="5"/>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412"/>
        </w:trPr>
        <w:tc>
          <w:tcPr>
            <w:tcW w:w="220" w:type="dxa"/>
            <w:vAlign w:val="bottom"/>
          </w:tcPr>
          <w:p>
            <w:pPr>
              <w:spacing w:after="0"/>
              <w:rPr>
                <w:sz w:val="24"/>
                <w:szCs w:val="24"/>
                <w:color w:val="auto"/>
              </w:rPr>
            </w:pPr>
          </w:p>
        </w:tc>
        <w:tc>
          <w:tcPr>
            <w:tcW w:w="9840" w:type="dxa"/>
            <w:vAlign w:val="bottom"/>
            <w:gridSpan w:val="2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4. Controls and Procedures.</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22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4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78">
              <w:r>
                <w:rPr>
                  <w:rFonts w:ascii="Arial" w:cs="Arial" w:eastAsia="Arial" w:hAnsi="Arial"/>
                  <w:sz w:val="18"/>
                  <w:szCs w:val="18"/>
                  <w:color w:val="0000EE"/>
                  <w:w w:val="95"/>
                </w:rPr>
                <w:t>Part II. OTHER INFORMATION</w:t>
              </w:r>
            </w:hyperlink>
          </w:p>
        </w:tc>
        <w:tc>
          <w:tcPr>
            <w:tcW w:w="7620" w:type="dxa"/>
            <w:vAlign w:val="bottom"/>
            <w:gridSpan w:val="14"/>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9840" w:type="dxa"/>
            <w:vAlign w:val="bottom"/>
            <w:gridSpan w:val="2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1. Legal Proceedings.</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412"/>
        </w:trPr>
        <w:tc>
          <w:tcPr>
            <w:tcW w:w="220" w:type="dxa"/>
            <w:vAlign w:val="bottom"/>
          </w:tcPr>
          <w:p>
            <w:pPr>
              <w:spacing w:after="0"/>
              <w:rPr>
                <w:sz w:val="24"/>
                <w:szCs w:val="24"/>
                <w:color w:val="auto"/>
              </w:rPr>
            </w:pPr>
          </w:p>
        </w:tc>
        <w:tc>
          <w:tcPr>
            <w:tcW w:w="1920" w:type="dxa"/>
            <w:vAlign w:val="bottom"/>
            <w:tcBorders>
              <w:top w:val="single" w:sz="8" w:color="0000EE"/>
            </w:tcBorders>
            <w:gridSpan w:val="1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1A. Risk Factors.</w:t>
              </w:r>
            </w:hyperlink>
          </w:p>
        </w:tc>
        <w:tc>
          <w:tcPr>
            <w:tcW w:w="7920" w:type="dxa"/>
            <w:vAlign w:val="bottom"/>
            <w:gridSpan w:val="16"/>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22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49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Item 2. Unregistered Sales of Equity Securities and Use of Proceeds.</w:t>
              </w:r>
            </w:hyperlink>
          </w:p>
        </w:tc>
        <w:tc>
          <w:tcPr>
            <w:tcW w:w="4900" w:type="dxa"/>
            <w:vAlign w:val="bottom"/>
            <w:gridSpan w:val="8"/>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412"/>
        </w:trPr>
        <w:tc>
          <w:tcPr>
            <w:tcW w:w="220" w:type="dxa"/>
            <w:vAlign w:val="bottom"/>
          </w:tcPr>
          <w:p>
            <w:pPr>
              <w:spacing w:after="0"/>
              <w:rPr>
                <w:sz w:val="24"/>
                <w:szCs w:val="24"/>
                <w:color w:val="auto"/>
              </w:rPr>
            </w:pPr>
          </w:p>
        </w:tc>
        <w:tc>
          <w:tcPr>
            <w:tcW w:w="29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Item 3. Defaults Upon Senior Securities.</w:t>
              </w:r>
            </w:hyperlink>
          </w:p>
        </w:tc>
        <w:tc>
          <w:tcPr>
            <w:tcW w:w="6920" w:type="dxa"/>
            <w:vAlign w:val="bottom"/>
            <w:gridSpan w:val="11"/>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412"/>
        </w:trPr>
        <w:tc>
          <w:tcPr>
            <w:tcW w:w="220" w:type="dxa"/>
            <w:vAlign w:val="bottom"/>
          </w:tcPr>
          <w:p>
            <w:pPr>
              <w:spacing w:after="0"/>
              <w:rPr>
                <w:sz w:val="24"/>
                <w:szCs w:val="24"/>
                <w:color w:val="auto"/>
              </w:rPr>
            </w:pPr>
          </w:p>
        </w:tc>
        <w:tc>
          <w:tcPr>
            <w:tcW w:w="43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Item 4. Submission of Matters to a Vote of Security Holders.</w:t>
              </w:r>
            </w:hyperlink>
          </w:p>
        </w:tc>
        <w:tc>
          <w:tcPr>
            <w:tcW w:w="5480" w:type="dxa"/>
            <w:vAlign w:val="bottom"/>
            <w:gridSpan w:val="9"/>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412"/>
        </w:trPr>
        <w:tc>
          <w:tcPr>
            <w:tcW w:w="220" w:type="dxa"/>
            <w:vAlign w:val="bottom"/>
          </w:tcPr>
          <w:p>
            <w:pPr>
              <w:spacing w:after="0"/>
              <w:rPr>
                <w:sz w:val="24"/>
                <w:szCs w:val="24"/>
                <w:color w:val="auto"/>
              </w:rPr>
            </w:pPr>
          </w:p>
        </w:tc>
        <w:tc>
          <w:tcPr>
            <w:tcW w:w="9840" w:type="dxa"/>
            <w:vAlign w:val="bottom"/>
            <w:gridSpan w:val="2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5. Other Information.</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412"/>
        </w:trPr>
        <w:tc>
          <w:tcPr>
            <w:tcW w:w="220" w:type="dxa"/>
            <w:vAlign w:val="bottom"/>
          </w:tcPr>
          <w:p>
            <w:pPr>
              <w:spacing w:after="0"/>
              <w:rPr>
                <w:sz w:val="24"/>
                <w:szCs w:val="24"/>
                <w:color w:val="auto"/>
              </w:rPr>
            </w:pPr>
          </w:p>
        </w:tc>
        <w:tc>
          <w:tcPr>
            <w:tcW w:w="12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24"/>
                <w:szCs w:val="24"/>
                <w:color w:val="auto"/>
              </w:rPr>
            </w:pPr>
          </w:p>
        </w:tc>
        <w:tc>
          <w:tcPr>
            <w:tcW w:w="7940" w:type="dxa"/>
            <w:vAlign w:val="bottom"/>
            <w:gridSpan w:val="17"/>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412"/>
        </w:trPr>
        <w:tc>
          <w:tcPr>
            <w:tcW w:w="10060" w:type="dxa"/>
            <w:vAlign w:val="bottom"/>
            <w:gridSpan w:val="2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SIGNATURES</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720" w:type="dxa"/>
            <w:vAlign w:val="bottom"/>
            <w:gridSpan w:val="2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12"/>
        </w:trPr>
        <w:tc>
          <w:tcPr>
            <w:tcW w:w="1340" w:type="dxa"/>
            <w:vAlign w:val="bottom"/>
            <w:tcBorders>
              <w:bottom w:val="single" w:sz="8" w:color="0000EE"/>
            </w:tcBorders>
            <w:gridSpan w:val="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EXHIBIT INDEX</w:t>
              </w:r>
            </w:hyperlink>
          </w:p>
        </w:tc>
        <w:tc>
          <w:tcPr>
            <w:tcW w:w="8720" w:type="dxa"/>
            <w:vAlign w:val="bottom"/>
            <w:gridSpan w:val="20"/>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79</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ind w:right="3720" w:firstLine="3721"/>
        <w:spacing w:after="0" w:line="402" w:lineRule="auto"/>
        <w:rPr>
          <w:sz w:val="20"/>
          <w:szCs w:val="20"/>
          <w:color w:val="auto"/>
        </w:rPr>
      </w:pPr>
      <w:r>
        <w:rPr>
          <w:rFonts w:ascii="Arial" w:cs="Arial" w:eastAsia="Arial" w:hAnsi="Arial"/>
          <w:sz w:val="18"/>
          <w:szCs w:val="18"/>
          <w:color w:val="auto"/>
        </w:rPr>
        <w:t>M&amp;T BANK CORPORATION AND SUBSIDIARIES CONSOLIDATED BALANCE SHEET (Unaudited)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jc w:val="right"/>
              <w:ind w:right="591"/>
              <w:spacing w:after="0"/>
              <w:rPr>
                <w:sz w:val="20"/>
                <w:szCs w:val="20"/>
                <w:color w:val="auto"/>
              </w:rPr>
            </w:pPr>
            <w:r>
              <w:rPr>
                <w:rFonts w:ascii="Arial" w:cs="Arial" w:eastAsia="Arial" w:hAnsi="Arial"/>
                <w:sz w:val="14"/>
                <w:szCs w:val="14"/>
                <w:color w:val="auto"/>
              </w:rPr>
              <w:t>March 31,</w:t>
            </w:r>
          </w:p>
        </w:tc>
        <w:tc>
          <w:tcPr>
            <w:tcW w:w="1620" w:type="dxa"/>
            <w:vAlign w:val="bottom"/>
          </w:tcPr>
          <w:p>
            <w:pPr>
              <w:jc w:val="right"/>
              <w:ind w:right="211"/>
              <w:spacing w:after="0"/>
              <w:rPr>
                <w:sz w:val="20"/>
                <w:szCs w:val="20"/>
                <w:color w:val="auto"/>
              </w:rPr>
            </w:pPr>
            <w:r>
              <w:rPr>
                <w:rFonts w:ascii="Arial" w:cs="Arial" w:eastAsia="Arial" w:hAnsi="Arial"/>
                <w:sz w:val="14"/>
                <w:szCs w:val="14"/>
                <w:color w:val="auto"/>
              </w:rPr>
              <w:t>December 31,</w:t>
            </w:r>
          </w:p>
        </w:tc>
      </w:tr>
      <w:tr>
        <w:trPr>
          <w:trHeight w:val="174"/>
        </w:trPr>
        <w:tc>
          <w:tcPr>
            <w:tcW w:w="77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700" w:type="dxa"/>
            <w:vAlign w:val="bottom"/>
          </w:tcPr>
          <w:p>
            <w:pPr>
              <w:spacing w:after="0"/>
              <w:rPr>
                <w:sz w:val="15"/>
                <w:szCs w:val="15"/>
                <w:color w:val="auto"/>
              </w:rPr>
            </w:pPr>
          </w:p>
        </w:tc>
        <w:tc>
          <w:tcPr>
            <w:tcW w:w="1380" w:type="dxa"/>
            <w:vAlign w:val="bottom"/>
          </w:tcPr>
          <w:p>
            <w:pPr>
              <w:jc w:val="right"/>
              <w:ind w:right="751"/>
              <w:spacing w:after="0"/>
              <w:rPr>
                <w:sz w:val="20"/>
                <w:szCs w:val="20"/>
                <w:color w:val="auto"/>
              </w:rPr>
            </w:pPr>
            <w:r>
              <w:rPr>
                <w:rFonts w:ascii="Arial" w:cs="Arial" w:eastAsia="Arial" w:hAnsi="Arial"/>
                <w:sz w:val="14"/>
                <w:szCs w:val="14"/>
                <w:color w:val="auto"/>
              </w:rPr>
              <w:t>2009</w:t>
            </w:r>
          </w:p>
        </w:tc>
        <w:tc>
          <w:tcPr>
            <w:tcW w:w="1620" w:type="dxa"/>
            <w:vAlign w:val="bottom"/>
          </w:tcPr>
          <w:p>
            <w:pPr>
              <w:jc w:val="right"/>
              <w:ind w:right="471"/>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7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7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1,117,845</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1,546,804</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at banks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27,374</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10,284</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35,800</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21,347</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90,000</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90,000</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591,802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617,821</w:t>
            </w: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Investment securities (includes pledged securities that can be sold or repledged of $1,838,817 at</w:t>
            </w:r>
          </w:p>
        </w:tc>
        <w:tc>
          <w:tcPr>
            <w:tcW w:w="7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March 31, 2009; $1,870,097 at December 31, 2008)</w:t>
            </w:r>
          </w:p>
        </w:tc>
        <w:tc>
          <w:tcPr>
            <w:tcW w:w="7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Available for sale (cost: $7,284,418 at March 31, 2009; $7,656,635 at December 31, 2008)</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6,657,377</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6,850,193</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Held to maturity (fair value: $274,776 at March 31, 2009; $394,752 at December 31, 2008)</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469,568</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485,838</w:t>
            </w: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Other (fair value: $559,900 at March 31, 2009; $583,176 at December 31, 2008)</w:t>
            </w:r>
          </w:p>
        </w:tc>
        <w:tc>
          <w:tcPr>
            <w:tcW w:w="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559,900</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583,176</w:t>
            </w: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investment securities</w:t>
            </w:r>
          </w:p>
        </w:tc>
        <w:tc>
          <w:tcPr>
            <w:tcW w:w="7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7,686,845</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7,919,207</w:t>
            </w:r>
          </w:p>
        </w:tc>
      </w:tr>
      <w:tr>
        <w:trPr>
          <w:trHeight w:val="223"/>
        </w:trPr>
        <w:tc>
          <w:tcPr>
            <w:tcW w:w="20" w:type="dxa"/>
            <w:vAlign w:val="bottom"/>
          </w:tcPr>
          <w:p>
            <w:pPr>
              <w:spacing w:after="0"/>
              <w:rPr>
                <w:sz w:val="19"/>
                <w:szCs w:val="19"/>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Loans and leases</w:t>
            </w:r>
          </w:p>
        </w:tc>
        <w:tc>
          <w:tcPr>
            <w:tcW w:w="700" w:type="dxa"/>
            <w:vAlign w:val="bottom"/>
          </w:tcPr>
          <w:p>
            <w:pPr>
              <w:spacing w:after="0"/>
              <w:rPr>
                <w:sz w:val="19"/>
                <w:szCs w:val="19"/>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88"/>
              </w:rPr>
              <w:t>49,265,675</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49,359,737</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Unearned discount</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(347,535)</w:t>
            </w:r>
          </w:p>
        </w:tc>
        <w:tc>
          <w:tcPr>
            <w:tcW w:w="16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(359,274)</w:t>
            </w: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Allowance for credit losses</w:t>
            </w:r>
          </w:p>
        </w:tc>
        <w:tc>
          <w:tcPr>
            <w:tcW w:w="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(845,971)</w:t>
            </w: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(787,904)</w:t>
            </w: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Loans and leases, net</w:t>
            </w:r>
          </w:p>
        </w:tc>
        <w:tc>
          <w:tcPr>
            <w:tcW w:w="7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48,072,169</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48,212,559</w:t>
            </w:r>
          </w:p>
        </w:tc>
      </w:tr>
      <w:tr>
        <w:trPr>
          <w:trHeight w:val="223"/>
        </w:trPr>
        <w:tc>
          <w:tcPr>
            <w:tcW w:w="20" w:type="dxa"/>
            <w:vAlign w:val="bottom"/>
          </w:tcPr>
          <w:p>
            <w:pPr>
              <w:spacing w:after="0"/>
              <w:rPr>
                <w:sz w:val="19"/>
                <w:szCs w:val="19"/>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Premises and equipment</w:t>
            </w:r>
          </w:p>
        </w:tc>
        <w:tc>
          <w:tcPr>
            <w:tcW w:w="700" w:type="dxa"/>
            <w:vAlign w:val="bottom"/>
          </w:tcPr>
          <w:p>
            <w:pPr>
              <w:spacing w:after="0"/>
              <w:rPr>
                <w:sz w:val="19"/>
                <w:szCs w:val="19"/>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386,157</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388,855</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3,192,128</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3,192,128</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Core deposit and other intangible assets</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168,126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183,496</w:t>
            </w: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Accrued interest and other assets</w:t>
            </w:r>
          </w:p>
        </w:tc>
        <w:tc>
          <w:tcPr>
            <w:tcW w:w="7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3,514,949</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3,633,256</w:t>
            </w: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64,883,195</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65,815,757</w:t>
            </w:r>
          </w:p>
        </w:tc>
      </w:tr>
      <w:tr>
        <w:trPr>
          <w:trHeight w:val="20"/>
        </w:trPr>
        <w:tc>
          <w:tcPr>
            <w:tcW w:w="20" w:type="dxa"/>
            <w:vAlign w:val="bottom"/>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9,544,932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8,856,114</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1,088,062</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1,141,308</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88"/>
              </w:rPr>
              <w:t>21,517,139</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19,488,918</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8,158,003</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9,046,937</w:t>
            </w: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99"/>
              </w:rPr>
              <w:t>2,169,220</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4,047,986</w:t>
            </w: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deposits</w:t>
            </w:r>
          </w:p>
        </w:tc>
        <w:tc>
          <w:tcPr>
            <w:tcW w:w="7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42,477,356</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42,581,263</w:t>
            </w:r>
          </w:p>
        </w:tc>
      </w:tr>
      <w:tr>
        <w:trPr>
          <w:trHeight w:val="223"/>
        </w:trPr>
        <w:tc>
          <w:tcPr>
            <w:tcW w:w="20" w:type="dxa"/>
            <w:vAlign w:val="bottom"/>
          </w:tcPr>
          <w:p>
            <w:pPr>
              <w:spacing w:after="0"/>
              <w:rPr>
                <w:sz w:val="19"/>
                <w:szCs w:val="19"/>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Federal funds purchased and agreements to repurchase securities</w:t>
            </w:r>
          </w:p>
        </w:tc>
        <w:tc>
          <w:tcPr>
            <w:tcW w:w="700" w:type="dxa"/>
            <w:vAlign w:val="bottom"/>
          </w:tcPr>
          <w:p>
            <w:pPr>
              <w:spacing w:after="0"/>
              <w:rPr>
                <w:sz w:val="19"/>
                <w:szCs w:val="19"/>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1,565,234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970,529</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short-term borrowings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1,076,577</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2,039,206</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Accrued interest and other liabilities</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1,326,545</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1,364,879</w:t>
            </w: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7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11,535,644</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12,075,149</w:t>
            </w:r>
          </w:p>
        </w:tc>
      </w:tr>
      <w:tr>
        <w:trPr>
          <w:trHeight w:val="230"/>
        </w:trPr>
        <w:tc>
          <w:tcPr>
            <w:tcW w:w="20" w:type="dxa"/>
            <w:vAlign w:val="bottom"/>
          </w:tcPr>
          <w:p>
            <w:pPr>
              <w:spacing w:after="0"/>
              <w:rPr>
                <w:sz w:val="20"/>
                <w:szCs w:val="20"/>
                <w:color w:val="auto"/>
              </w:rPr>
            </w:pPr>
          </w:p>
        </w:tc>
        <w:tc>
          <w:tcPr>
            <w:tcW w:w="7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liabilities</w:t>
            </w:r>
          </w:p>
        </w:tc>
        <w:tc>
          <w:tcPr>
            <w:tcW w:w="7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57,981,356</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59,031,026</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700" w:type="dxa"/>
            <w:vAlign w:val="bottom"/>
          </w:tcPr>
          <w:p>
            <w:pPr>
              <w:ind w:left="200"/>
              <w:spacing w:after="0" w:line="201" w:lineRule="exact"/>
              <w:rPr>
                <w:sz w:val="20"/>
                <w:szCs w:val="20"/>
                <w:color w:val="auto"/>
              </w:rPr>
            </w:pPr>
            <w:r>
              <w:rPr>
                <w:rFonts w:ascii="Arial" w:cs="Arial" w:eastAsia="Arial" w:hAnsi="Arial"/>
                <w:sz w:val="18"/>
                <w:szCs w:val="18"/>
                <w:color w:val="auto"/>
                <w:w w:val="97"/>
              </w:rPr>
              <w:t>Preferred stock, $1.00 par, 1,000,000 shares authorized, 600,000 shares issued and outstanding</w:t>
            </w: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(liquidation preference $1,000 per share)</w:t>
            </w:r>
          </w:p>
        </w:tc>
        <w:tc>
          <w:tcPr>
            <w:tcW w:w="700" w:type="dxa"/>
            <w:vAlign w:val="bottom"/>
          </w:tcPr>
          <w:p>
            <w:pPr>
              <w:spacing w:after="0"/>
              <w:rPr>
                <w:sz w:val="20"/>
                <w:szCs w:val="20"/>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568,284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567,463</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$.50 par, 250,000,000 shares authorized, 120,396,611 shares issued</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60,198</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60,198</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w w:val="96"/>
              </w:rPr>
              <w:t>Common stock issuable, 72,559 shares at March 31, 2009; 78,447 shares at December 31, 2008</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4,188</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4,617</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2,845,127</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2,897,907</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5,043,633</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5,062,754</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 net</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(622,409)</w:t>
            </w:r>
          </w:p>
        </w:tc>
        <w:tc>
          <w:tcPr>
            <w:tcW w:w="16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(736,881)</w:t>
            </w:r>
          </w:p>
        </w:tc>
      </w:tr>
      <w:tr>
        <w:trPr>
          <w:trHeight w:val="202"/>
        </w:trPr>
        <w:tc>
          <w:tcPr>
            <w:tcW w:w="20" w:type="dxa"/>
            <w:vAlign w:val="bottom"/>
          </w:tcPr>
          <w:p>
            <w:pPr>
              <w:spacing w:after="0"/>
              <w:rPr>
                <w:sz w:val="17"/>
                <w:szCs w:val="17"/>
                <w:color w:val="auto"/>
              </w:rPr>
            </w:pPr>
          </w:p>
        </w:tc>
        <w:tc>
          <w:tcPr>
            <w:tcW w:w="7700" w:type="dxa"/>
            <w:vAlign w:val="bottom"/>
          </w:tcPr>
          <w:p>
            <w:pPr>
              <w:ind w:left="200"/>
              <w:spacing w:after="0" w:line="201" w:lineRule="exact"/>
              <w:rPr>
                <w:sz w:val="20"/>
                <w:szCs w:val="20"/>
                <w:color w:val="auto"/>
              </w:rPr>
            </w:pPr>
            <w:r>
              <w:rPr>
                <w:rFonts w:ascii="Arial" w:cs="Arial" w:eastAsia="Arial" w:hAnsi="Arial"/>
                <w:sz w:val="18"/>
                <w:szCs w:val="18"/>
                <w:color w:val="auto"/>
                <w:w w:val="98"/>
              </w:rPr>
              <w:t>Treasury stock — common, at cost - 9,337,502 shares at March 31, 2009; 10,031,302 shares at</w:t>
            </w: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December 31, 2008</w:t>
            </w:r>
          </w:p>
        </w:tc>
        <w:tc>
          <w:tcPr>
            <w:tcW w:w="7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(997,182)</w:t>
            </w: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(1,071,327)</w:t>
            </w: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7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6,901,839</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6,784,731</w:t>
            </w: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64,883,195</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65,815,757</w:t>
            </w:r>
          </w:p>
        </w:tc>
      </w:tr>
      <w:tr>
        <w:trPr>
          <w:trHeight w:val="20"/>
        </w:trPr>
        <w:tc>
          <w:tcPr>
            <w:tcW w:w="20" w:type="dxa"/>
            <w:vAlign w:val="bottom"/>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60" w:type="dxa"/>
            <w:vAlign w:val="bottom"/>
            <w:gridSpan w:val="2"/>
          </w:tcPr>
          <w:p>
            <w:pPr>
              <w:jc w:val="right"/>
              <w:ind w:right="570"/>
              <w:spacing w:after="0"/>
              <w:rPr>
                <w:sz w:val="20"/>
                <w:szCs w:val="20"/>
                <w:color w:val="auto"/>
              </w:rPr>
            </w:pPr>
            <w:r>
              <w:rPr>
                <w:rFonts w:ascii="Arial" w:cs="Arial" w:eastAsia="Arial" w:hAnsi="Arial"/>
                <w:sz w:val="14"/>
                <w:szCs w:val="14"/>
                <w:color w:val="auto"/>
              </w:rPr>
              <w:t>Three months ended March 31</w:t>
            </w:r>
          </w:p>
        </w:tc>
      </w:tr>
      <w:tr>
        <w:trPr>
          <w:trHeight w:val="174"/>
        </w:trPr>
        <w:tc>
          <w:tcPr>
            <w:tcW w:w="74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1260" w:type="dxa"/>
            <w:vAlign w:val="bottom"/>
          </w:tcPr>
          <w:p>
            <w:pPr>
              <w:spacing w:after="0"/>
              <w:rPr>
                <w:sz w:val="15"/>
                <w:szCs w:val="15"/>
                <w:color w:val="auto"/>
              </w:rPr>
            </w:pPr>
          </w:p>
        </w:tc>
        <w:tc>
          <w:tcPr>
            <w:tcW w:w="1240" w:type="dxa"/>
            <w:vAlign w:val="bottom"/>
          </w:tcPr>
          <w:p>
            <w:pPr>
              <w:jc w:val="right"/>
              <w:ind w:right="711"/>
              <w:spacing w:after="0"/>
              <w:rPr>
                <w:sz w:val="20"/>
                <w:szCs w:val="20"/>
                <w:color w:val="auto"/>
              </w:rPr>
            </w:pPr>
            <w:r>
              <w:rPr>
                <w:rFonts w:ascii="Arial" w:cs="Arial" w:eastAsia="Arial" w:hAnsi="Arial"/>
                <w:sz w:val="14"/>
                <w:szCs w:val="14"/>
                <w:color w:val="auto"/>
              </w:rPr>
              <w:t>2009</w:t>
            </w:r>
          </w:p>
        </w:tc>
        <w:tc>
          <w:tcPr>
            <w:tcW w:w="1520" w:type="dxa"/>
            <w:vAlign w:val="bottom"/>
          </w:tcPr>
          <w:p>
            <w:pPr>
              <w:jc w:val="right"/>
              <w:ind w:right="410"/>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Loans and leases, including fees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554,329</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768,391</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banks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8</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19</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39</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871</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121</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Fully taxable</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98,467</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111,045</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Exempt from federal taxes</w:t>
            </w:r>
          </w:p>
        </w:tc>
        <w:tc>
          <w:tcPr>
            <w:tcW w:w="1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1,529</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3,467</w:t>
            </w:r>
          </w:p>
        </w:tc>
      </w:tr>
      <w:tr>
        <w:trPr>
          <w:trHeight w:val="230"/>
        </w:trPr>
        <w:tc>
          <w:tcPr>
            <w:tcW w:w="20" w:type="dxa"/>
            <w:vAlign w:val="bottom"/>
          </w:tcPr>
          <w:p>
            <w:pPr>
              <w:spacing w:after="0"/>
              <w:rPr>
                <w:sz w:val="20"/>
                <w:szCs w:val="20"/>
                <w:color w:val="auto"/>
              </w:rPr>
            </w:pPr>
          </w:p>
        </w:tc>
        <w:tc>
          <w:tcPr>
            <w:tcW w:w="73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interest income</w:t>
            </w:r>
          </w:p>
        </w:tc>
        <w:tc>
          <w:tcPr>
            <w:tcW w:w="1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654,512</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884,162</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NOW accounts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327</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1,018</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41,922</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66,622</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60,329</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106,643</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foreign office</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981</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38,373</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2,348</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61,621</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1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100,798</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131,035</w:t>
            </w:r>
          </w:p>
        </w:tc>
      </w:tr>
      <w:tr>
        <w:trPr>
          <w:trHeight w:val="230"/>
        </w:trPr>
        <w:tc>
          <w:tcPr>
            <w:tcW w:w="20" w:type="dxa"/>
            <w:vAlign w:val="bottom"/>
          </w:tcPr>
          <w:p>
            <w:pPr>
              <w:spacing w:after="0"/>
              <w:rPr>
                <w:sz w:val="20"/>
                <w:szCs w:val="20"/>
                <w:color w:val="auto"/>
              </w:rPr>
            </w:pPr>
          </w:p>
        </w:tc>
        <w:tc>
          <w:tcPr>
            <w:tcW w:w="73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interest expense</w:t>
            </w:r>
          </w:p>
        </w:tc>
        <w:tc>
          <w:tcPr>
            <w:tcW w:w="1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206,705</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405,312</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Net interest income</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447,807</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478,850</w:t>
            </w: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Provision for credit losses</w:t>
            </w: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158,000</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60,000</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interest income after provision for credit losses</w:t>
            </w:r>
          </w:p>
        </w:tc>
        <w:tc>
          <w:tcPr>
            <w:tcW w:w="1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289,807</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418,850</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income</w:t>
            </w: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banking revenues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56,233</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40,070</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Service charges on deposit accounts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101,029</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103,454</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 income</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34,880</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40,304</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Brokerage services income</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15,393</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15,473</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and foreign exchange gains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1,435</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4,713</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Gain on bank investment securities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575</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33,447</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other-than-temporary impairment (“OTTI”) losses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92"/>
              </w:rPr>
              <w:t>(62,808)</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Portion of OTTI losses recognized in other comprehensive income (before taxes)</w:t>
            </w: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30,609</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Net OTTI losses recognized in earnings</w:t>
            </w:r>
          </w:p>
        </w:tc>
        <w:tc>
          <w:tcPr>
            <w:tcW w:w="1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w w:val="92"/>
              </w:rPr>
              <w:t>(32,199)</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Equity in earnings of Bayview Lending Group LLC</w:t>
            </w:r>
          </w:p>
        </w:tc>
        <w:tc>
          <w:tcPr>
            <w:tcW w:w="1260" w:type="dxa"/>
            <w:vAlign w:val="bottom"/>
          </w:tcPr>
          <w:p>
            <w:pPr>
              <w:spacing w:after="0"/>
              <w:rPr>
                <w:sz w:val="19"/>
                <w:szCs w:val="19"/>
                <w:color w:val="auto"/>
              </w:rPr>
            </w:pPr>
          </w:p>
        </w:tc>
        <w:tc>
          <w:tcPr>
            <w:tcW w:w="1240" w:type="dxa"/>
            <w:vAlign w:val="bottom"/>
          </w:tcPr>
          <w:p>
            <w:pPr>
              <w:jc w:val="right"/>
              <w:ind w:right="511"/>
              <w:spacing w:after="0"/>
              <w:rPr>
                <w:sz w:val="20"/>
                <w:szCs w:val="20"/>
                <w:color w:val="auto"/>
              </w:rPr>
            </w:pPr>
            <w:r>
              <w:rPr>
                <w:rFonts w:ascii="Arial" w:cs="Arial" w:eastAsia="Arial" w:hAnsi="Arial"/>
                <w:sz w:val="18"/>
                <w:szCs w:val="18"/>
                <w:color w:val="auto"/>
              </w:rPr>
              <w:t>(4,144)</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(1,260)</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revenues from operations</w:t>
            </w:r>
          </w:p>
        </w:tc>
        <w:tc>
          <w:tcPr>
            <w:tcW w:w="1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59,139</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76,462</w:t>
            </w:r>
          </w:p>
        </w:tc>
      </w:tr>
      <w:tr>
        <w:trPr>
          <w:trHeight w:val="230"/>
        </w:trPr>
        <w:tc>
          <w:tcPr>
            <w:tcW w:w="20" w:type="dxa"/>
            <w:vAlign w:val="bottom"/>
          </w:tcPr>
          <w:p>
            <w:pPr>
              <w:spacing w:after="0"/>
              <w:rPr>
                <w:sz w:val="20"/>
                <w:szCs w:val="20"/>
                <w:color w:val="auto"/>
              </w:rPr>
            </w:pPr>
          </w:p>
        </w:tc>
        <w:tc>
          <w:tcPr>
            <w:tcW w:w="73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other income</w:t>
            </w:r>
          </w:p>
        </w:tc>
        <w:tc>
          <w:tcPr>
            <w:tcW w:w="1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232,341</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312,663</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Salaries and employee benefits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249,392</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251,871</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net occupancy</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48,172</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46,765</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Printing, postage and supplies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9,095</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9,896</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core deposit and other intangible assets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15,370</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18,483</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Deposit insurance</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5,856</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1,539</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costs of operations</w:t>
            </w:r>
          </w:p>
        </w:tc>
        <w:tc>
          <w:tcPr>
            <w:tcW w:w="1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110,461</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97,150</w:t>
            </w:r>
          </w:p>
        </w:tc>
      </w:tr>
      <w:tr>
        <w:trPr>
          <w:trHeight w:val="230"/>
        </w:trPr>
        <w:tc>
          <w:tcPr>
            <w:tcW w:w="20" w:type="dxa"/>
            <w:vAlign w:val="bottom"/>
          </w:tcPr>
          <w:p>
            <w:pPr>
              <w:spacing w:after="0"/>
              <w:rPr>
                <w:sz w:val="20"/>
                <w:szCs w:val="20"/>
                <w:color w:val="auto"/>
              </w:rPr>
            </w:pPr>
          </w:p>
        </w:tc>
        <w:tc>
          <w:tcPr>
            <w:tcW w:w="73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other expense</w:t>
            </w:r>
          </w:p>
        </w:tc>
        <w:tc>
          <w:tcPr>
            <w:tcW w:w="1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438,346</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425,704</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taxes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83,802</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305,809</w:t>
            </w: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Income taxes</w:t>
            </w: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19,581</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103,613</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Net income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64,221</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202,196</w:t>
            </w:r>
          </w:p>
        </w:tc>
      </w:tr>
      <w:tr>
        <w:trPr>
          <w:trHeight w:val="20"/>
        </w:trPr>
        <w:tc>
          <w:tcPr>
            <w:tcW w:w="20" w:type="dxa"/>
            <w:vAlign w:val="bottom"/>
          </w:tcPr>
          <w:p>
            <w:pPr>
              <w:spacing w:after="0" w:line="20" w:lineRule="exact"/>
              <w:rPr>
                <w:sz w:val="1"/>
                <w:szCs w:val="1"/>
                <w:color w:val="auto"/>
              </w:rPr>
            </w:pPr>
          </w:p>
        </w:tc>
        <w:tc>
          <w:tcPr>
            <w:tcW w:w="7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Net income per common share</w:t>
            </w: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.49</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1.84</w:t>
            </w:r>
          </w:p>
        </w:tc>
      </w:tr>
      <w:tr>
        <w:trPr>
          <w:trHeight w:val="230"/>
        </w:trPr>
        <w:tc>
          <w:tcPr>
            <w:tcW w:w="20" w:type="dxa"/>
            <w:vAlign w:val="bottom"/>
          </w:tcPr>
          <w:p>
            <w:pPr>
              <w:spacing w:after="0"/>
              <w:rPr>
                <w:sz w:val="20"/>
                <w:szCs w:val="20"/>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Diluted</w:t>
            </w:r>
          </w:p>
        </w:tc>
        <w:tc>
          <w:tcPr>
            <w:tcW w:w="1260" w:type="dxa"/>
            <w:vAlign w:val="bottom"/>
          </w:tcPr>
          <w:p>
            <w:pPr>
              <w:spacing w:after="0"/>
              <w:rPr>
                <w:sz w:val="20"/>
                <w:szCs w:val="20"/>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.49</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1.82</w:t>
            </w:r>
          </w:p>
        </w:tc>
      </w:tr>
      <w:tr>
        <w:trPr>
          <w:trHeight w:val="202"/>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per common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.70</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.70</w:t>
            </w:r>
          </w:p>
        </w:tc>
      </w:tr>
      <w:tr>
        <w:trPr>
          <w:trHeight w:val="432"/>
        </w:trPr>
        <w:tc>
          <w:tcPr>
            <w:tcW w:w="2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Average common shares outstanding</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110,439</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110,017</w:t>
            </w:r>
          </w:p>
        </w:tc>
      </w:tr>
      <w:tr>
        <w:trPr>
          <w:trHeight w:val="230"/>
        </w:trPr>
        <w:tc>
          <w:tcPr>
            <w:tcW w:w="20" w:type="dxa"/>
            <w:vAlign w:val="bottom"/>
          </w:tcPr>
          <w:p>
            <w:pPr>
              <w:spacing w:after="0"/>
              <w:rPr>
                <w:sz w:val="20"/>
                <w:szCs w:val="20"/>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Diluted</w:t>
            </w:r>
          </w:p>
        </w:tc>
        <w:tc>
          <w:tcPr>
            <w:tcW w:w="1260" w:type="dxa"/>
            <w:vAlign w:val="bottom"/>
          </w:tcPr>
          <w:p>
            <w:pPr>
              <w:spacing w:after="0"/>
              <w:rPr>
                <w:sz w:val="20"/>
                <w:szCs w:val="20"/>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110,439</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110,967</w:t>
            </w:r>
          </w:p>
        </w:tc>
      </w:tr>
      <w:tr>
        <w:trPr>
          <w:trHeight w:val="391"/>
        </w:trPr>
        <w:tc>
          <w:tcPr>
            <w:tcW w:w="7400" w:type="dxa"/>
            <w:vAlign w:val="bottom"/>
            <w:gridSpan w:val="2"/>
          </w:tcPr>
          <w:p>
            <w:pPr>
              <w:jc w:val="right"/>
              <w:ind w:right="1450"/>
              <w:spacing w:after="0"/>
              <w:rPr>
                <w:sz w:val="20"/>
                <w:szCs w:val="20"/>
                <w:color w:val="auto"/>
              </w:rPr>
            </w:pPr>
            <w:r>
              <w:rPr>
                <w:rFonts w:ascii="Arial" w:cs="Arial" w:eastAsia="Arial" w:hAnsi="Arial"/>
                <w:sz w:val="18"/>
                <w:szCs w:val="18"/>
                <w:color w:val="auto"/>
              </w:rPr>
              <w:t>- 4 -</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73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980" w:type="dxa"/>
            <w:vAlign w:val="bottom"/>
            <w:gridSpan w:val="2"/>
          </w:tcPr>
          <w:p>
            <w:pPr>
              <w:jc w:val="right"/>
              <w:ind w:right="670"/>
              <w:spacing w:after="0"/>
              <w:rPr>
                <w:sz w:val="20"/>
                <w:szCs w:val="20"/>
                <w:color w:val="auto"/>
              </w:rPr>
            </w:pPr>
            <w:r>
              <w:rPr>
                <w:rFonts w:ascii="Arial" w:cs="Arial" w:eastAsia="Arial" w:hAnsi="Arial"/>
                <w:sz w:val="14"/>
                <w:szCs w:val="14"/>
                <w:color w:val="auto"/>
              </w:rPr>
              <w:t>Three months ended March 31</w:t>
            </w:r>
          </w:p>
        </w:tc>
      </w:tr>
      <w:tr>
        <w:trPr>
          <w:trHeight w:val="174"/>
        </w:trPr>
        <w:tc>
          <w:tcPr>
            <w:tcW w:w="71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15"/>
                <w:szCs w:val="15"/>
                <w:color w:val="auto"/>
              </w:rPr>
            </w:pPr>
          </w:p>
        </w:tc>
        <w:tc>
          <w:tcPr>
            <w:tcW w:w="1360" w:type="dxa"/>
            <w:vAlign w:val="bottom"/>
          </w:tcPr>
          <w:p>
            <w:pPr>
              <w:jc w:val="right"/>
              <w:ind w:right="731"/>
              <w:spacing w:after="0"/>
              <w:rPr>
                <w:sz w:val="20"/>
                <w:szCs w:val="20"/>
                <w:color w:val="auto"/>
              </w:rPr>
            </w:pPr>
            <w:r>
              <w:rPr>
                <w:rFonts w:ascii="Arial" w:cs="Arial" w:eastAsia="Arial" w:hAnsi="Arial"/>
                <w:sz w:val="14"/>
                <w:szCs w:val="14"/>
                <w:color w:val="auto"/>
              </w:rPr>
              <w:t>2009</w:t>
            </w:r>
          </w:p>
        </w:tc>
        <w:tc>
          <w:tcPr>
            <w:tcW w:w="1620" w:type="dxa"/>
            <w:vAlign w:val="bottom"/>
          </w:tcPr>
          <w:p>
            <w:pPr>
              <w:jc w:val="right"/>
              <w:ind w:right="470"/>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64,221</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202,196</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158,000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60,000</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 of premises and equipment</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13,038</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13,205</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Amortization of capitalized servicing rights</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15,954</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16,414</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core deposit and other intangible assets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15,370</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18,483</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Provision for deferred income taxes</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(11,948)</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(6,203)</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Asset write-downs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34,063</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Net gain on sales of assets</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(447)</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(32,714)</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in accrued interest receivable, payable</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12,423</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24,332</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Net change in other accrued income and expense</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36,624</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47,486</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in loans originated for sale</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(263,004)</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(65,976)</w:t>
            </w: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Net change in trading account assets and liabilities</w:t>
            </w:r>
          </w:p>
        </w:tc>
        <w:tc>
          <w:tcPr>
            <w:tcW w:w="1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311</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55,764</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74,605</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333,117</w:t>
            </w: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 securities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5,550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49,678</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23,895</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35,188</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Proceeds from maturities of investment securities</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Available for sale</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496,247</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652,254</w:t>
            </w: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Held to maturity</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28,125</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13,706</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(21,702)</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(587,345)</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Held to maturity</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(8,299)</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(10,255)</w:t>
            </w: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(619)</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(40,059)</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loans and leases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84,162</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(1,271,522)</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Other investments, net</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(5,786)</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(3,506)</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capitalized servicing rights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(289)</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(9,675)</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Capital expenditures, net</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(10,250)</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(8,516)</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(12,772)</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(37,593)</w:t>
            </w:r>
          </w:p>
        </w:tc>
      </w:tr>
      <w:tr>
        <w:trPr>
          <w:trHeight w:val="230"/>
        </w:trPr>
        <w:tc>
          <w:tcPr>
            <w:tcW w:w="20" w:type="dxa"/>
            <w:vAlign w:val="bottom"/>
          </w:tcPr>
          <w:p>
            <w:pPr>
              <w:spacing w:after="0"/>
              <w:rPr>
                <w:sz w:val="20"/>
                <w:szCs w:val="20"/>
                <w:color w:val="auto"/>
              </w:rPr>
            </w:pPr>
          </w:p>
        </w:tc>
        <w:tc>
          <w:tcPr>
            <w:tcW w:w="71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Net cash provided (used) by investing activities</w:t>
            </w:r>
          </w:p>
        </w:tc>
        <w:tc>
          <w:tcPr>
            <w:tcW w:w="1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578,262</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(1,217,645)</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Net increase (decrease) in deposits</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(103,205)</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267,852</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short-term borrowings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(367,924)</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373,623</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Proceeds from long-term borrowings</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1,450,010</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borrowings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(520,549)</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(1,120,237)</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Dividends paid — common</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(77,744)</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(77,004)</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 preferred</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(4,333)</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net</w:t>
            </w:r>
          </w:p>
        </w:tc>
        <w:tc>
          <w:tcPr>
            <w:tcW w:w="1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6,382</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(1,137)</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Net cash provided (used) by financing activities</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89"/>
              </w:rPr>
              <w:t>(1,067,373)</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893,107</w:t>
            </w:r>
          </w:p>
        </w:tc>
      </w:tr>
      <w:tr>
        <w:trPr>
          <w:trHeight w:val="223"/>
        </w:trPr>
        <w:tc>
          <w:tcPr>
            <w:tcW w:w="20" w:type="dxa"/>
            <w:vAlign w:val="bottom"/>
          </w:tcPr>
          <w:p>
            <w:pPr>
              <w:spacing w:after="0"/>
              <w:rPr>
                <w:sz w:val="19"/>
                <w:szCs w:val="19"/>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1280" w:type="dxa"/>
            <w:vAlign w:val="bottom"/>
          </w:tcPr>
          <w:p>
            <w:pPr>
              <w:spacing w:after="0"/>
              <w:rPr>
                <w:sz w:val="19"/>
                <w:szCs w:val="19"/>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(414,506)</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8,579</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94"/>
              </w:rPr>
              <w:t>1,568,151</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1,767,547</w:t>
            </w: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w w:val="94"/>
              </w:rPr>
              <w:t>1,153,645</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1,776,126</w:t>
            </w:r>
          </w:p>
        </w:tc>
      </w:tr>
      <w:tr>
        <w:trPr>
          <w:trHeight w:val="20"/>
        </w:trPr>
        <w:tc>
          <w:tcPr>
            <w:tcW w:w="20" w:type="dxa"/>
            <w:vAlign w:val="bottom"/>
          </w:tcPr>
          <w:p>
            <w:pPr>
              <w:spacing w:after="0" w:line="20" w:lineRule="exact"/>
              <w:rPr>
                <w:sz w:val="1"/>
                <w:szCs w:val="1"/>
                <w:color w:val="auto"/>
              </w:rPr>
            </w:pPr>
          </w:p>
        </w:tc>
        <w:tc>
          <w:tcPr>
            <w:tcW w:w="7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Interest received during the period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679,531</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917,644</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 during the period</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206,417</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407,838</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Income taxes paid (refunded) during the period</w:t>
            </w:r>
          </w:p>
        </w:tc>
        <w:tc>
          <w:tcPr>
            <w:tcW w:w="1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(67,722)</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3,696</w:t>
            </w:r>
          </w:p>
        </w:tc>
      </w:tr>
      <w:tr>
        <w:trPr>
          <w:trHeight w:val="20"/>
        </w:trPr>
        <w:tc>
          <w:tcPr>
            <w:tcW w:w="20" w:type="dxa"/>
            <w:vAlign w:val="bottom"/>
          </w:tcPr>
          <w:p>
            <w:pPr>
              <w:spacing w:after="0" w:line="20" w:lineRule="exact"/>
              <w:rPr>
                <w:sz w:val="1"/>
                <w:szCs w:val="1"/>
                <w:color w:val="auto"/>
              </w:rPr>
            </w:pPr>
          </w:p>
        </w:tc>
        <w:tc>
          <w:tcPr>
            <w:tcW w:w="7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Securitization of residential mortgage loans allocated to</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Available for sale investment securities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140,942</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Capitalized servicing rights</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788</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acquired in settlement of loans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16,545</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20,826</w:t>
            </w:r>
          </w:p>
        </w:tc>
      </w:tr>
      <w:tr>
        <w:trPr>
          <w:trHeight w:val="405"/>
        </w:trPr>
        <w:tc>
          <w:tcPr>
            <w:tcW w:w="7160" w:type="dxa"/>
            <w:vAlign w:val="bottom"/>
            <w:gridSpan w:val="2"/>
          </w:tcPr>
          <w:p>
            <w:pPr>
              <w:jc w:val="right"/>
              <w:ind w:right="1210"/>
              <w:spacing w:after="0"/>
              <w:rPr>
                <w:sz w:val="20"/>
                <w:szCs w:val="20"/>
                <w:color w:val="auto"/>
              </w:rPr>
            </w:pPr>
            <w:r>
              <w:rPr>
                <w:rFonts w:ascii="Arial" w:cs="Arial" w:eastAsia="Arial" w:hAnsi="Arial"/>
                <w:sz w:val="18"/>
                <w:szCs w:val="18"/>
                <w:color w:val="auto"/>
              </w:rPr>
              <w:t>- 5 -</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720" w:firstLine="3721"/>
        <w:spacing w:after="0" w:line="422" w:lineRule="auto"/>
        <w:rPr>
          <w:sz w:val="20"/>
          <w:szCs w:val="20"/>
          <w:color w:val="auto"/>
        </w:rPr>
      </w:pPr>
      <w:r>
        <w:rPr>
          <w:rFonts w:ascii="Arial" w:cs="Arial" w:eastAsia="Arial" w:hAnsi="Arial"/>
          <w:sz w:val="17"/>
          <w:szCs w:val="17"/>
          <w:color w:val="auto"/>
        </w:rPr>
        <w:t>M&amp;T BANK CORPORATION AND SUBSIDIARIES CONSOLIDATED STATEMENT OF CHANGES IN STOCKHOLDERS’ EQUITY (Unaudited)</w:t>
      </w: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jc w:val="right"/>
              <w:ind w:right="250"/>
              <w:spacing w:after="0" w:line="137" w:lineRule="exact"/>
              <w:rPr>
                <w:sz w:val="20"/>
                <w:szCs w:val="20"/>
                <w:color w:val="auto"/>
              </w:rPr>
            </w:pPr>
            <w:r>
              <w:rPr>
                <w:rFonts w:ascii="Arial" w:cs="Arial" w:eastAsia="Arial" w:hAnsi="Arial"/>
                <w:sz w:val="13"/>
                <w:szCs w:val="13"/>
                <w:color w:val="auto"/>
              </w:rPr>
              <w:t>Accumulated</w:t>
            </w: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jc w:val="right"/>
              <w:ind w:right="250"/>
              <w:spacing w:after="0" w:line="135" w:lineRule="exact"/>
              <w:rPr>
                <w:sz w:val="20"/>
                <w:szCs w:val="20"/>
                <w:color w:val="auto"/>
              </w:rPr>
            </w:pPr>
            <w:r>
              <w:rPr>
                <w:rFonts w:ascii="Arial" w:cs="Arial" w:eastAsia="Arial" w:hAnsi="Arial"/>
                <w:sz w:val="13"/>
                <w:szCs w:val="13"/>
                <w:color w:val="auto"/>
              </w:rPr>
              <w:t>other</w:t>
            </w: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jc w:val="right"/>
              <w:ind w:right="229"/>
              <w:spacing w:after="0" w:line="135" w:lineRule="exact"/>
              <w:rPr>
                <w:sz w:val="20"/>
                <w:szCs w:val="20"/>
                <w:color w:val="auto"/>
              </w:rPr>
            </w:pPr>
            <w:r>
              <w:rPr>
                <w:rFonts w:ascii="Arial" w:cs="Arial" w:eastAsia="Arial" w:hAnsi="Arial"/>
                <w:sz w:val="13"/>
                <w:szCs w:val="13"/>
                <w:color w:val="auto"/>
              </w:rPr>
              <w:t>Common</w:t>
            </w:r>
          </w:p>
        </w:tc>
        <w:tc>
          <w:tcPr>
            <w:tcW w:w="1140" w:type="dxa"/>
            <w:vAlign w:val="bottom"/>
          </w:tcPr>
          <w:p>
            <w:pPr>
              <w:jc w:val="right"/>
              <w:ind w:right="229"/>
              <w:spacing w:after="0" w:line="135" w:lineRule="exact"/>
              <w:rPr>
                <w:sz w:val="20"/>
                <w:szCs w:val="20"/>
                <w:color w:val="auto"/>
              </w:rPr>
            </w:pPr>
            <w:r>
              <w:rPr>
                <w:rFonts w:ascii="Arial" w:cs="Arial" w:eastAsia="Arial" w:hAnsi="Arial"/>
                <w:sz w:val="13"/>
                <w:szCs w:val="13"/>
                <w:color w:val="auto"/>
              </w:rPr>
              <w:t>Additional</w:t>
            </w:r>
          </w:p>
        </w:tc>
        <w:tc>
          <w:tcPr>
            <w:tcW w:w="1080" w:type="dxa"/>
            <w:vAlign w:val="bottom"/>
          </w:tcPr>
          <w:p>
            <w:pPr>
              <w:spacing w:after="0"/>
              <w:rPr>
                <w:sz w:val="11"/>
                <w:szCs w:val="11"/>
                <w:color w:val="auto"/>
              </w:rPr>
            </w:pPr>
          </w:p>
        </w:tc>
        <w:tc>
          <w:tcPr>
            <w:tcW w:w="1260" w:type="dxa"/>
            <w:vAlign w:val="bottom"/>
          </w:tcPr>
          <w:p>
            <w:pPr>
              <w:jc w:val="right"/>
              <w:ind w:right="230"/>
              <w:spacing w:after="0" w:line="135" w:lineRule="exact"/>
              <w:rPr>
                <w:sz w:val="20"/>
                <w:szCs w:val="20"/>
                <w:color w:val="auto"/>
              </w:rPr>
            </w:pPr>
            <w:r>
              <w:rPr>
                <w:rFonts w:ascii="Arial" w:cs="Arial" w:eastAsia="Arial" w:hAnsi="Arial"/>
                <w:sz w:val="13"/>
                <w:szCs w:val="13"/>
                <w:color w:val="auto"/>
              </w:rPr>
              <w:t>comprehensive</w:t>
            </w: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right"/>
              <w:ind w:right="249"/>
              <w:spacing w:after="0" w:line="135" w:lineRule="exact"/>
              <w:rPr>
                <w:sz w:val="20"/>
                <w:szCs w:val="20"/>
                <w:color w:val="auto"/>
              </w:rPr>
            </w:pPr>
            <w:r>
              <w:rPr>
                <w:rFonts w:ascii="Arial" w:cs="Arial" w:eastAsia="Arial" w:hAnsi="Arial"/>
                <w:sz w:val="13"/>
                <w:szCs w:val="13"/>
                <w:color w:val="auto"/>
                <w:w w:val="95"/>
              </w:rPr>
              <w:t>Preferred</w:t>
            </w:r>
          </w:p>
        </w:tc>
        <w:tc>
          <w:tcPr>
            <w:tcW w:w="1120" w:type="dxa"/>
            <w:vAlign w:val="bottom"/>
          </w:tcPr>
          <w:p>
            <w:pPr>
              <w:jc w:val="right"/>
              <w:ind w:right="249"/>
              <w:spacing w:after="0" w:line="135" w:lineRule="exact"/>
              <w:rPr>
                <w:sz w:val="20"/>
                <w:szCs w:val="20"/>
                <w:color w:val="auto"/>
              </w:rPr>
            </w:pPr>
            <w:r>
              <w:rPr>
                <w:rFonts w:ascii="Arial" w:cs="Arial" w:eastAsia="Arial" w:hAnsi="Arial"/>
                <w:sz w:val="13"/>
                <w:szCs w:val="13"/>
                <w:color w:val="auto"/>
              </w:rPr>
              <w:t>Common</w:t>
            </w:r>
          </w:p>
        </w:tc>
        <w:tc>
          <w:tcPr>
            <w:tcW w:w="1100" w:type="dxa"/>
            <w:vAlign w:val="bottom"/>
          </w:tcPr>
          <w:p>
            <w:pPr>
              <w:jc w:val="right"/>
              <w:ind w:right="229"/>
              <w:spacing w:after="0" w:line="135" w:lineRule="exact"/>
              <w:rPr>
                <w:sz w:val="20"/>
                <w:szCs w:val="20"/>
                <w:color w:val="auto"/>
              </w:rPr>
            </w:pPr>
            <w:r>
              <w:rPr>
                <w:rFonts w:ascii="Arial" w:cs="Arial" w:eastAsia="Arial" w:hAnsi="Arial"/>
                <w:sz w:val="13"/>
                <w:szCs w:val="13"/>
                <w:color w:val="auto"/>
              </w:rPr>
              <w:t>stock</w:t>
            </w:r>
          </w:p>
        </w:tc>
        <w:tc>
          <w:tcPr>
            <w:tcW w:w="1140" w:type="dxa"/>
            <w:vAlign w:val="bottom"/>
          </w:tcPr>
          <w:p>
            <w:pPr>
              <w:jc w:val="right"/>
              <w:ind w:right="229"/>
              <w:spacing w:after="0" w:line="135" w:lineRule="exact"/>
              <w:rPr>
                <w:sz w:val="20"/>
                <w:szCs w:val="20"/>
                <w:color w:val="auto"/>
              </w:rPr>
            </w:pPr>
            <w:r>
              <w:rPr>
                <w:rFonts w:ascii="Arial" w:cs="Arial" w:eastAsia="Arial" w:hAnsi="Arial"/>
                <w:sz w:val="13"/>
                <w:szCs w:val="13"/>
                <w:color w:val="auto"/>
              </w:rPr>
              <w:t>paid-in</w:t>
            </w:r>
          </w:p>
        </w:tc>
        <w:tc>
          <w:tcPr>
            <w:tcW w:w="1080" w:type="dxa"/>
            <w:vAlign w:val="bottom"/>
          </w:tcPr>
          <w:p>
            <w:pPr>
              <w:jc w:val="right"/>
              <w:ind w:right="189"/>
              <w:spacing w:after="0" w:line="135" w:lineRule="exact"/>
              <w:rPr>
                <w:sz w:val="20"/>
                <w:szCs w:val="20"/>
                <w:color w:val="auto"/>
              </w:rPr>
            </w:pPr>
            <w:r>
              <w:rPr>
                <w:rFonts w:ascii="Arial" w:cs="Arial" w:eastAsia="Arial" w:hAnsi="Arial"/>
                <w:sz w:val="13"/>
                <w:szCs w:val="13"/>
                <w:color w:val="auto"/>
              </w:rPr>
              <w:t>Retained</w:t>
            </w:r>
          </w:p>
        </w:tc>
        <w:tc>
          <w:tcPr>
            <w:tcW w:w="1260" w:type="dxa"/>
            <w:vAlign w:val="bottom"/>
          </w:tcPr>
          <w:p>
            <w:pPr>
              <w:jc w:val="right"/>
              <w:ind w:right="250"/>
              <w:spacing w:after="0" w:line="135" w:lineRule="exact"/>
              <w:rPr>
                <w:sz w:val="20"/>
                <w:szCs w:val="20"/>
                <w:color w:val="auto"/>
              </w:rPr>
            </w:pPr>
            <w:r>
              <w:rPr>
                <w:rFonts w:ascii="Arial" w:cs="Arial" w:eastAsia="Arial" w:hAnsi="Arial"/>
                <w:sz w:val="13"/>
                <w:szCs w:val="13"/>
                <w:color w:val="auto"/>
              </w:rPr>
              <w:t>income (loss),</w:t>
            </w:r>
          </w:p>
        </w:tc>
        <w:tc>
          <w:tcPr>
            <w:tcW w:w="1320" w:type="dxa"/>
            <w:vAlign w:val="bottom"/>
          </w:tcPr>
          <w:p>
            <w:pPr>
              <w:jc w:val="right"/>
              <w:ind w:right="369"/>
              <w:spacing w:after="0" w:line="135" w:lineRule="exact"/>
              <w:rPr>
                <w:sz w:val="20"/>
                <w:szCs w:val="20"/>
                <w:color w:val="auto"/>
              </w:rPr>
            </w:pPr>
            <w:r>
              <w:rPr>
                <w:rFonts w:ascii="Arial" w:cs="Arial" w:eastAsia="Arial" w:hAnsi="Arial"/>
                <w:sz w:val="13"/>
                <w:szCs w:val="13"/>
                <w:color w:val="auto"/>
              </w:rPr>
              <w:t>Treasury</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spacing w:after="0"/>
              <w:rPr>
                <w:sz w:val="20"/>
                <w:szCs w:val="20"/>
                <w:color w:val="auto"/>
              </w:rPr>
            </w:pPr>
            <w:r>
              <w:rPr>
                <w:rFonts w:ascii="Arial" w:cs="Arial" w:eastAsia="Arial" w:hAnsi="Arial"/>
                <w:sz w:val="13"/>
                <w:szCs w:val="13"/>
                <w:color w:val="auto"/>
              </w:rPr>
              <w:t>In thousands, except per share</w:t>
            </w:r>
          </w:p>
        </w:tc>
        <w:tc>
          <w:tcPr>
            <w:tcW w:w="320" w:type="dxa"/>
            <w:vAlign w:val="bottom"/>
          </w:tcPr>
          <w:p>
            <w:pPr>
              <w:spacing w:after="0"/>
              <w:rPr>
                <w:sz w:val="13"/>
                <w:szCs w:val="13"/>
                <w:color w:val="auto"/>
              </w:rPr>
            </w:pPr>
          </w:p>
        </w:tc>
        <w:tc>
          <w:tcPr>
            <w:tcW w:w="860" w:type="dxa"/>
            <w:vAlign w:val="bottom"/>
          </w:tcPr>
          <w:p>
            <w:pPr>
              <w:jc w:val="right"/>
              <w:ind w:right="249"/>
              <w:spacing w:after="0"/>
              <w:rPr>
                <w:sz w:val="20"/>
                <w:szCs w:val="20"/>
                <w:color w:val="auto"/>
              </w:rPr>
            </w:pPr>
            <w:r>
              <w:rPr>
                <w:rFonts w:ascii="Arial" w:cs="Arial" w:eastAsia="Arial" w:hAnsi="Arial"/>
                <w:sz w:val="13"/>
                <w:szCs w:val="13"/>
                <w:color w:val="auto"/>
              </w:rPr>
              <w:t>stock</w:t>
            </w:r>
          </w:p>
        </w:tc>
        <w:tc>
          <w:tcPr>
            <w:tcW w:w="1120" w:type="dxa"/>
            <w:vAlign w:val="bottom"/>
          </w:tcPr>
          <w:p>
            <w:pPr>
              <w:jc w:val="right"/>
              <w:ind w:right="249"/>
              <w:spacing w:after="0"/>
              <w:rPr>
                <w:sz w:val="20"/>
                <w:szCs w:val="20"/>
                <w:color w:val="auto"/>
              </w:rPr>
            </w:pPr>
            <w:r>
              <w:rPr>
                <w:rFonts w:ascii="Arial" w:cs="Arial" w:eastAsia="Arial" w:hAnsi="Arial"/>
                <w:sz w:val="13"/>
                <w:szCs w:val="13"/>
                <w:color w:val="auto"/>
              </w:rPr>
              <w:t>stock</w:t>
            </w:r>
          </w:p>
        </w:tc>
        <w:tc>
          <w:tcPr>
            <w:tcW w:w="1100" w:type="dxa"/>
            <w:vAlign w:val="bottom"/>
          </w:tcPr>
          <w:p>
            <w:pPr>
              <w:jc w:val="right"/>
              <w:ind w:right="229"/>
              <w:spacing w:after="0"/>
              <w:rPr>
                <w:sz w:val="20"/>
                <w:szCs w:val="20"/>
                <w:color w:val="auto"/>
              </w:rPr>
            </w:pPr>
            <w:r>
              <w:rPr>
                <w:rFonts w:ascii="Arial" w:cs="Arial" w:eastAsia="Arial" w:hAnsi="Arial"/>
                <w:sz w:val="13"/>
                <w:szCs w:val="13"/>
                <w:color w:val="auto"/>
              </w:rPr>
              <w:t>issuable</w:t>
            </w:r>
          </w:p>
        </w:tc>
        <w:tc>
          <w:tcPr>
            <w:tcW w:w="1140" w:type="dxa"/>
            <w:vAlign w:val="bottom"/>
          </w:tcPr>
          <w:p>
            <w:pPr>
              <w:jc w:val="right"/>
              <w:ind w:right="229"/>
              <w:spacing w:after="0"/>
              <w:rPr>
                <w:sz w:val="20"/>
                <w:szCs w:val="20"/>
                <w:color w:val="auto"/>
              </w:rPr>
            </w:pPr>
            <w:r>
              <w:rPr>
                <w:rFonts w:ascii="Arial" w:cs="Arial" w:eastAsia="Arial" w:hAnsi="Arial"/>
                <w:sz w:val="13"/>
                <w:szCs w:val="13"/>
                <w:color w:val="auto"/>
              </w:rPr>
              <w:t>capital</w:t>
            </w:r>
          </w:p>
        </w:tc>
        <w:tc>
          <w:tcPr>
            <w:tcW w:w="1080" w:type="dxa"/>
            <w:vAlign w:val="bottom"/>
          </w:tcPr>
          <w:p>
            <w:pPr>
              <w:jc w:val="right"/>
              <w:ind w:right="189"/>
              <w:spacing w:after="0"/>
              <w:rPr>
                <w:sz w:val="20"/>
                <w:szCs w:val="20"/>
                <w:color w:val="auto"/>
              </w:rPr>
            </w:pPr>
            <w:r>
              <w:rPr>
                <w:rFonts w:ascii="Arial" w:cs="Arial" w:eastAsia="Arial" w:hAnsi="Arial"/>
                <w:sz w:val="13"/>
                <w:szCs w:val="13"/>
                <w:color w:val="auto"/>
              </w:rPr>
              <w:t>earnings</w:t>
            </w:r>
          </w:p>
        </w:tc>
        <w:tc>
          <w:tcPr>
            <w:tcW w:w="1260" w:type="dxa"/>
            <w:vAlign w:val="bottom"/>
          </w:tcPr>
          <w:p>
            <w:pPr>
              <w:jc w:val="right"/>
              <w:ind w:right="250"/>
              <w:spacing w:after="0"/>
              <w:rPr>
                <w:sz w:val="20"/>
                <w:szCs w:val="20"/>
                <w:color w:val="auto"/>
              </w:rPr>
            </w:pPr>
            <w:r>
              <w:rPr>
                <w:rFonts w:ascii="Arial" w:cs="Arial" w:eastAsia="Arial" w:hAnsi="Arial"/>
                <w:sz w:val="13"/>
                <w:szCs w:val="13"/>
                <w:color w:val="auto"/>
              </w:rPr>
              <w:t>net</w:t>
            </w:r>
          </w:p>
        </w:tc>
        <w:tc>
          <w:tcPr>
            <w:tcW w:w="1320" w:type="dxa"/>
            <w:vAlign w:val="bottom"/>
          </w:tcPr>
          <w:p>
            <w:pPr>
              <w:jc w:val="right"/>
              <w:ind w:right="369"/>
              <w:spacing w:after="0"/>
              <w:rPr>
                <w:sz w:val="20"/>
                <w:szCs w:val="20"/>
                <w:color w:val="auto"/>
              </w:rPr>
            </w:pPr>
            <w:r>
              <w:rPr>
                <w:rFonts w:ascii="Arial" w:cs="Arial" w:eastAsia="Arial" w:hAnsi="Arial"/>
                <w:sz w:val="13"/>
                <w:szCs w:val="13"/>
                <w:color w:val="auto"/>
              </w:rPr>
              <w:t>stock</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Balance — January 1, 2008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60,198</w:t>
            </w:r>
          </w:p>
        </w:tc>
        <w:tc>
          <w:tcPr>
            <w:tcW w:w="110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4,776</w:t>
            </w:r>
          </w:p>
        </w:tc>
        <w:tc>
          <w:tcPr>
            <w:tcW w:w="114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2,848,752</w:t>
            </w:r>
          </w:p>
        </w:tc>
        <w:tc>
          <w:tcPr>
            <w:tcW w:w="108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4,815,585</w:t>
            </w:r>
          </w:p>
        </w:tc>
        <w:tc>
          <w:tcPr>
            <w:tcW w:w="1260" w:type="dxa"/>
            <w:vAlign w:val="bottom"/>
          </w:tcPr>
          <w:p>
            <w:pPr>
              <w:jc w:val="right"/>
              <w:ind w:right="190"/>
              <w:spacing w:after="0" w:line="149" w:lineRule="exact"/>
              <w:rPr>
                <w:sz w:val="20"/>
                <w:szCs w:val="20"/>
                <w:color w:val="auto"/>
              </w:rPr>
            </w:pPr>
            <w:r>
              <w:rPr>
                <w:rFonts w:ascii="Arial" w:cs="Arial" w:eastAsia="Arial" w:hAnsi="Arial"/>
                <w:sz w:val="14"/>
                <w:szCs w:val="14"/>
                <w:color w:val="auto"/>
              </w:rPr>
              <w:t>(114,822)</w:t>
            </w:r>
          </w:p>
        </w:tc>
        <w:tc>
          <w:tcPr>
            <w:tcW w:w="1320" w:type="dxa"/>
            <w:vAlign w:val="bottom"/>
          </w:tcPr>
          <w:p>
            <w:pPr>
              <w:jc w:val="right"/>
              <w:ind w:right="329"/>
              <w:spacing w:after="0" w:line="149" w:lineRule="exact"/>
              <w:rPr>
                <w:sz w:val="20"/>
                <w:szCs w:val="20"/>
                <w:color w:val="auto"/>
              </w:rPr>
            </w:pPr>
            <w:r>
              <w:rPr>
                <w:rFonts w:ascii="Arial" w:cs="Arial" w:eastAsia="Arial" w:hAnsi="Arial"/>
                <w:sz w:val="14"/>
                <w:szCs w:val="14"/>
                <w:color w:val="auto"/>
              </w:rPr>
              <w:t>(1,129,233)</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6,485,256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320" w:type="dxa"/>
            <w:vAlign w:val="bottom"/>
          </w:tcPr>
          <w:p>
            <w:pPr>
              <w:spacing w:after="0"/>
              <w:rPr>
                <w:sz w:val="12"/>
                <w:szCs w:val="12"/>
                <w:color w:val="auto"/>
              </w:rPr>
            </w:pPr>
          </w:p>
        </w:tc>
        <w:tc>
          <w:tcPr>
            <w:tcW w:w="86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202,196</w:t>
            </w:r>
          </w:p>
        </w:tc>
        <w:tc>
          <w:tcPr>
            <w:tcW w:w="1260" w:type="dxa"/>
            <w:vAlign w:val="bottom"/>
          </w:tcPr>
          <w:p>
            <w:pPr>
              <w:jc w:val="right"/>
              <w:ind w:right="250"/>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3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202,196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Other comprehensive income, net</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of tax and reclassification</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adjustments:</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400"/>
              <w:spacing w:after="0" w:line="130" w:lineRule="exact"/>
              <w:rPr>
                <w:sz w:val="20"/>
                <w:szCs w:val="20"/>
                <w:color w:val="auto"/>
              </w:rPr>
            </w:pPr>
            <w:r>
              <w:rPr>
                <w:rFonts w:ascii="Arial" w:cs="Arial" w:eastAsia="Arial" w:hAnsi="Arial"/>
                <w:sz w:val="14"/>
                <w:szCs w:val="14"/>
                <w:color w:val="auto"/>
              </w:rPr>
              <w:t>Unrealized losses on</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600"/>
              <w:spacing w:after="0"/>
              <w:rPr>
                <w:sz w:val="20"/>
                <w:szCs w:val="20"/>
                <w:color w:val="auto"/>
              </w:rPr>
            </w:pPr>
            <w:r>
              <w:rPr>
                <w:rFonts w:ascii="Arial" w:cs="Arial" w:eastAsia="Arial" w:hAnsi="Arial"/>
                <w:sz w:val="14"/>
                <w:szCs w:val="14"/>
                <w:color w:val="auto"/>
              </w:rPr>
              <w:t>investment securities</w:t>
            </w:r>
          </w:p>
        </w:tc>
        <w:tc>
          <w:tcPr>
            <w:tcW w:w="32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90"/>
              <w:spacing w:after="0"/>
              <w:rPr>
                <w:sz w:val="20"/>
                <w:szCs w:val="20"/>
                <w:color w:val="auto"/>
              </w:rPr>
            </w:pPr>
            <w:r>
              <w:rPr>
                <w:rFonts w:ascii="Arial" w:cs="Arial" w:eastAsia="Arial" w:hAnsi="Arial"/>
                <w:sz w:val="14"/>
                <w:szCs w:val="14"/>
                <w:color w:val="auto"/>
              </w:rPr>
              <w:t>(134,813)</w:t>
            </w:r>
          </w:p>
        </w:tc>
        <w:tc>
          <w:tcPr>
            <w:tcW w:w="132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(134,813)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Defined benefit plans liability</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adjustment</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(205)</w:t>
            </w:r>
          </w:p>
        </w:tc>
        <w:tc>
          <w:tcPr>
            <w:tcW w:w="13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400"/>
              <w:spacing w:after="0" w:line="130" w:lineRule="exact"/>
              <w:rPr>
                <w:sz w:val="20"/>
                <w:szCs w:val="20"/>
                <w:color w:val="auto"/>
              </w:rPr>
            </w:pPr>
            <w:r>
              <w:rPr>
                <w:rFonts w:ascii="Arial" w:cs="Arial" w:eastAsia="Arial" w:hAnsi="Arial"/>
                <w:sz w:val="14"/>
                <w:szCs w:val="14"/>
                <w:color w:val="auto"/>
              </w:rPr>
              <w:t>Unrealized losses on cash flow</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ind w:left="600"/>
              <w:spacing w:after="0"/>
              <w:rPr>
                <w:sz w:val="20"/>
                <w:szCs w:val="20"/>
                <w:color w:val="auto"/>
              </w:rPr>
            </w:pPr>
            <w:r>
              <w:rPr>
                <w:rFonts w:ascii="Arial" w:cs="Arial" w:eastAsia="Arial" w:hAnsi="Arial"/>
                <w:sz w:val="14"/>
                <w:szCs w:val="14"/>
                <w:color w:val="auto"/>
              </w:rPr>
              <w:t>hedges</w:t>
            </w:r>
          </w:p>
        </w:tc>
        <w:tc>
          <w:tcPr>
            <w:tcW w:w="320" w:type="dxa"/>
            <w:vAlign w:val="bottom"/>
          </w:tcPr>
          <w:p>
            <w:pPr>
              <w:spacing w:after="0"/>
              <w:rPr>
                <w:sz w:val="15"/>
                <w:szCs w:val="15"/>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90"/>
              <w:spacing w:after="0"/>
              <w:rPr>
                <w:sz w:val="20"/>
                <w:szCs w:val="20"/>
                <w:color w:val="auto"/>
              </w:rPr>
            </w:pPr>
            <w:r>
              <w:rPr>
                <w:rFonts w:ascii="Arial" w:cs="Arial" w:eastAsia="Arial" w:hAnsi="Arial"/>
                <w:sz w:val="14"/>
                <w:szCs w:val="14"/>
                <w:color w:val="auto"/>
              </w:rPr>
              <w:t>(9,644)</w:t>
            </w:r>
          </w:p>
        </w:tc>
        <w:tc>
          <w:tcPr>
            <w:tcW w:w="132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57,534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420" w:type="dxa"/>
            <w:vAlign w:val="bottom"/>
            <w:gridSpan w:val="2"/>
          </w:tcPr>
          <w:p>
            <w:pPr>
              <w:spacing w:after="0"/>
              <w:rPr>
                <w:sz w:val="20"/>
                <w:szCs w:val="20"/>
                <w:color w:val="auto"/>
              </w:rPr>
            </w:pPr>
            <w:r>
              <w:rPr>
                <w:rFonts w:ascii="Arial" w:cs="Arial" w:eastAsia="Arial" w:hAnsi="Arial"/>
                <w:sz w:val="14"/>
                <w:szCs w:val="14"/>
                <w:color w:val="auto"/>
              </w:rPr>
              <w:t>Stock-based compensation plans: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option and purchase plans:</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400"/>
              <w:spacing w:after="0" w:line="149" w:lineRule="exact"/>
              <w:rPr>
                <w:sz w:val="20"/>
                <w:szCs w:val="20"/>
                <w:color w:val="auto"/>
              </w:rPr>
            </w:pPr>
            <w:r>
              <w:rPr>
                <w:rFonts w:ascii="Arial" w:cs="Arial" w:eastAsia="Arial" w:hAnsi="Arial"/>
                <w:sz w:val="14"/>
                <w:szCs w:val="14"/>
                <w:color w:val="auto"/>
              </w:rPr>
              <w:t>Compensation expense</w:t>
            </w:r>
          </w:p>
        </w:tc>
        <w:tc>
          <w:tcPr>
            <w:tcW w:w="320" w:type="dxa"/>
            <w:vAlign w:val="bottom"/>
          </w:tcPr>
          <w:p>
            <w:pPr>
              <w:spacing w:after="0"/>
              <w:rPr>
                <w:sz w:val="12"/>
                <w:szCs w:val="12"/>
                <w:color w:val="auto"/>
              </w:rPr>
            </w:pPr>
          </w:p>
        </w:tc>
        <w:tc>
          <w:tcPr>
            <w:tcW w:w="86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14,449</w:t>
            </w:r>
          </w:p>
        </w:tc>
        <w:tc>
          <w:tcPr>
            <w:tcW w:w="108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250"/>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369"/>
              <w:spacing w:after="0" w:line="149" w:lineRule="exact"/>
              <w:rPr>
                <w:sz w:val="20"/>
                <w:szCs w:val="20"/>
                <w:color w:val="auto"/>
              </w:rPr>
            </w:pPr>
            <w:r>
              <w:rPr>
                <w:rFonts w:ascii="Arial" w:cs="Arial" w:eastAsia="Arial" w:hAnsi="Arial"/>
                <w:sz w:val="14"/>
                <w:szCs w:val="14"/>
                <w:color w:val="auto"/>
              </w:rPr>
              <w:t>4,032</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Exercises</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(13,397)</w:t>
            </w:r>
          </w:p>
        </w:tc>
        <w:tc>
          <w:tcPr>
            <w:tcW w:w="108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16,711</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Directors’ stock plan</w:t>
            </w:r>
          </w:p>
        </w:tc>
        <w:tc>
          <w:tcPr>
            <w:tcW w:w="320" w:type="dxa"/>
            <w:vAlign w:val="bottom"/>
          </w:tcPr>
          <w:p>
            <w:pPr>
              <w:spacing w:after="0"/>
              <w:rPr>
                <w:sz w:val="12"/>
                <w:szCs w:val="12"/>
                <w:color w:val="auto"/>
              </w:rPr>
            </w:pPr>
          </w:p>
        </w:tc>
        <w:tc>
          <w:tcPr>
            <w:tcW w:w="86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(101)</w:t>
            </w:r>
          </w:p>
        </w:tc>
        <w:tc>
          <w:tcPr>
            <w:tcW w:w="108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250"/>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369"/>
              <w:spacing w:after="0" w:line="149" w:lineRule="exact"/>
              <w:rPr>
                <w:sz w:val="20"/>
                <w:szCs w:val="20"/>
                <w:color w:val="auto"/>
              </w:rPr>
            </w:pPr>
            <w:r>
              <w:rPr>
                <w:rFonts w:ascii="Arial" w:cs="Arial" w:eastAsia="Arial" w:hAnsi="Arial"/>
                <w:sz w:val="14"/>
                <w:szCs w:val="14"/>
                <w:color w:val="auto"/>
              </w:rPr>
              <w:t>427</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Deferred compensation plans, net,</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including dividend equivalents</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(247)</w:t>
            </w:r>
          </w:p>
        </w:tc>
        <w:tc>
          <w:tcPr>
            <w:tcW w:w="11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(383)</w:t>
            </w:r>
          </w:p>
        </w:tc>
        <w:tc>
          <w:tcPr>
            <w:tcW w:w="10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(54)</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739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color w:val="auto"/>
              </w:rPr>
              <w:t>Common stock cash dividends - $0.70</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per share</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(77,004)</w:t>
            </w: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(77,004)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Balance — March 31, 2008</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60,198</w:t>
            </w:r>
          </w:p>
        </w:tc>
        <w:tc>
          <w:tcPr>
            <w:tcW w:w="1100" w:type="dxa"/>
            <w:vAlign w:val="bottom"/>
            <w:tcBorders>
              <w:bottom w:val="single" w:sz="8" w:color="auto"/>
            </w:tcBorders>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4,529</w:t>
            </w:r>
          </w:p>
        </w:tc>
        <w:tc>
          <w:tcPr>
            <w:tcW w:w="1140" w:type="dxa"/>
            <w:vAlign w:val="bottom"/>
            <w:tcBorders>
              <w:bottom w:val="single" w:sz="8" w:color="auto"/>
            </w:tcBorders>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2,849,320</w:t>
            </w:r>
          </w:p>
        </w:tc>
        <w:tc>
          <w:tcPr>
            <w:tcW w:w="1080" w:type="dxa"/>
            <w:vAlign w:val="bottom"/>
            <w:tcBorders>
              <w:bottom w:val="single" w:sz="8" w:color="auto"/>
            </w:tcBorders>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4,940,723</w:t>
            </w:r>
          </w:p>
        </w:tc>
        <w:tc>
          <w:tcPr>
            <w:tcW w:w="1260" w:type="dxa"/>
            <w:vAlign w:val="bottom"/>
            <w:tcBorders>
              <w:bottom w:val="single" w:sz="8" w:color="auto"/>
            </w:tcBorders>
            <w:shd w:val="clear" w:color="auto" w:fill="CCEEFF"/>
          </w:tcPr>
          <w:p>
            <w:pPr>
              <w:jc w:val="right"/>
              <w:ind w:right="190"/>
              <w:spacing w:after="0" w:line="149" w:lineRule="exact"/>
              <w:rPr>
                <w:sz w:val="20"/>
                <w:szCs w:val="20"/>
                <w:color w:val="auto"/>
              </w:rPr>
            </w:pPr>
            <w:r>
              <w:rPr>
                <w:rFonts w:ascii="Arial" w:cs="Arial" w:eastAsia="Arial" w:hAnsi="Arial"/>
                <w:sz w:val="14"/>
                <w:szCs w:val="14"/>
                <w:color w:val="auto"/>
              </w:rPr>
              <w:t>(259,484)</w:t>
            </w:r>
          </w:p>
        </w:tc>
        <w:tc>
          <w:tcPr>
            <w:tcW w:w="1320" w:type="dxa"/>
            <w:vAlign w:val="bottom"/>
            <w:tcBorders>
              <w:bottom w:val="single" w:sz="8" w:color="auto"/>
            </w:tcBorders>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(1,107,324)</w:t>
            </w:r>
          </w:p>
        </w:tc>
        <w:tc>
          <w:tcPr>
            <w:tcW w:w="80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6,487,962</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 January 1, 2009</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567,463</w:t>
            </w:r>
          </w:p>
        </w:tc>
        <w:tc>
          <w:tcPr>
            <w:tcW w:w="112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60,198</w:t>
            </w:r>
          </w:p>
        </w:tc>
        <w:tc>
          <w:tcPr>
            <w:tcW w:w="110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4,617</w:t>
            </w:r>
          </w:p>
        </w:tc>
        <w:tc>
          <w:tcPr>
            <w:tcW w:w="114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2,897,907</w:t>
            </w:r>
          </w:p>
        </w:tc>
        <w:tc>
          <w:tcPr>
            <w:tcW w:w="108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5,062,754</w:t>
            </w:r>
          </w:p>
        </w:tc>
        <w:tc>
          <w:tcPr>
            <w:tcW w:w="1260" w:type="dxa"/>
            <w:vAlign w:val="bottom"/>
            <w:shd w:val="clear" w:color="auto" w:fill="CCEEFF"/>
          </w:tcPr>
          <w:p>
            <w:pPr>
              <w:jc w:val="right"/>
              <w:ind w:right="190"/>
              <w:spacing w:after="0" w:line="149" w:lineRule="exact"/>
              <w:rPr>
                <w:sz w:val="20"/>
                <w:szCs w:val="20"/>
                <w:color w:val="auto"/>
              </w:rPr>
            </w:pPr>
            <w:r>
              <w:rPr>
                <w:rFonts w:ascii="Arial" w:cs="Arial" w:eastAsia="Arial" w:hAnsi="Arial"/>
                <w:sz w:val="14"/>
                <w:szCs w:val="14"/>
                <w:color w:val="auto"/>
              </w:rPr>
              <w:t>(736,881)</w:t>
            </w:r>
          </w:p>
        </w:tc>
        <w:tc>
          <w:tcPr>
            <w:tcW w:w="132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(1,071,327)</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6,784,731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64,221</w:t>
            </w:r>
          </w:p>
        </w:tc>
        <w:tc>
          <w:tcPr>
            <w:tcW w:w="1260" w:type="dxa"/>
            <w:vAlign w:val="bottom"/>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64,221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200"/>
              <w:spacing w:after="0" w:line="130" w:lineRule="exact"/>
              <w:rPr>
                <w:sz w:val="20"/>
                <w:szCs w:val="20"/>
                <w:color w:val="auto"/>
              </w:rPr>
            </w:pPr>
            <w:r>
              <w:rPr>
                <w:rFonts w:ascii="Arial" w:cs="Arial" w:eastAsia="Arial" w:hAnsi="Arial"/>
                <w:sz w:val="14"/>
                <w:szCs w:val="14"/>
                <w:color w:val="auto"/>
              </w:rPr>
              <w:t>Other comprehensive income, net</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400"/>
              <w:spacing w:after="0" w:line="149" w:lineRule="exact"/>
              <w:rPr>
                <w:sz w:val="20"/>
                <w:szCs w:val="20"/>
                <w:color w:val="auto"/>
              </w:rPr>
            </w:pPr>
            <w:r>
              <w:rPr>
                <w:rFonts w:ascii="Arial" w:cs="Arial" w:eastAsia="Arial" w:hAnsi="Arial"/>
                <w:sz w:val="14"/>
                <w:szCs w:val="14"/>
                <w:color w:val="auto"/>
              </w:rPr>
              <w:t>of tax and reclassification</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400"/>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gains on investment</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securities</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110,839</w:t>
            </w:r>
          </w:p>
        </w:tc>
        <w:tc>
          <w:tcPr>
            <w:tcW w:w="13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110,839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400"/>
              <w:spacing w:after="0" w:line="130" w:lineRule="exact"/>
              <w:rPr>
                <w:sz w:val="20"/>
                <w:szCs w:val="20"/>
                <w:color w:val="auto"/>
              </w:rPr>
            </w:pPr>
            <w:r>
              <w:rPr>
                <w:rFonts w:ascii="Arial" w:cs="Arial" w:eastAsia="Arial" w:hAnsi="Arial"/>
                <w:sz w:val="14"/>
                <w:szCs w:val="14"/>
                <w:color w:val="auto"/>
              </w:rPr>
              <w:t>Defined benefit plans liability</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600"/>
              <w:spacing w:after="0"/>
              <w:rPr>
                <w:sz w:val="20"/>
                <w:szCs w:val="20"/>
                <w:color w:val="auto"/>
              </w:rPr>
            </w:pPr>
            <w:r>
              <w:rPr>
                <w:rFonts w:ascii="Arial" w:cs="Arial" w:eastAsia="Arial" w:hAnsi="Arial"/>
                <w:sz w:val="14"/>
                <w:szCs w:val="14"/>
                <w:color w:val="auto"/>
              </w:rPr>
              <w:t>adjustment</w:t>
            </w:r>
          </w:p>
        </w:tc>
        <w:tc>
          <w:tcPr>
            <w:tcW w:w="32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50"/>
              <w:spacing w:after="0"/>
              <w:rPr>
                <w:sz w:val="20"/>
                <w:szCs w:val="20"/>
                <w:color w:val="auto"/>
              </w:rPr>
            </w:pPr>
            <w:r>
              <w:rPr>
                <w:rFonts w:ascii="Arial" w:cs="Arial" w:eastAsia="Arial" w:hAnsi="Arial"/>
                <w:sz w:val="14"/>
                <w:szCs w:val="14"/>
                <w:color w:val="auto"/>
              </w:rPr>
              <w:t>472</w:t>
            </w:r>
          </w:p>
        </w:tc>
        <w:tc>
          <w:tcPr>
            <w:tcW w:w="132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8"/>
              </w:rPr>
              <w:t>Unrealized losses on terminated</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cash flow hedges</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3,161</w:t>
            </w:r>
          </w:p>
        </w:tc>
        <w:tc>
          <w:tcPr>
            <w:tcW w:w="13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178,693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(4,333)</w:t>
            </w:r>
          </w:p>
        </w:tc>
        <w:tc>
          <w:tcPr>
            <w:tcW w:w="1260" w:type="dxa"/>
            <w:vAlign w:val="bottom"/>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color w:val="auto"/>
              </w:rPr>
              <w:t>Amortization of preferred stock</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4"/>
                <w:szCs w:val="14"/>
                <w:color w:val="auto"/>
              </w:rPr>
              <w:t>discount</w:t>
            </w:r>
          </w:p>
        </w:tc>
        <w:tc>
          <w:tcPr>
            <w:tcW w:w="32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color w:val="auto"/>
              </w:rPr>
              <w:t>821</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9"/>
              <w:spacing w:after="0"/>
              <w:rPr>
                <w:sz w:val="20"/>
                <w:szCs w:val="20"/>
                <w:color w:val="auto"/>
              </w:rPr>
            </w:pPr>
            <w:r>
              <w:rPr>
                <w:rFonts w:ascii="Arial" w:cs="Arial" w:eastAsia="Arial" w:hAnsi="Arial"/>
                <w:sz w:val="14"/>
                <w:szCs w:val="14"/>
                <w:color w:val="auto"/>
              </w:rPr>
              <w:t>(821)</w:t>
            </w:r>
          </w:p>
        </w:tc>
        <w:tc>
          <w:tcPr>
            <w:tcW w:w="126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Stock option and purchase plans:</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Compensation expense</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(50,437)</w:t>
            </w:r>
          </w:p>
        </w:tc>
        <w:tc>
          <w:tcPr>
            <w:tcW w:w="108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72,160</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400"/>
              <w:spacing w:after="0" w:line="149" w:lineRule="exact"/>
              <w:rPr>
                <w:sz w:val="20"/>
                <w:szCs w:val="20"/>
                <w:color w:val="auto"/>
              </w:rPr>
            </w:pPr>
            <w:r>
              <w:rPr>
                <w:rFonts w:ascii="Arial" w:cs="Arial" w:eastAsia="Arial" w:hAnsi="Arial"/>
                <w:sz w:val="14"/>
                <w:szCs w:val="14"/>
                <w:color w:val="auto"/>
              </w:rPr>
              <w:t>Exercises</w:t>
            </w:r>
          </w:p>
        </w:tc>
        <w:tc>
          <w:tcPr>
            <w:tcW w:w="320" w:type="dxa"/>
            <w:vAlign w:val="bottom"/>
          </w:tcPr>
          <w:p>
            <w:pPr>
              <w:spacing w:after="0"/>
              <w:rPr>
                <w:sz w:val="12"/>
                <w:szCs w:val="12"/>
                <w:color w:val="auto"/>
              </w:rPr>
            </w:pPr>
          </w:p>
        </w:tc>
        <w:tc>
          <w:tcPr>
            <w:tcW w:w="86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(1,568)</w:t>
            </w:r>
          </w:p>
        </w:tc>
        <w:tc>
          <w:tcPr>
            <w:tcW w:w="108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250"/>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369"/>
              <w:spacing w:after="0" w:line="149" w:lineRule="exact"/>
              <w:rPr>
                <w:sz w:val="20"/>
                <w:szCs w:val="20"/>
                <w:color w:val="auto"/>
              </w:rPr>
            </w:pPr>
            <w:r>
              <w:rPr>
                <w:rFonts w:ascii="Arial" w:cs="Arial" w:eastAsia="Arial" w:hAnsi="Arial"/>
                <w:sz w:val="14"/>
                <w:szCs w:val="14"/>
                <w:color w:val="auto"/>
              </w:rPr>
              <w:t>360</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Directors’ stock plan</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(278)</w:t>
            </w:r>
          </w:p>
        </w:tc>
        <w:tc>
          <w:tcPr>
            <w:tcW w:w="108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69"/>
              <w:spacing w:after="0" w:line="149" w:lineRule="exact"/>
              <w:rPr>
                <w:sz w:val="20"/>
                <w:szCs w:val="20"/>
                <w:color w:val="auto"/>
              </w:rPr>
            </w:pPr>
            <w:r>
              <w:rPr>
                <w:rFonts w:ascii="Arial" w:cs="Arial" w:eastAsia="Arial" w:hAnsi="Arial"/>
                <w:sz w:val="14"/>
                <w:szCs w:val="14"/>
                <w:color w:val="auto"/>
              </w:rPr>
              <w:t>600</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200"/>
              <w:spacing w:after="0" w:line="130" w:lineRule="exact"/>
              <w:rPr>
                <w:sz w:val="20"/>
                <w:szCs w:val="20"/>
                <w:color w:val="auto"/>
              </w:rPr>
            </w:pPr>
            <w:r>
              <w:rPr>
                <w:rFonts w:ascii="Arial" w:cs="Arial" w:eastAsia="Arial" w:hAnsi="Arial"/>
                <w:sz w:val="14"/>
                <w:szCs w:val="14"/>
                <w:color w:val="auto"/>
              </w:rPr>
              <w:t>Deferred compensation plans, net,</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400"/>
              <w:spacing w:after="0"/>
              <w:rPr>
                <w:sz w:val="20"/>
                <w:szCs w:val="20"/>
                <w:color w:val="auto"/>
              </w:rPr>
            </w:pPr>
            <w:r>
              <w:rPr>
                <w:rFonts w:ascii="Arial" w:cs="Arial" w:eastAsia="Arial" w:hAnsi="Arial"/>
                <w:sz w:val="14"/>
                <w:szCs w:val="14"/>
                <w:color w:val="auto"/>
              </w:rPr>
              <w:t>including dividend equivalents</w:t>
            </w:r>
          </w:p>
        </w:tc>
        <w:tc>
          <w:tcPr>
            <w:tcW w:w="32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(429)</w:t>
            </w:r>
          </w:p>
        </w:tc>
        <w:tc>
          <w:tcPr>
            <w:tcW w:w="1140" w:type="dxa"/>
            <w:vAlign w:val="bottom"/>
          </w:tcPr>
          <w:p>
            <w:pPr>
              <w:jc w:val="right"/>
              <w:ind w:right="189"/>
              <w:spacing w:after="0"/>
              <w:rPr>
                <w:sz w:val="20"/>
                <w:szCs w:val="20"/>
                <w:color w:val="auto"/>
              </w:rPr>
            </w:pPr>
            <w:r>
              <w:rPr>
                <w:rFonts w:ascii="Arial" w:cs="Arial" w:eastAsia="Arial" w:hAnsi="Arial"/>
                <w:sz w:val="14"/>
                <w:szCs w:val="14"/>
                <w:color w:val="auto"/>
              </w:rPr>
              <w:t>(497)</w:t>
            </w:r>
          </w:p>
        </w:tc>
        <w:tc>
          <w:tcPr>
            <w:tcW w:w="1080" w:type="dxa"/>
            <w:vAlign w:val="bottom"/>
          </w:tcPr>
          <w:p>
            <w:pPr>
              <w:jc w:val="right"/>
              <w:ind w:right="129"/>
              <w:spacing w:after="0"/>
              <w:rPr>
                <w:sz w:val="20"/>
                <w:szCs w:val="20"/>
                <w:color w:val="auto"/>
              </w:rPr>
            </w:pPr>
            <w:r>
              <w:rPr>
                <w:rFonts w:ascii="Arial" w:cs="Arial" w:eastAsia="Arial" w:hAnsi="Arial"/>
                <w:sz w:val="14"/>
                <w:szCs w:val="14"/>
                <w:color w:val="auto"/>
              </w:rPr>
              <w:t>(50)</w:t>
            </w:r>
          </w:p>
        </w:tc>
        <w:tc>
          <w:tcPr>
            <w:tcW w:w="126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69"/>
              <w:spacing w:after="0"/>
              <w:rPr>
                <w:sz w:val="20"/>
                <w:szCs w:val="20"/>
                <w:color w:val="auto"/>
              </w:rPr>
            </w:pPr>
            <w:r>
              <w:rPr>
                <w:rFonts w:ascii="Arial" w:cs="Arial" w:eastAsia="Arial" w:hAnsi="Arial"/>
                <w:sz w:val="14"/>
                <w:szCs w:val="14"/>
                <w:color w:val="auto"/>
              </w:rPr>
              <w:t>1,025</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cash dividends - $0.70</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per share</w:t>
            </w: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(78,138)</w:t>
            </w: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(78,138)</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Balance — March 31, 2009</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568,284</w:t>
            </w:r>
          </w:p>
        </w:tc>
        <w:tc>
          <w:tcPr>
            <w:tcW w:w="112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60,198</w:t>
            </w:r>
          </w:p>
        </w:tc>
        <w:tc>
          <w:tcPr>
            <w:tcW w:w="1100" w:type="dxa"/>
            <w:vAlign w:val="bottom"/>
            <w:tcBorders>
              <w:bottom w:val="single" w:sz="8" w:color="auto"/>
            </w:tcBorders>
          </w:tcPr>
          <w:p>
            <w:pPr>
              <w:jc w:val="right"/>
              <w:ind w:right="229"/>
              <w:spacing w:after="0" w:line="155" w:lineRule="exact"/>
              <w:rPr>
                <w:sz w:val="20"/>
                <w:szCs w:val="20"/>
                <w:color w:val="auto"/>
              </w:rPr>
            </w:pPr>
            <w:r>
              <w:rPr>
                <w:rFonts w:ascii="Arial" w:cs="Arial" w:eastAsia="Arial" w:hAnsi="Arial"/>
                <w:sz w:val="14"/>
                <w:szCs w:val="14"/>
                <w:color w:val="auto"/>
              </w:rPr>
              <w:t>4,188</w:t>
            </w:r>
          </w:p>
        </w:tc>
        <w:tc>
          <w:tcPr>
            <w:tcW w:w="1140" w:type="dxa"/>
            <w:vAlign w:val="bottom"/>
            <w:tcBorders>
              <w:bottom w:val="single" w:sz="8" w:color="auto"/>
            </w:tcBorders>
          </w:tcPr>
          <w:p>
            <w:pPr>
              <w:jc w:val="right"/>
              <w:ind w:right="229"/>
              <w:spacing w:after="0" w:line="155" w:lineRule="exact"/>
              <w:rPr>
                <w:sz w:val="20"/>
                <w:szCs w:val="20"/>
                <w:color w:val="auto"/>
              </w:rPr>
            </w:pPr>
            <w:r>
              <w:rPr>
                <w:rFonts w:ascii="Arial" w:cs="Arial" w:eastAsia="Arial" w:hAnsi="Arial"/>
                <w:sz w:val="14"/>
                <w:szCs w:val="14"/>
                <w:color w:val="auto"/>
              </w:rPr>
              <w:t>2,845,127</w:t>
            </w:r>
          </w:p>
        </w:tc>
        <w:tc>
          <w:tcPr>
            <w:tcW w:w="1080" w:type="dxa"/>
            <w:vAlign w:val="bottom"/>
            <w:tcBorders>
              <w:bottom w:val="single" w:sz="8" w:color="auto"/>
            </w:tcBorders>
          </w:tcPr>
          <w:p>
            <w:pPr>
              <w:jc w:val="right"/>
              <w:ind w:right="189"/>
              <w:spacing w:after="0" w:line="155" w:lineRule="exact"/>
              <w:rPr>
                <w:sz w:val="20"/>
                <w:szCs w:val="20"/>
                <w:color w:val="auto"/>
              </w:rPr>
            </w:pPr>
            <w:r>
              <w:rPr>
                <w:rFonts w:ascii="Arial" w:cs="Arial" w:eastAsia="Arial" w:hAnsi="Arial"/>
                <w:sz w:val="14"/>
                <w:szCs w:val="14"/>
                <w:color w:val="auto"/>
              </w:rPr>
              <w:t>5,043,633</w:t>
            </w:r>
          </w:p>
        </w:tc>
        <w:tc>
          <w:tcPr>
            <w:tcW w:w="1260" w:type="dxa"/>
            <w:vAlign w:val="bottom"/>
            <w:tcBorders>
              <w:bottom w:val="single" w:sz="8" w:color="auto"/>
            </w:tcBorders>
          </w:tcPr>
          <w:p>
            <w:pPr>
              <w:jc w:val="right"/>
              <w:ind w:right="190"/>
              <w:spacing w:after="0" w:line="155" w:lineRule="exact"/>
              <w:rPr>
                <w:sz w:val="20"/>
                <w:szCs w:val="20"/>
                <w:color w:val="auto"/>
              </w:rPr>
            </w:pPr>
            <w:r>
              <w:rPr>
                <w:rFonts w:ascii="Arial" w:cs="Arial" w:eastAsia="Arial" w:hAnsi="Arial"/>
                <w:sz w:val="14"/>
                <w:szCs w:val="14"/>
                <w:color w:val="auto"/>
              </w:rPr>
              <w:t>(622,409)</w:t>
            </w:r>
          </w:p>
        </w:tc>
        <w:tc>
          <w:tcPr>
            <w:tcW w:w="1320" w:type="dxa"/>
            <w:vAlign w:val="bottom"/>
            <w:tcBorders>
              <w:bottom w:val="single" w:sz="8" w:color="auto"/>
            </w:tcBorders>
          </w:tcPr>
          <w:p>
            <w:pPr>
              <w:jc w:val="right"/>
              <w:ind w:right="329"/>
              <w:spacing w:after="0" w:line="155" w:lineRule="exact"/>
              <w:rPr>
                <w:sz w:val="20"/>
                <w:szCs w:val="20"/>
                <w:color w:val="auto"/>
              </w:rPr>
            </w:pPr>
            <w:r>
              <w:rPr>
                <w:rFonts w:ascii="Arial" w:cs="Arial" w:eastAsia="Arial" w:hAnsi="Arial"/>
                <w:sz w:val="14"/>
                <w:szCs w:val="14"/>
                <w:color w:val="auto"/>
              </w:rPr>
              <w:t>(997,182)</w:t>
            </w:r>
          </w:p>
        </w:tc>
        <w:tc>
          <w:tcPr>
            <w:tcW w:w="80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6,901,839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SUMMARY OF CHANGES IN ALLOWANCE FOR CREDIT LOSSES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680" w:type="dxa"/>
            <w:vAlign w:val="bottom"/>
            <w:gridSpan w:val="2"/>
          </w:tcPr>
          <w:p>
            <w:pPr>
              <w:jc w:val="right"/>
              <w:ind w:right="613"/>
              <w:spacing w:after="0"/>
              <w:rPr>
                <w:sz w:val="20"/>
                <w:szCs w:val="20"/>
                <w:color w:val="auto"/>
              </w:rPr>
            </w:pPr>
            <w:r>
              <w:rPr>
                <w:rFonts w:ascii="Arial" w:cs="Arial" w:eastAsia="Arial" w:hAnsi="Arial"/>
                <w:sz w:val="14"/>
                <w:szCs w:val="14"/>
                <w:color w:val="auto"/>
              </w:rPr>
              <w:t>Three months ended March 31</w:t>
            </w:r>
          </w:p>
        </w:tc>
      </w:tr>
      <w:tr>
        <w:trPr>
          <w:trHeight w:val="174"/>
        </w:trPr>
        <w:tc>
          <w:tcPr>
            <w:tcW w:w="37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6160" w:type="dxa"/>
            <w:vAlign w:val="bottom"/>
          </w:tcPr>
          <w:p>
            <w:pPr>
              <w:jc w:val="right"/>
              <w:ind w:right="754"/>
              <w:spacing w:after="0"/>
              <w:rPr>
                <w:sz w:val="20"/>
                <w:szCs w:val="20"/>
                <w:color w:val="auto"/>
              </w:rPr>
            </w:pPr>
            <w:r>
              <w:rPr>
                <w:rFonts w:ascii="Arial" w:cs="Arial" w:eastAsia="Arial" w:hAnsi="Arial"/>
                <w:sz w:val="14"/>
                <w:szCs w:val="14"/>
                <w:color w:val="auto"/>
              </w:rPr>
              <w:t>2009</w:t>
            </w:r>
          </w:p>
        </w:tc>
        <w:tc>
          <w:tcPr>
            <w:tcW w:w="1520" w:type="dxa"/>
            <w:vAlign w:val="bottom"/>
          </w:tcPr>
          <w:p>
            <w:pPr>
              <w:jc w:val="right"/>
              <w:ind w:right="413"/>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160" w:type="dxa"/>
            <w:vAlign w:val="bottom"/>
            <w:tcBorders>
              <w:top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rPr>
              <w:t>$ 787,904</w:t>
            </w:r>
          </w:p>
        </w:tc>
        <w:tc>
          <w:tcPr>
            <w:tcW w:w="152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759,439</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6160" w:type="dxa"/>
            <w:vAlign w:val="bottom"/>
          </w:tcPr>
          <w:p>
            <w:pPr>
              <w:jc w:val="right"/>
              <w:ind w:right="574"/>
              <w:spacing w:after="0"/>
              <w:rPr>
                <w:sz w:val="20"/>
                <w:szCs w:val="20"/>
                <w:color w:val="auto"/>
              </w:rPr>
            </w:pPr>
            <w:r>
              <w:rPr>
                <w:rFonts w:ascii="Arial" w:cs="Arial" w:eastAsia="Arial" w:hAnsi="Arial"/>
                <w:sz w:val="18"/>
                <w:szCs w:val="18"/>
                <w:color w:val="auto"/>
              </w:rPr>
              <w:t>158,000</w:t>
            </w:r>
          </w:p>
        </w:tc>
        <w:tc>
          <w:tcPr>
            <w:tcW w:w="1520" w:type="dxa"/>
            <w:vAlign w:val="bottom"/>
          </w:tcPr>
          <w:p>
            <w:pPr>
              <w:jc w:val="right"/>
              <w:ind w:right="253"/>
              <w:spacing w:after="0"/>
              <w:rPr>
                <w:sz w:val="20"/>
                <w:szCs w:val="20"/>
                <w:color w:val="auto"/>
              </w:rPr>
            </w:pPr>
            <w:r>
              <w:rPr>
                <w:rFonts w:ascii="Arial" w:cs="Arial" w:eastAsia="Arial" w:hAnsi="Arial"/>
                <w:sz w:val="18"/>
                <w:szCs w:val="18"/>
                <w:color w:val="auto"/>
              </w:rPr>
              <w:t>60,000</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6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Charge-offs</w:t>
            </w:r>
          </w:p>
        </w:tc>
        <w:tc>
          <w:tcPr>
            <w:tcW w:w="6160" w:type="dxa"/>
            <w:vAlign w:val="bottom"/>
          </w:tcPr>
          <w:p>
            <w:pPr>
              <w:jc w:val="right"/>
              <w:ind w:right="514"/>
              <w:spacing w:after="0"/>
              <w:rPr>
                <w:sz w:val="20"/>
                <w:szCs w:val="20"/>
                <w:color w:val="auto"/>
              </w:rPr>
            </w:pPr>
            <w:r>
              <w:rPr>
                <w:rFonts w:ascii="Arial" w:cs="Arial" w:eastAsia="Arial" w:hAnsi="Arial"/>
                <w:sz w:val="18"/>
                <w:szCs w:val="18"/>
                <w:color w:val="auto"/>
              </w:rPr>
              <w:t>(110,605)</w:t>
            </w:r>
          </w:p>
        </w:tc>
        <w:tc>
          <w:tcPr>
            <w:tcW w:w="1520" w:type="dxa"/>
            <w:vAlign w:val="bottom"/>
          </w:tcPr>
          <w:p>
            <w:pPr>
              <w:jc w:val="right"/>
              <w:ind w:right="193"/>
              <w:spacing w:after="0"/>
              <w:rPr>
                <w:sz w:val="20"/>
                <w:szCs w:val="20"/>
                <w:color w:val="auto"/>
              </w:rPr>
            </w:pPr>
            <w:r>
              <w:rPr>
                <w:rFonts w:ascii="Arial" w:cs="Arial" w:eastAsia="Arial" w:hAnsi="Arial"/>
                <w:sz w:val="18"/>
                <w:szCs w:val="18"/>
                <w:color w:val="auto"/>
              </w:rPr>
              <w:t>(55,806)</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61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rPr>
              <w:t>10,672</w:t>
            </w:r>
          </w:p>
        </w:tc>
        <w:tc>
          <w:tcPr>
            <w:tcW w:w="15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9,991</w:t>
            </w:r>
          </w:p>
        </w:tc>
      </w:tr>
      <w:tr>
        <w:trPr>
          <w:trHeight w:val="230"/>
        </w:trPr>
        <w:tc>
          <w:tcPr>
            <w:tcW w:w="20" w:type="dxa"/>
            <w:vAlign w:val="bottom"/>
          </w:tcPr>
          <w:p>
            <w:pPr>
              <w:spacing w:after="0"/>
              <w:rPr>
                <w:sz w:val="20"/>
                <w:szCs w:val="20"/>
                <w:color w:val="auto"/>
              </w:rPr>
            </w:pPr>
          </w:p>
        </w:tc>
        <w:tc>
          <w:tcPr>
            <w:tcW w:w="37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net charge-offs</w:t>
            </w:r>
          </w:p>
        </w:tc>
        <w:tc>
          <w:tcPr>
            <w:tcW w:w="616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rPr>
              <w:t>(99,933)</w:t>
            </w: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(45,815)</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1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rPr>
              <w:t>$ 845,971</w:t>
            </w:r>
          </w:p>
        </w:tc>
        <w:tc>
          <w:tcPr>
            <w:tcW w:w="15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773,624</w:t>
            </w: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160" w:type="dxa"/>
            <w:vAlign w:val="bottom"/>
          </w:tcPr>
          <w:p>
            <w:pPr>
              <w:jc w:val="right"/>
              <w:ind w:right="3954"/>
              <w:spacing w:after="0"/>
              <w:rPr>
                <w:sz w:val="20"/>
                <w:szCs w:val="20"/>
                <w:color w:val="auto"/>
              </w:rPr>
            </w:pPr>
            <w:r>
              <w:rPr>
                <w:rFonts w:ascii="Arial" w:cs="Arial" w:eastAsia="Arial" w:hAnsi="Arial"/>
                <w:sz w:val="18"/>
                <w:szCs w:val="18"/>
                <w:color w:val="auto"/>
              </w:rPr>
              <w:t>- 6 -</w:t>
            </w:r>
          </w:p>
        </w:tc>
        <w:tc>
          <w:tcPr>
            <w:tcW w:w="15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61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2008 Annual Report, except as described below. In the opinion of management, all adjustments necessary for a fair presentation have been made and were all of a normal recurring nature.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December 18, 2008, M&amp;T entered into a definitive agreement to acquire Provident Bankshares Corporation (“Provident”), a bank holding company headquartered in Baltimore, Maryland, in a stock-for-stock transaction. Provident operates 141 branch offices located primarily in Maryland and Virginia. At March 31, 2009, Provident had $6.5 billion in assets, including $4.3 billion of loans and leases, and $4.8 billion of deposits. The merger has received the approval of Provident’s common shareholders. The approvals of various regulatory agencies are also required and, assuming those approvals are obtained, the merger is expected to be completed during the second quarter of 2009. Under the terms of the merger agreement, Provident common shareholders will receive 0.171625 shares of M&amp;T common stock in exchange for each share of Provident common stock they own. At March 31, 2009, Provident had 34,167,857 shares of common stock outstanding. Series A and Series B preferred stock of $182 million issued by Provident will be exchanged for new series of M&amp;T preferred stock on substantially the same terms. The acquisition of Provident will expand the Company’s presence in the Mid-Atlantic area, is expected to give the Company the second-largest deposit share in Maryland, and will triple the Company’s presence in Virginia.</w:t>
      </w:r>
    </w:p>
    <w:p>
      <w:pPr>
        <w:spacing w:after="0" w:line="59" w:lineRule="exact"/>
        <w:rPr>
          <w:sz w:val="20"/>
          <w:szCs w:val="20"/>
          <w:color w:val="auto"/>
        </w:rPr>
      </w:pPr>
    </w:p>
    <w:p>
      <w:pPr>
        <w:ind w:right="20" w:firstLine="447"/>
        <w:spacing w:after="0" w:line="293" w:lineRule="auto"/>
        <w:rPr>
          <w:sz w:val="20"/>
          <w:szCs w:val="20"/>
          <w:color w:val="auto"/>
        </w:rPr>
      </w:pPr>
      <w:r>
        <w:rPr>
          <w:rFonts w:ascii="Arial" w:cs="Arial" w:eastAsia="Arial" w:hAnsi="Arial"/>
          <w:sz w:val="16"/>
          <w:szCs w:val="16"/>
          <w:color w:val="auto"/>
        </w:rPr>
        <w:t>The Company incurred merger-related expenses related to the pending Provident transaction for systems conversions and other costs of integrating and conforming acquired operations with and into the Company of $2 million ($1 million net of applicable income taxes) during the first quarter of 2009. Merger-related expenses of $4 million ($2 million net of applicable income taxes) were incurred during the first quarter of 2008 related to previous acquisition transactions. In general, those expenses consisted of professional services and other temporary help fees associated with the conversion of systems and/or integration of operations; costs related to branch and office consolidations; initial marketing and promotion expenses designed to introduce the Company to customers of the acquired operations; travel costs; and printing, postage and supplies and other costs of commencing operations in new offices.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2"/>
          </w:tcPr>
          <w:p>
            <w:pPr>
              <w:jc w:val="center"/>
              <w:ind w:right="573"/>
              <w:spacing w:after="0"/>
              <w:rPr>
                <w:sz w:val="20"/>
                <w:szCs w:val="20"/>
                <w:color w:val="auto"/>
              </w:rPr>
            </w:pPr>
            <w:r>
              <w:rPr>
                <w:rFonts w:ascii="Arial" w:cs="Arial" w:eastAsia="Arial" w:hAnsi="Arial"/>
                <w:sz w:val="14"/>
                <w:szCs w:val="14"/>
                <w:color w:val="auto"/>
                <w:w w:val="90"/>
              </w:rPr>
              <w:t>Gross</w:t>
            </w: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8"/>
              </w:rPr>
              <w:t>Amortized</w:t>
            </w:r>
          </w:p>
        </w:tc>
        <w:tc>
          <w:tcPr>
            <w:tcW w:w="1340" w:type="dxa"/>
            <w:vAlign w:val="bottom"/>
            <w:gridSpan w:val="2"/>
          </w:tcPr>
          <w:p>
            <w:pPr>
              <w:jc w:val="center"/>
              <w:ind w:right="573"/>
              <w:spacing w:after="0" w:line="149" w:lineRule="exact"/>
              <w:rPr>
                <w:sz w:val="20"/>
                <w:szCs w:val="20"/>
                <w:color w:val="auto"/>
              </w:rPr>
            </w:pPr>
            <w:r>
              <w:rPr>
                <w:rFonts w:ascii="Arial" w:cs="Arial" w:eastAsia="Arial" w:hAnsi="Arial"/>
                <w:sz w:val="14"/>
                <w:szCs w:val="14"/>
                <w:color w:val="auto"/>
                <w:w w:val="89"/>
              </w:rPr>
              <w:t>unrealized</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color w:val="auto"/>
                <w:w w:val="85"/>
              </w:rPr>
              <w:t>cost</w:t>
            </w:r>
          </w:p>
        </w:tc>
        <w:tc>
          <w:tcPr>
            <w:tcW w:w="1340" w:type="dxa"/>
            <w:vAlign w:val="bottom"/>
            <w:gridSpan w:val="2"/>
          </w:tcPr>
          <w:p>
            <w:pPr>
              <w:jc w:val="center"/>
              <w:ind w:right="573"/>
              <w:spacing w:after="0"/>
              <w:rPr>
                <w:sz w:val="20"/>
                <w:szCs w:val="20"/>
                <w:color w:val="auto"/>
              </w:rPr>
            </w:pPr>
            <w:r>
              <w:rPr>
                <w:rFonts w:ascii="Arial" w:cs="Arial" w:eastAsia="Arial" w:hAnsi="Arial"/>
                <w:sz w:val="14"/>
                <w:szCs w:val="14"/>
                <w:color w:val="auto"/>
                <w:w w:val="89"/>
              </w:rPr>
              <w:t>gains</w:t>
            </w: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w w:val="75"/>
              </w:rPr>
              <w:t>(in thousands)</w:t>
            </w:r>
          </w:p>
        </w:tc>
        <w:tc>
          <w:tcPr>
            <w:tcW w:w="8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March 31, 2009</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225,555</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4,108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73,534</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1,853</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3,444,130</w:t>
            </w:r>
          </w:p>
        </w:tc>
        <w:tc>
          <w:tcPr>
            <w:tcW w:w="64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130,460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3,571,865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2,950,109</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3,804</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604,510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2,349,403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41,914</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9,699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262,261</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172</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119,635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Equity securities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286,915</w:t>
            </w:r>
          </w:p>
        </w:tc>
        <w:tc>
          <w:tcPr>
            <w:tcW w:w="64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513</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30,973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256,455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7,284,418</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140,910</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767,951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6,657,377</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61,635</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1,958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Privately issued residential mortgage-backed securities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397,282</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196,706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10,651</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469,568</w:t>
            </w:r>
          </w:p>
        </w:tc>
        <w:tc>
          <w:tcPr>
            <w:tcW w:w="6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6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196,750</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559,900</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559,900</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8,313,886</w:t>
            </w: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142,868</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964,701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7,492,053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290,893</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6,203</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70,425</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1,641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3,525,196</w:t>
            </w:r>
          </w:p>
        </w:tc>
        <w:tc>
          <w:tcPr>
            <w:tcW w:w="64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93,578</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3,612,780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3,104,209</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484</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778,139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2,326,554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49,231</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8,185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263,773</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93,193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Equity securities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352,908</w:t>
            </w:r>
          </w:p>
        </w:tc>
        <w:tc>
          <w:tcPr>
            <w:tcW w:w="64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581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22,750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330,739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7,656,635</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102,505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908,947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6,850,193</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63,822</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1,715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Privately issued residential mortgage-backed securities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411,847</w:t>
            </w: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92,730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10,169</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485,838</w:t>
            </w:r>
          </w:p>
        </w:tc>
        <w:tc>
          <w:tcPr>
            <w:tcW w:w="6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6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92,801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394,752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583,176</w:t>
            </w: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583,176</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8,725,649</w:t>
            </w: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104,220</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1,001,748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7,828,121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0" w:type="dxa"/>
            <w:vAlign w:val="bottom"/>
            <w:vMerge w:val="restart"/>
          </w:tcPr>
          <w:p>
            <w:pPr>
              <w:jc w:val="right"/>
              <w:ind w:right="210"/>
              <w:spacing w:after="0"/>
              <w:rPr>
                <w:sz w:val="20"/>
                <w:szCs w:val="20"/>
                <w:color w:val="auto"/>
              </w:rPr>
            </w:pPr>
            <w:r>
              <w:rPr>
                <w:rFonts w:ascii="Arial" w:cs="Arial" w:eastAsia="Arial" w:hAnsi="Arial"/>
                <w:sz w:val="18"/>
                <w:szCs w:val="18"/>
                <w:color w:val="auto"/>
              </w:rPr>
              <w:t>- 8 -</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color w:val="auto"/>
        </w:rPr>
        <w:t>Gross realized gains on investment securities were $854 thousand and $34 million for the quarters ended March 31, 2009 and 2008, respectively. Gross realized losses on investment securities were $279 thousand and $95 thousand for the quarters ended March 31, 2009 and 2008, respectively. Effective January 1, 2009, the Company adopted FSP FAS 115-2 and FAS 124-2 “Recognition and Presentation of Other-Than-Temporary Impairments” (“FSP 115-2”). In accordance with FSP 115-2, the Company recognized $32 million (pre-tax) of other-than-temporary impairment losses during the quarter ended March 31, 2009 related to seven privately issued residential mortgage-backed securities for which it no longer expects to recover the entire amortized cost basis. The impairment charges were recognized in light of deterioration of housing values in the residential real estate market and a rise in delinquencies and charge-offs of underlying mortgage loans collateralizing these securities. The other-than-temporary impairment losses recognized were net of $31 million (pre-tax) of unrealized losses classified in accumulated other comprehensive income for the same securities. The $32 million loss represents management’s estimate of credit losses inherent in the securities considering projected cash flows using assumptions of delinquency rates, loss severities, and other estimates of future collateral performance. No other-than-temporary impairment losses on investment securities were recognized by the Company for the quarter ended March 31, 2008. The effect of the adoption of FSP 115-2 on debt securities previously reported as other-than-temporarily impaired was not material and, therefore, the Company did not record a transition adjustment as of January 1, 2009. The following table displays changes in credit losses recognized in earnings for the quarter ended March 31, 2009.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00" w:type="dxa"/>
            <w:vAlign w:val="bottom"/>
          </w:tcPr>
          <w:p>
            <w:pPr>
              <w:spacing w:after="0"/>
              <w:rPr>
                <w:sz w:val="14"/>
                <w:szCs w:val="14"/>
                <w:color w:val="auto"/>
              </w:rPr>
            </w:pPr>
          </w:p>
        </w:tc>
        <w:tc>
          <w:tcPr>
            <w:tcW w:w="3280" w:type="dxa"/>
            <w:vAlign w:val="bottom"/>
            <w:gridSpan w:val="4"/>
          </w:tcPr>
          <w:p>
            <w:pPr>
              <w:jc w:val="right"/>
              <w:ind w:right="40"/>
              <w:spacing w:after="0"/>
              <w:rPr>
                <w:sz w:val="20"/>
                <w:szCs w:val="20"/>
                <w:color w:val="auto"/>
              </w:rPr>
            </w:pPr>
            <w:r>
              <w:rPr>
                <w:rFonts w:ascii="Arial" w:cs="Arial" w:eastAsia="Arial" w:hAnsi="Arial"/>
                <w:sz w:val="14"/>
                <w:szCs w:val="14"/>
                <w:color w:val="auto"/>
              </w:rPr>
              <w:t>Debt securities</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(in thousands)</w:t>
            </w:r>
          </w:p>
        </w:tc>
        <w:tc>
          <w:tcPr>
            <w:tcW w:w="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Estimated credit losses as of January 1, 2009</w:t>
            </w:r>
          </w:p>
        </w:tc>
        <w:tc>
          <w:tcPr>
            <w:tcW w:w="25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155,967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32,199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Estimated credit losses as of March 31, 2009</w:t>
            </w:r>
          </w:p>
        </w:tc>
        <w:tc>
          <w:tcPr>
            <w:tcW w:w="2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187,618</w:t>
            </w:r>
          </w:p>
        </w:tc>
        <w:tc>
          <w:tcPr>
            <w:tcW w:w="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380" w:type="dxa"/>
            <w:vAlign w:val="bottom"/>
            <w:vMerge w:val="restart"/>
          </w:tcPr>
          <w:p>
            <w:pPr>
              <w:jc w:val="right"/>
              <w:ind w:right="1136"/>
              <w:spacing w:after="0"/>
              <w:rPr>
                <w:sz w:val="20"/>
                <w:szCs w:val="20"/>
                <w:color w:val="auto"/>
              </w:rPr>
            </w:pPr>
            <w:r>
              <w:rPr>
                <w:rFonts w:ascii="Arial" w:cs="Arial" w:eastAsia="Arial" w:hAnsi="Arial"/>
                <w:sz w:val="18"/>
                <w:szCs w:val="18"/>
                <w:color w:val="auto"/>
              </w:rPr>
              <w:t>- 9 -</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7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2009, the amortized cost and estimated fair value of debt securities by contractual maturity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color w:val="auto"/>
              </w:rPr>
              <w:t>Amortized</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Estimated</w:t>
            </w:r>
          </w:p>
        </w:tc>
      </w:tr>
      <w:tr>
        <w:trPr>
          <w:trHeight w:val="167"/>
        </w:trPr>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cost</w:t>
            </w:r>
          </w:p>
        </w:tc>
        <w:tc>
          <w:tcPr>
            <w:tcW w:w="6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8"/>
              </w:rPr>
              <w:t>fair value</w:t>
            </w:r>
          </w:p>
        </w:tc>
        <w:tc>
          <w:tcPr>
            <w:tcW w:w="100" w:type="dxa"/>
            <w:vAlign w:val="bottom"/>
          </w:tcPr>
          <w:p>
            <w:pPr>
              <w:spacing w:after="0"/>
              <w:rPr>
                <w:sz w:val="14"/>
                <w:szCs w:val="14"/>
                <w:color w:val="auto"/>
              </w:rPr>
            </w:pPr>
          </w:p>
        </w:tc>
      </w:tr>
      <w:tr>
        <w:trPr>
          <w:trHeight w:val="142"/>
        </w:trPr>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ind w:left="660"/>
              <w:spacing w:after="0" w:line="142" w:lineRule="exact"/>
              <w:rPr>
                <w:sz w:val="20"/>
                <w:szCs w:val="20"/>
                <w:color w:val="auto"/>
              </w:rPr>
            </w:pPr>
            <w:r>
              <w:rPr>
                <w:rFonts w:ascii="Arial" w:cs="Arial" w:eastAsia="Arial" w:hAnsi="Arial"/>
                <w:sz w:val="14"/>
                <w:szCs w:val="14"/>
                <w:color w:val="auto"/>
                <w:w w:val="92"/>
              </w:rPr>
              <w:t>(in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169,959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172,004</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89,104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91,364</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38,185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39,070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264,102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145,001</w:t>
            </w:r>
          </w:p>
        </w:tc>
      </w:tr>
      <w:tr>
        <w:trPr>
          <w:trHeight w:val="223"/>
        </w:trPr>
        <w:tc>
          <w:tcPr>
            <w:tcW w:w="8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561,350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447,439</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6,436,153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5,953,483</w:t>
            </w:r>
          </w:p>
        </w:tc>
      </w:tr>
      <w:tr>
        <w:trPr>
          <w:trHeight w:val="223"/>
        </w:trPr>
        <w:tc>
          <w:tcPr>
            <w:tcW w:w="8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6,997,503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6,400,922</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40,557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40,885</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12,406</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7,872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9,061</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11,848</w:t>
            </w:r>
          </w:p>
        </w:tc>
      </w:tr>
      <w:tr>
        <w:trPr>
          <w:trHeight w:val="223"/>
        </w:trPr>
        <w:tc>
          <w:tcPr>
            <w:tcW w:w="8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72,286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74,200</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397,282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200,576</w:t>
            </w:r>
          </w:p>
        </w:tc>
      </w:tr>
      <w:tr>
        <w:trPr>
          <w:trHeight w:val="223"/>
        </w:trPr>
        <w:tc>
          <w:tcPr>
            <w:tcW w:w="8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469,568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274,776</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A summary of investment securities that as of March 31, 2009 and December 31, 2008 had been in a continuous unrealized loss position for less than twelve months and those that had been in a continuous unrealized loss position for twelve months or longer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4"/>
          </w:tcPr>
          <w:p>
            <w:pPr>
              <w:jc w:val="right"/>
              <w:ind w:right="1180"/>
              <w:spacing w:after="0"/>
              <w:rPr>
                <w:sz w:val="20"/>
                <w:szCs w:val="20"/>
                <w:color w:val="auto"/>
              </w:rPr>
            </w:pPr>
            <w:r>
              <w:rPr>
                <w:rFonts w:ascii="Arial" w:cs="Arial" w:eastAsia="Arial" w:hAnsi="Arial"/>
                <w:sz w:val="14"/>
                <w:szCs w:val="14"/>
                <w:color w:val="auto"/>
              </w:rPr>
              <w:t>Less than 12 months</w:t>
            </w:r>
          </w:p>
        </w:tc>
        <w:tc>
          <w:tcPr>
            <w:tcW w:w="2340" w:type="dxa"/>
            <w:vAlign w:val="bottom"/>
            <w:gridSpan w:val="5"/>
          </w:tcPr>
          <w:p>
            <w:pPr>
              <w:jc w:val="right"/>
              <w:ind w:right="60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Unrealized</w:t>
            </w:r>
          </w:p>
        </w:tc>
        <w:tc>
          <w:tcPr>
            <w:tcW w:w="6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8"/>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4"/>
              </w:rPr>
              <w:t>Fair value</w:t>
            </w:r>
          </w:p>
        </w:tc>
        <w:tc>
          <w:tcPr>
            <w:tcW w:w="640" w:type="dxa"/>
            <w:vAlign w:val="bottom"/>
          </w:tcPr>
          <w:p>
            <w:pPr>
              <w:spacing w:after="0"/>
              <w:rPr>
                <w:sz w:val="14"/>
                <w:szCs w:val="14"/>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losses</w:t>
            </w:r>
          </w:p>
        </w:tc>
        <w:tc>
          <w:tcPr>
            <w:tcW w:w="660" w:type="dxa"/>
            <w:vAlign w:val="bottom"/>
          </w:tcPr>
          <w:p>
            <w:pPr>
              <w:spacing w:after="0"/>
              <w:rPr>
                <w:sz w:val="14"/>
                <w:szCs w:val="14"/>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Fair value</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80" w:type="dxa"/>
            <w:vAlign w:val="bottom"/>
            <w:gridSpan w:val="4"/>
          </w:tcPr>
          <w:p>
            <w:pPr>
              <w:jc w:val="right"/>
              <w:ind w:right="1040"/>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March 31, 2009</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11,227</w:t>
            </w:r>
          </w:p>
        </w:tc>
        <w:tc>
          <w:tcPr>
            <w:tcW w:w="6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(135)</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13,600</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169,485</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(1,736)</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47,857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701,464</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(226,191)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1,761,269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(575,025)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32,215</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48,977</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(14,441)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83,943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(105,194)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29,837</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(30,939)</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974,590</w:t>
            </w:r>
          </w:p>
        </w:tc>
        <w:tc>
          <w:tcPr>
            <w:tcW w:w="6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(273,695)</w:t>
            </w:r>
          </w:p>
        </w:tc>
        <w:tc>
          <w:tcPr>
            <w:tcW w:w="6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1,928,803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(691,006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6,660</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(383)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26,456</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392,780</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(4,962)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175,943</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2,173,593</w:t>
            </w:r>
          </w:p>
        </w:tc>
        <w:tc>
          <w:tcPr>
            <w:tcW w:w="6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(629,321)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460,355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41,046</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102,882</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(17,784)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62,422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37,905</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(22,720)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2,740,276</w:t>
            </w:r>
          </w:p>
        </w:tc>
        <w:tc>
          <w:tcPr>
            <w:tcW w:w="6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(675,485)</w:t>
            </w:r>
          </w:p>
        </w:tc>
        <w:tc>
          <w:tcPr>
            <w:tcW w:w="6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741,957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(326,263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40" w:type="dxa"/>
            <w:vAlign w:val="bottom"/>
            <w:vMerge w:val="restart"/>
          </w:tcPr>
          <w:p>
            <w:pPr>
              <w:jc w:val="right"/>
              <w:ind w:right="190"/>
              <w:spacing w:after="0"/>
              <w:rPr>
                <w:sz w:val="20"/>
                <w:szCs w:val="20"/>
                <w:color w:val="auto"/>
              </w:rPr>
            </w:pPr>
            <w:r>
              <w:rPr>
                <w:rFonts w:ascii="Arial" w:cs="Arial" w:eastAsia="Arial" w:hAnsi="Arial"/>
                <w:sz w:val="18"/>
                <w:szCs w:val="18"/>
                <w:color w:val="auto"/>
              </w:rPr>
              <w:t>- 10 -</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right="120" w:firstLine="447"/>
        <w:spacing w:after="0" w:line="270" w:lineRule="auto"/>
        <w:rPr>
          <w:sz w:val="20"/>
          <w:szCs w:val="20"/>
          <w:color w:val="auto"/>
        </w:rPr>
      </w:pPr>
      <w:r>
        <w:rPr>
          <w:rFonts w:ascii="Arial" w:cs="Arial" w:eastAsia="Arial" w:hAnsi="Arial"/>
          <w:sz w:val="17"/>
          <w:szCs w:val="17"/>
          <w:color w:val="auto"/>
        </w:rPr>
        <w:t>The Company owned 538 individual investment securities with aggregate gross unrealized losses of $965 million at March 31, 2009. Approximately $801 million of the unrealized losses pertain to privately issued residential mortgage-backed securities with a cost basis of $3.3 billion. The Company also had $116 million of unrealized losses on trust preferred securities issued by financial institutions and securities backed by trust preferred securities issued by financial institutions having a cost basis of $240 million. Based on a review of each of the remaining securities in the investment securities portfolio at March 31, 2009, with the exception of the aforementioned seven privately issued residential mortgage-backed securities for which other-than-temporary impairment losses were recognized, the Company concluded that it expected to recover the amortized cost basis of its investment. As of March 31, 2009, the Company does not intend to sell nor is it anticipated that it would be required to sell any of its impaired investment securities. At March 31, 2009, the Company has not identified events or changes in circumstances which may have a significant adverse effect on the fair value of the $560 million of cost method investment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M&amp;T Capital Trust I (“Trust I”), M&amp;T Capital Trust II (“Trust II”), and M&amp;T Capital Trust III (“Trust III”) have issued fixed rate preferred capital securities aggregating $310 million. On January 31, 2008 M&amp;T Capital Trust IV (“Trust IV”), a Delaware business trust, issued $350 million of 8.50% fixed rate Enhanced Trust Preferred Securities (“8.50% Enhanced Trust Preferred Securities”). First Maryland Capital I (“Trust V”) and First Maryland Capital II (“Trust VI”) have issued floating rate preferred capital securities aggregating $300 million. The distribution rates on the preferred capital securities of Trust V and Trust VI adjust quarterly based on changes in the three-month London Interbank Offered Rate (“LIBOR”) and were 2.09% and 2.02%, respectively, at March 31, 2009 and 5.75% and 4.04%, respectively, at December 31, 2008. Fixed rate preferred capital securities totaling $16.5 million were issued by BSB Capital Trust I (“Trust VII”) and $15 million of floating rate preferred capital securities were issued by BSB Capital Trust III (“Trust VIII”). The distribution rate on the preferred capital securities of Trust VIII adjusts quarterly based on changes in the three-month LIBOR and was 4.44% at March 31, 2009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8.17% at December 31, 2008. Trust I, Trust II, Trust III, Trust IV, Trust V, Trust VI, Trust VII and Trust VIII are referred to herein collectively as the “Trusts.”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the following payment terms (and the redemption and certain other terms described below), the preferred capital securities issued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Trusts (“Capital Securities”) are substantially identical in all material respects: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Distribution</w:t>
            </w:r>
          </w:p>
        </w:tc>
        <w:tc>
          <w:tcPr>
            <w:tcW w:w="560" w:type="dxa"/>
            <w:vAlign w:val="bottom"/>
          </w:tcPr>
          <w:p>
            <w:pPr>
              <w:spacing w:after="0"/>
              <w:rPr>
                <w:sz w:val="14"/>
                <w:szCs w:val="14"/>
                <w:color w:val="auto"/>
              </w:rPr>
            </w:pPr>
          </w:p>
        </w:tc>
        <w:tc>
          <w:tcPr>
            <w:tcW w:w="6100" w:type="dxa"/>
            <w:vAlign w:val="bottom"/>
          </w:tcPr>
          <w:p>
            <w:pPr>
              <w:ind w:left="2700"/>
              <w:spacing w:after="0"/>
              <w:rPr>
                <w:sz w:val="20"/>
                <w:szCs w:val="20"/>
                <w:color w:val="auto"/>
              </w:rPr>
            </w:pPr>
            <w:r>
              <w:rPr>
                <w:rFonts w:ascii="Arial" w:cs="Arial" w:eastAsia="Arial" w:hAnsi="Arial"/>
                <w:sz w:val="14"/>
                <w:szCs w:val="14"/>
                <w:color w:val="auto"/>
              </w:rPr>
              <w:t>Distribution</w:t>
            </w:r>
          </w:p>
        </w:tc>
        <w:tc>
          <w:tcPr>
            <w:tcW w:w="0" w:type="dxa"/>
            <w:vAlign w:val="bottom"/>
          </w:tcPr>
          <w:p>
            <w:pPr>
              <w:spacing w:after="0"/>
              <w:rPr>
                <w:sz w:val="1"/>
                <w:szCs w:val="1"/>
                <w:color w:val="auto"/>
              </w:rPr>
            </w:pPr>
          </w:p>
        </w:tc>
      </w:tr>
      <w:tr>
        <w:trPr>
          <w:trHeight w:val="167"/>
        </w:trPr>
        <w:tc>
          <w:tcPr>
            <w:tcW w:w="2200" w:type="dxa"/>
            <w:vAlign w:val="bottom"/>
            <w:gridSpan w:val="2"/>
          </w:tcPr>
          <w:p>
            <w:pPr>
              <w:spacing w:after="0"/>
              <w:rPr>
                <w:sz w:val="20"/>
                <w:szCs w:val="20"/>
                <w:color w:val="auto"/>
              </w:rPr>
            </w:pPr>
            <w:r>
              <w:rPr>
                <w:rFonts w:ascii="Arial" w:cs="Arial" w:eastAsia="Arial" w:hAnsi="Arial"/>
                <w:sz w:val="14"/>
                <w:szCs w:val="14"/>
                <w:color w:val="auto"/>
              </w:rPr>
              <w:t>Trust</w:t>
            </w:r>
          </w:p>
        </w:tc>
        <w:tc>
          <w:tcPr>
            <w:tcW w:w="5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0"/>
              </w:rPr>
              <w:t>rate</w:t>
            </w:r>
          </w:p>
        </w:tc>
        <w:tc>
          <w:tcPr>
            <w:tcW w:w="560" w:type="dxa"/>
            <w:vAlign w:val="bottom"/>
          </w:tcPr>
          <w:p>
            <w:pPr>
              <w:spacing w:after="0"/>
              <w:rPr>
                <w:sz w:val="14"/>
                <w:szCs w:val="14"/>
                <w:color w:val="auto"/>
              </w:rPr>
            </w:pPr>
          </w:p>
        </w:tc>
        <w:tc>
          <w:tcPr>
            <w:tcW w:w="6100" w:type="dxa"/>
            <w:vAlign w:val="bottom"/>
          </w:tcPr>
          <w:p>
            <w:pPr>
              <w:ind w:left="2900"/>
              <w:spacing w:after="0"/>
              <w:rPr>
                <w:sz w:val="20"/>
                <w:szCs w:val="20"/>
                <w:color w:val="auto"/>
              </w:rPr>
            </w:pPr>
            <w:r>
              <w:rPr>
                <w:rFonts w:ascii="Arial" w:cs="Arial" w:eastAsia="Arial" w:hAnsi="Arial"/>
                <w:sz w:val="14"/>
                <w:szCs w:val="14"/>
                <w:color w:val="auto"/>
              </w:rPr>
              <w:t>dates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Trust I</w:t>
            </w:r>
          </w:p>
        </w:tc>
        <w:tc>
          <w:tcPr>
            <w:tcW w:w="560" w:type="dxa"/>
            <w:vAlign w:val="bottom"/>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8.234%</w:t>
            </w:r>
          </w:p>
        </w:tc>
        <w:tc>
          <w:tcPr>
            <w:tcW w:w="560" w:type="dxa"/>
            <w:vAlign w:val="bottom"/>
            <w:shd w:val="clear" w:color="auto" w:fill="CCEEFF"/>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220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2560" w:type="dxa"/>
            <w:vAlign w:val="bottom"/>
            <w:gridSpan w:val="2"/>
          </w:tcPr>
          <w:p>
            <w:pPr>
              <w:jc w:val="right"/>
              <w:ind w:right="556"/>
              <w:spacing w:after="0"/>
              <w:rPr>
                <w:sz w:val="20"/>
                <w:szCs w:val="20"/>
                <w:color w:val="auto"/>
              </w:rPr>
            </w:pPr>
            <w:r>
              <w:rPr>
                <w:rFonts w:ascii="Arial" w:cs="Arial" w:eastAsia="Arial" w:hAnsi="Arial"/>
                <w:sz w:val="18"/>
                <w:szCs w:val="18"/>
                <w:color w:val="auto"/>
              </w:rPr>
              <w:t>8.277%</w:t>
            </w:r>
          </w:p>
        </w:tc>
        <w:tc>
          <w:tcPr>
            <w:tcW w:w="56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June 1 and December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2560" w:type="dxa"/>
            <w:vAlign w:val="bottom"/>
            <w:gridSpan w:val="2"/>
            <w:shd w:val="clear" w:color="auto" w:fill="CCEEFF"/>
          </w:tcPr>
          <w:p>
            <w:pPr>
              <w:jc w:val="right"/>
              <w:ind w:right="556"/>
              <w:spacing w:after="0"/>
              <w:rPr>
                <w:sz w:val="20"/>
                <w:szCs w:val="20"/>
                <w:color w:val="auto"/>
              </w:rPr>
            </w:pPr>
            <w:r>
              <w:rPr>
                <w:rFonts w:ascii="Arial" w:cs="Arial" w:eastAsia="Arial" w:hAnsi="Arial"/>
                <w:sz w:val="18"/>
                <w:szCs w:val="18"/>
                <w:color w:val="auto"/>
              </w:rPr>
              <w:t>9.25%</w:t>
            </w:r>
          </w:p>
        </w:tc>
        <w:tc>
          <w:tcPr>
            <w:tcW w:w="5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220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2560" w:type="dxa"/>
            <w:vAlign w:val="bottom"/>
            <w:gridSpan w:val="2"/>
          </w:tcPr>
          <w:p>
            <w:pPr>
              <w:jc w:val="right"/>
              <w:ind w:right="556"/>
              <w:spacing w:after="0"/>
              <w:rPr>
                <w:sz w:val="20"/>
                <w:szCs w:val="20"/>
                <w:color w:val="auto"/>
              </w:rPr>
            </w:pPr>
            <w:r>
              <w:rPr>
                <w:rFonts w:ascii="Arial" w:cs="Arial" w:eastAsia="Arial" w:hAnsi="Arial"/>
                <w:sz w:val="18"/>
                <w:szCs w:val="18"/>
                <w:color w:val="auto"/>
              </w:rPr>
              <w:t>8.50%</w:t>
            </w:r>
          </w:p>
        </w:tc>
        <w:tc>
          <w:tcPr>
            <w:tcW w:w="56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March 15, June 15, September 15 and December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Trust V</w:t>
            </w:r>
          </w:p>
        </w:tc>
        <w:tc>
          <w:tcPr>
            <w:tcW w:w="56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1.00%</w:t>
            </w:r>
          </w:p>
        </w:tc>
        <w:tc>
          <w:tcPr>
            <w:tcW w:w="5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January 15, April 15, July 15 and October 15</w:t>
            </w:r>
          </w:p>
        </w:tc>
        <w:tc>
          <w:tcPr>
            <w:tcW w:w="0" w:type="dxa"/>
            <w:vAlign w:val="bottom"/>
          </w:tcPr>
          <w:p>
            <w:pPr>
              <w:spacing w:after="0"/>
              <w:rPr>
                <w:sz w:val="1"/>
                <w:szCs w:val="1"/>
                <w:color w:val="auto"/>
              </w:rPr>
            </w:pPr>
          </w:p>
        </w:tc>
      </w:tr>
      <w:tr>
        <w:trPr>
          <w:trHeight w:val="432"/>
        </w:trPr>
        <w:tc>
          <w:tcPr>
            <w:tcW w:w="2200" w:type="dxa"/>
            <w:vAlign w:val="bottom"/>
            <w:gridSpan w:val="2"/>
          </w:tcPr>
          <w:p>
            <w:pPr>
              <w:spacing w:after="0"/>
              <w:rPr>
                <w:sz w:val="20"/>
                <w:szCs w:val="20"/>
                <w:color w:val="auto"/>
              </w:rPr>
            </w:pPr>
            <w:r>
              <w:rPr>
                <w:rFonts w:ascii="Arial" w:cs="Arial" w:eastAsia="Arial" w:hAnsi="Arial"/>
                <w:sz w:val="18"/>
                <w:szCs w:val="18"/>
                <w:color w:val="auto"/>
              </w:rPr>
              <w:t>Trust VI</w:t>
            </w:r>
          </w:p>
        </w:tc>
        <w:tc>
          <w:tcPr>
            <w:tcW w:w="56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4"/>
              </w:rPr>
              <w:t>LIBOR plus .85%</w:t>
            </w:r>
          </w:p>
        </w:tc>
        <w:tc>
          <w:tcPr>
            <w:tcW w:w="56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February 1, May 1, August 1 and November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Trust VII</w:t>
            </w:r>
          </w:p>
        </w:tc>
        <w:tc>
          <w:tcPr>
            <w:tcW w:w="2560" w:type="dxa"/>
            <w:vAlign w:val="bottom"/>
            <w:gridSpan w:val="2"/>
            <w:shd w:val="clear" w:color="auto" w:fill="CCEEFF"/>
          </w:tcPr>
          <w:p>
            <w:pPr>
              <w:jc w:val="right"/>
              <w:ind w:right="556"/>
              <w:spacing w:after="0"/>
              <w:rPr>
                <w:sz w:val="20"/>
                <w:szCs w:val="20"/>
                <w:color w:val="auto"/>
              </w:rPr>
            </w:pPr>
            <w:r>
              <w:rPr>
                <w:rFonts w:ascii="Arial" w:cs="Arial" w:eastAsia="Arial" w:hAnsi="Arial"/>
                <w:sz w:val="18"/>
                <w:szCs w:val="18"/>
                <w:color w:val="auto"/>
              </w:rPr>
              <w:t>8.125%</w:t>
            </w:r>
          </w:p>
        </w:tc>
        <w:tc>
          <w:tcPr>
            <w:tcW w:w="5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January 31 and July 31</w:t>
            </w:r>
          </w:p>
        </w:tc>
        <w:tc>
          <w:tcPr>
            <w:tcW w:w="0" w:type="dxa"/>
            <w:vAlign w:val="bottom"/>
          </w:tcPr>
          <w:p>
            <w:pPr>
              <w:spacing w:after="0"/>
              <w:rPr>
                <w:sz w:val="1"/>
                <w:szCs w:val="1"/>
                <w:color w:val="auto"/>
              </w:rPr>
            </w:pPr>
          </w:p>
        </w:tc>
      </w:tr>
      <w:tr>
        <w:trPr>
          <w:trHeight w:val="432"/>
        </w:trPr>
        <w:tc>
          <w:tcPr>
            <w:tcW w:w="2200" w:type="dxa"/>
            <w:vAlign w:val="bottom"/>
            <w:gridSpan w:val="2"/>
          </w:tcPr>
          <w:p>
            <w:pPr>
              <w:spacing w:after="0"/>
              <w:rPr>
                <w:sz w:val="20"/>
                <w:szCs w:val="20"/>
                <w:color w:val="auto"/>
              </w:rPr>
            </w:pPr>
            <w:r>
              <w:rPr>
                <w:rFonts w:ascii="Arial" w:cs="Arial" w:eastAsia="Arial" w:hAnsi="Arial"/>
                <w:sz w:val="18"/>
                <w:szCs w:val="18"/>
                <w:color w:val="auto"/>
              </w:rPr>
              <w:t>Trust VIII</w:t>
            </w:r>
          </w:p>
        </w:tc>
        <w:tc>
          <w:tcPr>
            <w:tcW w:w="56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4"/>
              </w:rPr>
              <w:t>LIBOR plus 3.35%</w:t>
            </w:r>
          </w:p>
        </w:tc>
        <w:tc>
          <w:tcPr>
            <w:tcW w:w="56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January 7, April 7, July 7 and October 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firstLine="447"/>
        <w:spacing w:after="0" w:line="286" w:lineRule="auto"/>
        <w:rPr>
          <w:sz w:val="20"/>
          <w:szCs w:val="20"/>
          <w:color w:val="auto"/>
        </w:rPr>
      </w:pPr>
      <w:r>
        <w:rPr>
          <w:rFonts w:ascii="Arial" w:cs="Arial" w:eastAsia="Arial" w:hAnsi="Arial"/>
          <w:sz w:val="17"/>
          <w:szCs w:val="17"/>
          <w:color w:val="auto"/>
        </w:rPr>
        <w:t>The common securities of each Trust (“Common Securities”)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(core) capital.</w:t>
      </w:r>
    </w:p>
    <w:p>
      <w:pPr>
        <w:spacing w:after="0" w:line="57" w:lineRule="exact"/>
        <w:rPr>
          <w:sz w:val="20"/>
          <w:szCs w:val="20"/>
          <w:color w:val="auto"/>
        </w:rPr>
      </w:pPr>
    </w:p>
    <w:p>
      <w:pPr>
        <w:ind w:right="220" w:firstLine="447"/>
        <w:spacing w:after="0" w:line="277" w:lineRule="auto"/>
        <w:rPr>
          <w:sz w:val="20"/>
          <w:szCs w:val="20"/>
          <w:color w:val="auto"/>
        </w:rPr>
      </w:pPr>
      <w:r>
        <w:rPr>
          <w:rFonts w:ascii="Arial" w:cs="Arial" w:eastAsia="Arial" w:hAnsi="Arial"/>
          <w:sz w:val="18"/>
          <w:szCs w:val="18"/>
          <w:color w:val="auto"/>
        </w:rPr>
        <w:t>The proceeds from the issuances of the Capital Securities and Common Securities were used by the Trusts to purchase junior subordinated deferrable interest debentures (“Junior Subordinated Debentures”) of M&amp;T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6"/>
              </w:rPr>
              <w:t>Capital</w:t>
            </w:r>
          </w:p>
        </w:tc>
        <w:tc>
          <w:tcPr>
            <w:tcW w:w="580" w:type="dxa"/>
            <w:vAlign w:val="bottom"/>
          </w:tcPr>
          <w:p>
            <w:pPr>
              <w:spacing w:after="0"/>
              <w:rPr>
                <w:sz w:val="14"/>
                <w:szCs w:val="14"/>
                <w:color w:val="auto"/>
              </w:rPr>
            </w:pPr>
          </w:p>
        </w:tc>
        <w:tc>
          <w:tcPr>
            <w:tcW w:w="1320" w:type="dxa"/>
            <w:vAlign w:val="bottom"/>
          </w:tcPr>
          <w:p>
            <w:pPr>
              <w:ind w:left="700"/>
              <w:spacing w:after="0"/>
              <w:rPr>
                <w:sz w:val="20"/>
                <w:szCs w:val="20"/>
                <w:color w:val="auto"/>
              </w:rPr>
            </w:pPr>
            <w:r>
              <w:rPr>
                <w:rFonts w:ascii="Arial" w:cs="Arial" w:eastAsia="Arial" w:hAnsi="Arial"/>
                <w:sz w:val="14"/>
                <w:szCs w:val="14"/>
                <w:color w:val="auto"/>
              </w:rPr>
              <w:t>Common</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80" w:type="dxa"/>
            <w:vAlign w:val="bottom"/>
          </w:tcPr>
          <w:p>
            <w:pPr>
              <w:ind w:left="1800"/>
              <w:spacing w:after="0"/>
              <w:rPr>
                <w:sz w:val="20"/>
                <w:szCs w:val="20"/>
                <w:color w:val="auto"/>
              </w:rPr>
            </w:pPr>
            <w:r>
              <w:rPr>
                <w:rFonts w:ascii="Arial" w:cs="Arial" w:eastAsia="Arial" w:hAnsi="Arial"/>
                <w:sz w:val="14"/>
                <w:szCs w:val="14"/>
                <w:color w:val="auto"/>
              </w:rPr>
              <w:t>Junior Subordinated</w:t>
            </w:r>
          </w:p>
        </w:tc>
        <w:tc>
          <w:tcPr>
            <w:tcW w:w="0" w:type="dxa"/>
            <w:vAlign w:val="bottom"/>
          </w:tcPr>
          <w:p>
            <w:pPr>
              <w:spacing w:after="0"/>
              <w:rPr>
                <w:sz w:val="1"/>
                <w:szCs w:val="1"/>
                <w:color w:val="auto"/>
              </w:rPr>
            </w:pPr>
          </w:p>
        </w:tc>
      </w:tr>
      <w:tr>
        <w:trPr>
          <w:trHeight w:val="167"/>
        </w:trPr>
        <w:tc>
          <w:tcPr>
            <w:tcW w:w="1500" w:type="dxa"/>
            <w:vAlign w:val="bottom"/>
            <w:gridSpan w:val="2"/>
          </w:tcPr>
          <w:p>
            <w:pPr>
              <w:spacing w:after="0"/>
              <w:rPr>
                <w:sz w:val="20"/>
                <w:szCs w:val="20"/>
                <w:color w:val="auto"/>
              </w:rPr>
            </w:pPr>
            <w:r>
              <w:rPr>
                <w:rFonts w:ascii="Arial" w:cs="Arial" w:eastAsia="Arial" w:hAnsi="Arial"/>
                <w:sz w:val="14"/>
                <w:szCs w:val="14"/>
                <w:color w:val="auto"/>
              </w:rPr>
              <w:t>Trust</w:t>
            </w:r>
          </w:p>
        </w:tc>
        <w:tc>
          <w:tcPr>
            <w:tcW w:w="5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Securities</w:t>
            </w:r>
          </w:p>
        </w:tc>
        <w:tc>
          <w:tcPr>
            <w:tcW w:w="580" w:type="dxa"/>
            <w:vAlign w:val="bottom"/>
          </w:tcPr>
          <w:p>
            <w:pPr>
              <w:spacing w:after="0"/>
              <w:rPr>
                <w:sz w:val="14"/>
                <w:szCs w:val="14"/>
                <w:color w:val="auto"/>
              </w:rPr>
            </w:pPr>
          </w:p>
        </w:tc>
        <w:tc>
          <w:tcPr>
            <w:tcW w:w="1320" w:type="dxa"/>
            <w:vAlign w:val="bottom"/>
          </w:tcPr>
          <w:p>
            <w:pPr>
              <w:ind w:left="680"/>
              <w:spacing w:after="0"/>
              <w:rPr>
                <w:sz w:val="20"/>
                <w:szCs w:val="20"/>
                <w:color w:val="auto"/>
              </w:rPr>
            </w:pPr>
            <w:r>
              <w:rPr>
                <w:rFonts w:ascii="Arial" w:cs="Arial" w:eastAsia="Arial" w:hAnsi="Arial"/>
                <w:sz w:val="14"/>
                <w:szCs w:val="14"/>
                <w:color w:val="auto"/>
              </w:rPr>
              <w:t>Securities</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80" w:type="dxa"/>
            <w:vAlign w:val="bottom"/>
          </w:tcPr>
          <w:p>
            <w:pPr>
              <w:ind w:left="2060"/>
              <w:spacing w:after="0"/>
              <w:rPr>
                <w:sz w:val="20"/>
                <w:szCs w:val="20"/>
                <w:color w:val="auto"/>
              </w:rPr>
            </w:pPr>
            <w:r>
              <w:rPr>
                <w:rFonts w:ascii="Arial" w:cs="Arial" w:eastAsia="Arial" w:hAnsi="Arial"/>
                <w:sz w:val="14"/>
                <w:szCs w:val="14"/>
                <w:color w:val="auto"/>
              </w:rPr>
              <w:t>Debentures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Trust I</w:t>
            </w:r>
          </w:p>
        </w:tc>
        <w:tc>
          <w:tcPr>
            <w:tcW w:w="58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$150 million</w:t>
            </w:r>
          </w:p>
        </w:tc>
        <w:tc>
          <w:tcPr>
            <w:tcW w:w="58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$4.64 million</w:t>
            </w:r>
          </w:p>
        </w:tc>
        <w:tc>
          <w:tcPr>
            <w:tcW w:w="62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$154.64 million aggregate liquidation amount of 8.234%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 due February 1, 2027.</w:t>
            </w:r>
          </w:p>
        </w:tc>
        <w:tc>
          <w:tcPr>
            <w:tcW w:w="0" w:type="dxa"/>
            <w:vAlign w:val="bottom"/>
          </w:tcPr>
          <w:p>
            <w:pPr>
              <w:spacing w:after="0"/>
              <w:rPr>
                <w:sz w:val="1"/>
                <w:szCs w:val="1"/>
                <w:color w:val="auto"/>
              </w:rPr>
            </w:pPr>
          </w:p>
        </w:tc>
      </w:tr>
      <w:tr>
        <w:trPr>
          <w:trHeight w:val="418"/>
        </w:trPr>
        <w:tc>
          <w:tcPr>
            <w:tcW w:w="150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5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$100 million</w:t>
            </w:r>
          </w:p>
        </w:tc>
        <w:tc>
          <w:tcPr>
            <w:tcW w:w="1900" w:type="dxa"/>
            <w:vAlign w:val="bottom"/>
            <w:gridSpan w:val="2"/>
          </w:tcPr>
          <w:p>
            <w:pPr>
              <w:ind w:left="580"/>
              <w:spacing w:after="0"/>
              <w:rPr>
                <w:sz w:val="20"/>
                <w:szCs w:val="20"/>
                <w:color w:val="auto"/>
              </w:rPr>
            </w:pPr>
            <w:r>
              <w:rPr>
                <w:rFonts w:ascii="Arial" w:cs="Arial" w:eastAsia="Arial" w:hAnsi="Arial"/>
                <w:sz w:val="18"/>
                <w:szCs w:val="18"/>
                <w:color w:val="auto"/>
              </w:rPr>
              <w:t>$3.09 million</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5"/>
              </w:rPr>
              <w:t>$103.09 million aggregate liquidation amount of 8.277%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Subordinated Debentures due June 1, 2027.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III</w:t>
            </w:r>
          </w:p>
        </w:tc>
        <w:tc>
          <w:tcPr>
            <w:tcW w:w="5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$60 million</w:t>
            </w:r>
          </w:p>
        </w:tc>
        <w:tc>
          <w:tcPr>
            <w:tcW w:w="190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rPr>
              <w:t>$1.856 million</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$61.856 million aggregate liquidation amount of 9.25%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 due February 1, 2027.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9"/>
              </w:rPr>
              <w:t>- 12 -</w:t>
            </w: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Pr>
          <w:p>
            <w:pPr>
              <w:ind w:left="660"/>
              <w:spacing w:after="0"/>
              <w:rPr>
                <w:sz w:val="20"/>
                <w:szCs w:val="20"/>
                <w:color w:val="auto"/>
              </w:rPr>
            </w:pPr>
            <w:r>
              <w:rPr>
                <w:rFonts w:ascii="Arial" w:cs="Arial" w:eastAsia="Arial" w:hAnsi="Arial"/>
                <w:sz w:val="14"/>
                <w:szCs w:val="14"/>
                <w:color w:val="auto"/>
              </w:rPr>
              <w:t>Capital</w:t>
            </w:r>
          </w:p>
        </w:tc>
        <w:tc>
          <w:tcPr>
            <w:tcW w:w="560" w:type="dxa"/>
            <w:vAlign w:val="bottom"/>
          </w:tcPr>
          <w:p>
            <w:pPr>
              <w:spacing w:after="0"/>
              <w:rPr>
                <w:sz w:val="14"/>
                <w:szCs w:val="14"/>
                <w:color w:val="auto"/>
              </w:rPr>
            </w:pPr>
          </w:p>
        </w:tc>
        <w:tc>
          <w:tcPr>
            <w:tcW w:w="1700" w:type="dxa"/>
            <w:vAlign w:val="bottom"/>
          </w:tcPr>
          <w:p>
            <w:pPr>
              <w:ind w:left="580"/>
              <w:spacing w:after="0"/>
              <w:rPr>
                <w:sz w:val="20"/>
                <w:szCs w:val="20"/>
                <w:color w:val="auto"/>
              </w:rPr>
            </w:pPr>
            <w:r>
              <w:rPr>
                <w:rFonts w:ascii="Arial" w:cs="Arial" w:eastAsia="Arial" w:hAnsi="Arial"/>
                <w:sz w:val="14"/>
                <w:szCs w:val="14"/>
                <w:color w:val="auto"/>
              </w:rPr>
              <w:t>Common</w:t>
            </w:r>
          </w:p>
        </w:tc>
        <w:tc>
          <w:tcPr>
            <w:tcW w:w="580" w:type="dxa"/>
            <w:vAlign w:val="bottom"/>
          </w:tcPr>
          <w:p>
            <w:pPr>
              <w:spacing w:after="0"/>
              <w:rPr>
                <w:sz w:val="14"/>
                <w:szCs w:val="14"/>
                <w:color w:val="auto"/>
              </w:rPr>
            </w:pPr>
          </w:p>
        </w:tc>
        <w:tc>
          <w:tcPr>
            <w:tcW w:w="4560" w:type="dxa"/>
            <w:vAlign w:val="bottom"/>
          </w:tcPr>
          <w:p>
            <w:pPr>
              <w:ind w:left="1700"/>
              <w:spacing w:after="0"/>
              <w:rPr>
                <w:sz w:val="20"/>
                <w:szCs w:val="20"/>
                <w:color w:val="auto"/>
              </w:rPr>
            </w:pPr>
            <w:r>
              <w:rPr>
                <w:rFonts w:ascii="Arial" w:cs="Arial" w:eastAsia="Arial" w:hAnsi="Arial"/>
                <w:sz w:val="14"/>
                <w:szCs w:val="14"/>
                <w:color w:val="auto"/>
              </w:rPr>
              <w:t>Junior Subordinated</w:t>
            </w:r>
          </w:p>
        </w:tc>
        <w:tc>
          <w:tcPr>
            <w:tcW w:w="0" w:type="dxa"/>
            <w:vAlign w:val="bottom"/>
          </w:tcPr>
          <w:p>
            <w:pPr>
              <w:spacing w:after="0"/>
              <w:rPr>
                <w:sz w:val="1"/>
                <w:szCs w:val="1"/>
                <w:color w:val="auto"/>
              </w:rPr>
            </w:pPr>
          </w:p>
        </w:tc>
      </w:tr>
      <w:tr>
        <w:trPr>
          <w:trHeight w:val="167"/>
        </w:trPr>
        <w:tc>
          <w:tcPr>
            <w:tcW w:w="1720" w:type="dxa"/>
            <w:vAlign w:val="bottom"/>
            <w:gridSpan w:val="2"/>
          </w:tcPr>
          <w:p>
            <w:pPr>
              <w:spacing w:after="0"/>
              <w:rPr>
                <w:sz w:val="20"/>
                <w:szCs w:val="20"/>
                <w:color w:val="auto"/>
              </w:rPr>
            </w:pPr>
            <w:r>
              <w:rPr>
                <w:rFonts w:ascii="Arial" w:cs="Arial" w:eastAsia="Arial" w:hAnsi="Arial"/>
                <w:sz w:val="14"/>
                <w:szCs w:val="14"/>
                <w:color w:val="auto"/>
              </w:rPr>
              <w:t>Trust</w:t>
            </w:r>
          </w:p>
        </w:tc>
        <w:tc>
          <w:tcPr>
            <w:tcW w:w="580" w:type="dxa"/>
            <w:vAlign w:val="bottom"/>
          </w:tcPr>
          <w:p>
            <w:pPr>
              <w:spacing w:after="0"/>
              <w:rPr>
                <w:sz w:val="14"/>
                <w:szCs w:val="14"/>
                <w:color w:val="auto"/>
              </w:rPr>
            </w:pPr>
          </w:p>
        </w:tc>
        <w:tc>
          <w:tcPr>
            <w:tcW w:w="1720" w:type="dxa"/>
            <w:vAlign w:val="bottom"/>
          </w:tcPr>
          <w:p>
            <w:pPr>
              <w:ind w:left="580"/>
              <w:spacing w:after="0"/>
              <w:rPr>
                <w:sz w:val="20"/>
                <w:szCs w:val="20"/>
                <w:color w:val="auto"/>
              </w:rPr>
            </w:pPr>
            <w:r>
              <w:rPr>
                <w:rFonts w:ascii="Arial" w:cs="Arial" w:eastAsia="Arial" w:hAnsi="Arial"/>
                <w:sz w:val="14"/>
                <w:szCs w:val="14"/>
                <w:color w:val="auto"/>
              </w:rPr>
              <w:t>Securities</w:t>
            </w:r>
          </w:p>
        </w:tc>
        <w:tc>
          <w:tcPr>
            <w:tcW w:w="560" w:type="dxa"/>
            <w:vAlign w:val="bottom"/>
          </w:tcPr>
          <w:p>
            <w:pPr>
              <w:spacing w:after="0"/>
              <w:rPr>
                <w:sz w:val="14"/>
                <w:szCs w:val="14"/>
                <w:color w:val="auto"/>
              </w:rPr>
            </w:pPr>
          </w:p>
        </w:tc>
        <w:tc>
          <w:tcPr>
            <w:tcW w:w="1700" w:type="dxa"/>
            <w:vAlign w:val="bottom"/>
          </w:tcPr>
          <w:p>
            <w:pPr>
              <w:ind w:left="580"/>
              <w:spacing w:after="0"/>
              <w:rPr>
                <w:sz w:val="20"/>
                <w:szCs w:val="20"/>
                <w:color w:val="auto"/>
              </w:rPr>
            </w:pPr>
            <w:r>
              <w:rPr>
                <w:rFonts w:ascii="Arial" w:cs="Arial" w:eastAsia="Arial" w:hAnsi="Arial"/>
                <w:sz w:val="14"/>
                <w:szCs w:val="14"/>
                <w:color w:val="auto"/>
              </w:rPr>
              <w:t>Securities</w:t>
            </w:r>
          </w:p>
        </w:tc>
        <w:tc>
          <w:tcPr>
            <w:tcW w:w="580" w:type="dxa"/>
            <w:vAlign w:val="bottom"/>
          </w:tcPr>
          <w:p>
            <w:pPr>
              <w:spacing w:after="0"/>
              <w:rPr>
                <w:sz w:val="14"/>
                <w:szCs w:val="14"/>
                <w:color w:val="auto"/>
              </w:rPr>
            </w:pPr>
          </w:p>
        </w:tc>
        <w:tc>
          <w:tcPr>
            <w:tcW w:w="4560" w:type="dxa"/>
            <w:vAlign w:val="bottom"/>
          </w:tcPr>
          <w:p>
            <w:pPr>
              <w:ind w:left="1940"/>
              <w:spacing w:after="0"/>
              <w:rPr>
                <w:sz w:val="20"/>
                <w:szCs w:val="20"/>
                <w:color w:val="auto"/>
              </w:rPr>
            </w:pPr>
            <w:r>
              <w:rPr>
                <w:rFonts w:ascii="Arial" w:cs="Arial" w:eastAsia="Arial" w:hAnsi="Arial"/>
                <w:sz w:val="14"/>
                <w:szCs w:val="14"/>
                <w:color w:val="auto"/>
              </w:rPr>
              <w:t>Debentures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Trust IV</w:t>
            </w:r>
          </w:p>
        </w:tc>
        <w:tc>
          <w:tcPr>
            <w:tcW w:w="580" w:type="dxa"/>
            <w:vAlign w:val="bottom"/>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$350 million</w:t>
            </w:r>
          </w:p>
        </w:tc>
        <w:tc>
          <w:tcPr>
            <w:tcW w:w="560" w:type="dxa"/>
            <w:vAlign w:val="bottom"/>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$.01 million</w:t>
            </w:r>
          </w:p>
        </w:tc>
        <w:tc>
          <w:tcPr>
            <w:tcW w:w="580" w:type="dxa"/>
            <w:vAlign w:val="bottom"/>
            <w:shd w:val="clear" w:color="auto" w:fill="CCEEFF"/>
          </w:tcPr>
          <w:p>
            <w:pPr>
              <w:spacing w:after="0"/>
              <w:rPr>
                <w:sz w:val="16"/>
                <w:szCs w:val="16"/>
                <w:color w:val="auto"/>
              </w:rPr>
            </w:pPr>
          </w:p>
        </w:tc>
        <w:tc>
          <w:tcPr>
            <w:tcW w:w="4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$350.01 million aggregate liquidation amount of 8.50% Junior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 due January 31, 2068.</w:t>
            </w:r>
          </w:p>
        </w:tc>
        <w:tc>
          <w:tcPr>
            <w:tcW w:w="0" w:type="dxa"/>
            <w:vAlign w:val="bottom"/>
          </w:tcPr>
          <w:p>
            <w:pPr>
              <w:spacing w:after="0"/>
              <w:rPr>
                <w:sz w:val="1"/>
                <w:szCs w:val="1"/>
                <w:color w:val="auto"/>
              </w:rPr>
            </w:pPr>
          </w:p>
        </w:tc>
      </w:tr>
      <w:tr>
        <w:trPr>
          <w:trHeight w:val="418"/>
        </w:trPr>
        <w:tc>
          <w:tcPr>
            <w:tcW w:w="1720" w:type="dxa"/>
            <w:vAlign w:val="bottom"/>
            <w:gridSpan w:val="2"/>
          </w:tcPr>
          <w:p>
            <w:pPr>
              <w:spacing w:after="0"/>
              <w:rPr>
                <w:sz w:val="20"/>
                <w:szCs w:val="20"/>
                <w:color w:val="auto"/>
              </w:rPr>
            </w:pPr>
            <w:r>
              <w:rPr>
                <w:rFonts w:ascii="Arial" w:cs="Arial" w:eastAsia="Arial" w:hAnsi="Arial"/>
                <w:sz w:val="18"/>
                <w:szCs w:val="18"/>
                <w:color w:val="auto"/>
              </w:rPr>
              <w:t>Trust V</w:t>
            </w:r>
          </w:p>
        </w:tc>
        <w:tc>
          <w:tcPr>
            <w:tcW w:w="58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$150 million</w:t>
            </w:r>
          </w:p>
        </w:tc>
        <w:tc>
          <w:tcPr>
            <w:tcW w:w="5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$4.64 million</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$154.64 million aggregate liquidation amount of floating 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Junior Subordinated Debentures due January 15, 2027.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VI</w:t>
            </w:r>
          </w:p>
        </w:tc>
        <w:tc>
          <w:tcPr>
            <w:tcW w:w="5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$150 million</w:t>
            </w:r>
          </w:p>
        </w:tc>
        <w:tc>
          <w:tcPr>
            <w:tcW w:w="5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$4.64 million</w:t>
            </w:r>
          </w:p>
        </w:tc>
        <w:tc>
          <w:tcPr>
            <w:tcW w:w="5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$154.64 million aggregate liquidation amount of floating 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Debentures due February 1, 2027.</w:t>
            </w:r>
          </w:p>
        </w:tc>
        <w:tc>
          <w:tcPr>
            <w:tcW w:w="0" w:type="dxa"/>
            <w:vAlign w:val="bottom"/>
          </w:tcPr>
          <w:p>
            <w:pPr>
              <w:spacing w:after="0"/>
              <w:rPr>
                <w:sz w:val="1"/>
                <w:szCs w:val="1"/>
                <w:color w:val="auto"/>
              </w:rPr>
            </w:pPr>
          </w:p>
        </w:tc>
      </w:tr>
      <w:tr>
        <w:trPr>
          <w:trHeight w:val="418"/>
        </w:trPr>
        <w:tc>
          <w:tcPr>
            <w:tcW w:w="1720" w:type="dxa"/>
            <w:vAlign w:val="bottom"/>
            <w:gridSpan w:val="2"/>
          </w:tcPr>
          <w:p>
            <w:pPr>
              <w:spacing w:after="0"/>
              <w:rPr>
                <w:sz w:val="20"/>
                <w:szCs w:val="20"/>
                <w:color w:val="auto"/>
              </w:rPr>
            </w:pPr>
            <w:r>
              <w:rPr>
                <w:rFonts w:ascii="Arial" w:cs="Arial" w:eastAsia="Arial" w:hAnsi="Arial"/>
                <w:sz w:val="18"/>
                <w:szCs w:val="18"/>
                <w:color w:val="auto"/>
              </w:rPr>
              <w:t>Trust VII</w:t>
            </w:r>
          </w:p>
        </w:tc>
        <w:tc>
          <w:tcPr>
            <w:tcW w:w="58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$16.5 million</w:t>
            </w:r>
          </w:p>
        </w:tc>
        <w:tc>
          <w:tcPr>
            <w:tcW w:w="5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$.928 million</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$17.428 million aggregate liquidation amount of 8.125%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Junior Subordinated Debentures due July 31, 2028.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VIII</w:t>
            </w:r>
          </w:p>
        </w:tc>
        <w:tc>
          <w:tcPr>
            <w:tcW w:w="5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$15 million</w:t>
            </w:r>
          </w:p>
        </w:tc>
        <w:tc>
          <w:tcPr>
            <w:tcW w:w="5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$.464 million</w:t>
            </w:r>
          </w:p>
        </w:tc>
        <w:tc>
          <w:tcPr>
            <w:tcW w:w="5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$15.464 million aggregate liquidation amount of floating 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Debentures due January 7, 2033.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447"/>
        <w:spacing w:after="0" w:line="255" w:lineRule="auto"/>
        <w:rPr>
          <w:sz w:val="20"/>
          <w:szCs w:val="20"/>
          <w:color w:val="auto"/>
        </w:rPr>
      </w:pPr>
      <w:r>
        <w:rPr>
          <w:rFonts w:ascii="Arial" w:cs="Arial" w:eastAsia="Arial" w:hAnsi="Arial"/>
          <w:sz w:val="18"/>
          <w:szCs w:val="18"/>
          <w:color w:val="auto"/>
        </w:rPr>
        <w:t>The Junior Subordinated Debentures represent the sole assets of each Trust and payments under the Junior Subordinated Debentures are the sole source of cash flow for each Trust. The financial statement carrying values of junior subordinated debentures associated with preferred capital securities at March 31, 2009 and December 31, 2008 of Trust III, Trust V, Trust VI and Trust VII include the unamortized portions of purchase accounting adjustments to reflect estimated fair value as of the date of M&amp;T’s acquisition of the common securities of each respective trust. The interest rates payable on the Junior Subordinated Debentures of Trust V, Trust VI and Trust VIII were 2.09%, 2.02% and 4.44%, respectively, at March 31, 2009 and were 5.75%, 4.04% and 8.17%, respectively, at December 31, 2008.</w:t>
      </w:r>
    </w:p>
    <w:p>
      <w:pPr>
        <w:spacing w:after="0" w:line="85"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Holders of the Capital Securities receive preferential cumulative cash distributions on each distribution date at the stated distribution rate unless M&amp;T exercises its right to extend the payment of interest on the Junior Subordinated Debentures for up to ten semi-annual periods (in the case of Trust I, Trust II, Trust III and Trust VII), twenty quarterly periods (in the case of Trust V, Trust VI and Trust VIII) or, with respect to Trust IV, for up to twenty quarterly periods without being subject to the alternative payment mechanism (as described below), and for up to forty quarterly periods, without giving rise to an event of default,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the Junior Subordinated Debentures due January 31, 2068 held by Trust IV, M&amp;T must fund the payment of accrued and unpaid interest through the alternative payment mechanism, which requires M&amp;T to issue common stock, non-cumulative perpetual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preferred stock or warrants to purchase common stock until M&amp;T has raised an amount of eligible proceeds at least equal to the aggregate amount of accrued and unpaid deferred interest on the Junior Subordinated Debentures due January 31, 2068 held by Trust IV.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80" w:lineRule="exact"/>
        <w:rPr>
          <w:sz w:val="20"/>
          <w:szCs w:val="20"/>
          <w:color w:val="auto"/>
        </w:rPr>
      </w:pPr>
    </w:p>
    <w:p>
      <w:pPr>
        <w:ind w:firstLine="447"/>
        <w:spacing w:after="0" w:line="269" w:lineRule="auto"/>
        <w:rPr>
          <w:sz w:val="20"/>
          <w:szCs w:val="20"/>
          <w:color w:val="auto"/>
        </w:rPr>
      </w:pPr>
      <w:r>
        <w:rPr>
          <w:rFonts w:ascii="Arial" w:cs="Arial" w:eastAsia="Arial" w:hAnsi="Arial"/>
          <w:sz w:val="17"/>
          <w:szCs w:val="17"/>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contemporaneously with the optional redemption of the related Junior Subordinated Debentures in whole or in part, subject to possible regulatory approval. In connection with the issuance of the 8.50% Enhanced Trust Preferred Securities by Trust IV,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72"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Allfirst Preferred Capital Trust (“Allfirst Capital Trust”) has issued $100 million of Floating Rate Non-Cumulative Subordinated Trust Enhanced Securities (“SKATES”). Allfirst Capital Trust is a Delaware business trust that was formed for the exclusive purposes of (i) issuing the SKATES and common securities, (ii) purchasing Asset Preferred Securities issued by Allfirst Preferred Asset Trust (“Allfirst Asset Trust”) and (iii) engaging in only those other activities necessary or incidental thereto. M&amp;T holds 100% of the common securities of Allfirst Capital Trust. Allfirst Asset Trust is a Delaware business trust that was formed for the exclusive purposes of (i) issuing Asset Preferred Securities and common securities, (ii) investing the gross proceeds of the Asset Preferred Securities in junior subordinated debentures of M&amp;T and other permitted investments and (iii) engaging in only those other activities necessary or incidental thereto. M&amp;T holds 100% of the common securities of Allfirst Asset Trust and Allfirst Capital Trust holds 100% of the Asset Preferred Securities of Allfirst Asset Trust. M&amp;T currently has outstanding $105.3 million aggregate liquidation amount Floating Rate Junior Subordinated Debentures due</w:t>
      </w:r>
    </w:p>
    <w:p>
      <w:pPr>
        <w:spacing w:after="0" w:line="1"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July 15, 2029 that are payable to Allfirst Asset Trust. The interest rates payable on such debentures were 2.52% and 6.18% at March 31, 2009 and December 31, 2008, respectively.</w:t>
      </w:r>
    </w:p>
    <w:p>
      <w:pPr>
        <w:spacing w:after="0" w:line="76"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Distributions on the SKATES are non-cumulative. The distribution rate on the SKATES and on the Floating Rate Junior Subordinated Debentures is a rate per annum of three-month LIBOR plus 1.50% and three-month LIBOR plus 1.43%, respectively, reset quarterly two business days prior to the distribution dates of January 15, April 15, July 15, and October 15 in each year. Distributions on the SKATES will be paid if, as and when Allfirst Capital Trust has funds available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payment. The SKATES are subject to mandatory redemption if the Asset Preferred Securities of Allfirst Asset Trust are redeemed. Allfirst Asset Trust will redeem the Asset Preferred Securities if the junior subordinated debentures of M&amp;T held by Allfirst Asset Trust are redeemed. M&amp;T may redeem such junior subordinated debentures, in whole or in part, at any time on or after July 15, 2009, subject to regulatory approval. Allfirst Asset Trust will redeem the Asset Preferred Securities at par plus accrued and unpaid distributions from the last distribution payment date. M&amp;T has guaranteed, on a subordinated basis, the payment in full of all distributions and other payments on the SKATES and on the Asset Preferred Securities to the extent that Allfirst Capital Trust and Allfirst Asset Trust, respectively, have funds legally available. Under the Federal Reserve Board’s current risk-based capital guidelines, the SKATES are includable in M&amp;T’s Tier 1 Capital.</w:t>
      </w:r>
    </w:p>
    <w:p>
      <w:pPr>
        <w:spacing w:after="0" w:line="81" w:lineRule="exact"/>
        <w:rPr>
          <w:sz w:val="20"/>
          <w:szCs w:val="20"/>
          <w:color w:val="auto"/>
        </w:rPr>
      </w:pPr>
    </w:p>
    <w:p>
      <w:pPr>
        <w:jc w:val="both"/>
        <w:ind w:right="100" w:firstLine="450"/>
        <w:spacing w:after="0" w:line="264" w:lineRule="auto"/>
        <w:rPr>
          <w:sz w:val="20"/>
          <w:szCs w:val="20"/>
          <w:color w:val="auto"/>
        </w:rPr>
      </w:pPr>
      <w:r>
        <w:rPr>
          <w:rFonts w:ascii="Arial" w:cs="Arial" w:eastAsia="Arial" w:hAnsi="Arial"/>
          <w:sz w:val="18"/>
          <w:szCs w:val="18"/>
          <w:color w:val="auto"/>
        </w:rPr>
        <w:t>Including the unamortized portions of purchase accounting adjustments to reflect estimated fair value at the acquisition dates of the common securities of Trust III, Trust V, Trust VI, Trust VII and Allfirst Asset Trust, the junior subordinated debentures associated with preferred capital securities had financial statement carrying values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color w:val="auto"/>
                <w:w w:val="93"/>
              </w:rPr>
              <w:t>March 31,</w:t>
            </w:r>
          </w:p>
        </w:tc>
        <w:tc>
          <w:tcPr>
            <w:tcW w:w="98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4"/>
          </w:tcPr>
          <w:p>
            <w:pPr>
              <w:ind w:left="660"/>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Trust I</w:t>
            </w:r>
          </w:p>
        </w:tc>
        <w:tc>
          <w:tcPr>
            <w:tcW w:w="5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154,640</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154,640</w:t>
            </w:r>
          </w:p>
        </w:tc>
        <w:tc>
          <w:tcPr>
            <w:tcW w:w="0" w:type="dxa"/>
            <w:vAlign w:val="bottom"/>
          </w:tcPr>
          <w:p>
            <w:pPr>
              <w:spacing w:after="0"/>
              <w:rPr>
                <w:sz w:val="1"/>
                <w:szCs w:val="1"/>
                <w:color w:val="auto"/>
              </w:rPr>
            </w:pPr>
          </w:p>
        </w:tc>
      </w:tr>
      <w:tr>
        <w:trPr>
          <w:trHeight w:val="432"/>
        </w:trPr>
        <w:tc>
          <w:tcPr>
            <w:tcW w:w="346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103,093</w:t>
            </w:r>
          </w:p>
        </w:tc>
        <w:tc>
          <w:tcPr>
            <w:tcW w:w="6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67,653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67,734</w:t>
            </w:r>
          </w:p>
        </w:tc>
        <w:tc>
          <w:tcPr>
            <w:tcW w:w="0" w:type="dxa"/>
            <w:vAlign w:val="bottom"/>
          </w:tcPr>
          <w:p>
            <w:pPr>
              <w:spacing w:after="0"/>
              <w:rPr>
                <w:sz w:val="1"/>
                <w:szCs w:val="1"/>
                <w:color w:val="auto"/>
              </w:rPr>
            </w:pPr>
          </w:p>
        </w:tc>
      </w:tr>
      <w:tr>
        <w:trPr>
          <w:trHeight w:val="432"/>
        </w:trPr>
        <w:tc>
          <w:tcPr>
            <w:tcW w:w="346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350,010</w:t>
            </w:r>
          </w:p>
        </w:tc>
        <w:tc>
          <w:tcPr>
            <w:tcW w:w="6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350,010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Trust V</w:t>
            </w: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144,888</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144,750</w:t>
            </w:r>
          </w:p>
        </w:tc>
        <w:tc>
          <w:tcPr>
            <w:tcW w:w="0" w:type="dxa"/>
            <w:vAlign w:val="bottom"/>
          </w:tcPr>
          <w:p>
            <w:pPr>
              <w:spacing w:after="0"/>
              <w:rPr>
                <w:sz w:val="1"/>
                <w:szCs w:val="1"/>
                <w:color w:val="auto"/>
              </w:rPr>
            </w:pPr>
          </w:p>
        </w:tc>
      </w:tr>
      <w:tr>
        <w:trPr>
          <w:trHeight w:val="432"/>
        </w:trPr>
        <w:tc>
          <w:tcPr>
            <w:tcW w:w="3460" w:type="dxa"/>
            <w:vAlign w:val="bottom"/>
            <w:gridSpan w:val="2"/>
          </w:tcPr>
          <w:p>
            <w:pPr>
              <w:spacing w:after="0"/>
              <w:rPr>
                <w:sz w:val="20"/>
                <w:szCs w:val="20"/>
                <w:color w:val="auto"/>
              </w:rPr>
            </w:pPr>
            <w:r>
              <w:rPr>
                <w:rFonts w:ascii="Arial" w:cs="Arial" w:eastAsia="Arial" w:hAnsi="Arial"/>
                <w:sz w:val="18"/>
                <w:szCs w:val="18"/>
                <w:color w:val="auto"/>
              </w:rPr>
              <w:t>Trust VI</w:t>
            </w:r>
          </w:p>
        </w:tc>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142,815</w:t>
            </w:r>
          </w:p>
        </w:tc>
        <w:tc>
          <w:tcPr>
            <w:tcW w:w="6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Trust VII</w:t>
            </w: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16,933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16,927</w:t>
            </w:r>
          </w:p>
        </w:tc>
        <w:tc>
          <w:tcPr>
            <w:tcW w:w="0" w:type="dxa"/>
            <w:vAlign w:val="bottom"/>
          </w:tcPr>
          <w:p>
            <w:pPr>
              <w:spacing w:after="0"/>
              <w:rPr>
                <w:sz w:val="1"/>
                <w:szCs w:val="1"/>
                <w:color w:val="auto"/>
              </w:rPr>
            </w:pPr>
          </w:p>
        </w:tc>
      </w:tr>
      <w:tr>
        <w:trPr>
          <w:trHeight w:val="432"/>
        </w:trPr>
        <w:tc>
          <w:tcPr>
            <w:tcW w:w="3460" w:type="dxa"/>
            <w:vAlign w:val="bottom"/>
            <w:gridSpan w:val="2"/>
          </w:tcPr>
          <w:p>
            <w:pPr>
              <w:spacing w:after="0"/>
              <w:rPr>
                <w:sz w:val="20"/>
                <w:szCs w:val="20"/>
                <w:color w:val="auto"/>
              </w:rPr>
            </w:pPr>
            <w:r>
              <w:rPr>
                <w:rFonts w:ascii="Arial" w:cs="Arial" w:eastAsia="Arial" w:hAnsi="Arial"/>
                <w:sz w:val="18"/>
                <w:szCs w:val="18"/>
                <w:color w:val="auto"/>
              </w:rPr>
              <w:t>Trust VIII</w:t>
            </w:r>
          </w:p>
        </w:tc>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15,464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Allfirst Asset Trust</w:t>
            </w:r>
          </w:p>
        </w:tc>
        <w:tc>
          <w:tcPr>
            <w:tcW w:w="5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102,147</w:t>
            </w:r>
          </w:p>
        </w:tc>
        <w:tc>
          <w:tcPr>
            <w:tcW w:w="6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1,097,643</w:t>
            </w:r>
          </w:p>
        </w:tc>
        <w:tc>
          <w:tcPr>
            <w:tcW w:w="6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1,097,375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80" w:type="dxa"/>
            <w:vAlign w:val="bottom"/>
            <w:vMerge w:val="restart"/>
          </w:tcPr>
          <w:p>
            <w:pPr>
              <w:jc w:val="right"/>
              <w:ind w:right="2950"/>
              <w:spacing w:after="0"/>
              <w:rPr>
                <w:sz w:val="20"/>
                <w:szCs w:val="20"/>
                <w:color w:val="auto"/>
              </w:rPr>
            </w:pPr>
            <w:r>
              <w:rPr>
                <w:rFonts w:ascii="Arial" w:cs="Arial" w:eastAsia="Arial" w:hAnsi="Arial"/>
                <w:sz w:val="18"/>
                <w:szCs w:val="18"/>
                <w:color w:val="auto"/>
              </w:rPr>
              <w:t>- 15 -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Pension plans and other postretirement benefits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benefit cost for defined benefit plans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40" w:type="dxa"/>
            <w:vAlign w:val="bottom"/>
            <w:gridSpan w:val="6"/>
          </w:tcPr>
          <w:p>
            <w:pPr>
              <w:jc w:val="center"/>
              <w:ind w:right="880"/>
              <w:spacing w:after="0" w:line="123" w:lineRule="exact"/>
              <w:rPr>
                <w:sz w:val="20"/>
                <w:szCs w:val="20"/>
                <w:color w:val="auto"/>
              </w:rPr>
            </w:pPr>
            <w:r>
              <w:rPr>
                <w:rFonts w:ascii="Arial" w:cs="Arial" w:eastAsia="Arial" w:hAnsi="Arial"/>
                <w:sz w:val="14"/>
                <w:szCs w:val="14"/>
                <w:color w:val="auto"/>
                <w:w w:val="91"/>
              </w:rPr>
              <w:t>Three months ended March 31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436"/>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4,875</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5,343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11,015</w:t>
            </w:r>
          </w:p>
        </w:tc>
        <w:tc>
          <w:tcPr>
            <w:tcW w:w="6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10,764</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w w:val="92"/>
              </w:rPr>
              <w:t>(11,475)</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(11,114)</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568"/>
              <w:spacing w:after="0"/>
              <w:rPr>
                <w:sz w:val="20"/>
                <w:szCs w:val="20"/>
                <w:color w:val="auto"/>
              </w:rPr>
            </w:pPr>
            <w:r>
              <w:rPr>
                <w:rFonts w:ascii="Arial" w:cs="Arial" w:eastAsia="Arial" w:hAnsi="Arial"/>
                <w:sz w:val="18"/>
                <w:szCs w:val="18"/>
                <w:color w:val="auto"/>
              </w:rPr>
              <w:t>(1,650)</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2,350</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$10,774,000 and $10,327,000 for the three months ended March 31, 2009 and 2008,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200"/>
              <w:spacing w:after="0"/>
              <w:rPr>
                <w:sz w:val="20"/>
                <w:szCs w:val="20"/>
                <w:color w:val="auto"/>
              </w:rPr>
            </w:pPr>
            <w:r>
              <w:rPr>
                <w:rFonts w:ascii="Arial" w:cs="Arial" w:eastAsia="Arial" w:hAnsi="Arial"/>
                <w:sz w:val="14"/>
                <w:szCs w:val="14"/>
                <w:color w:val="auto"/>
                <w:w w:val="89"/>
              </w:rPr>
              <w:t>Three months ended</w:t>
            </w:r>
          </w:p>
        </w:tc>
      </w:tr>
      <w:tr>
        <w:trPr>
          <w:trHeight w:val="149"/>
        </w:trPr>
        <w:tc>
          <w:tcPr>
            <w:tcW w:w="5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3"/>
          </w:tcPr>
          <w:p>
            <w:pPr>
              <w:jc w:val="center"/>
              <w:ind w:right="860"/>
              <w:spacing w:after="0" w:line="149" w:lineRule="exact"/>
              <w:rPr>
                <w:sz w:val="20"/>
                <w:szCs w:val="20"/>
                <w:color w:val="auto"/>
              </w:rPr>
            </w:pPr>
            <w:r>
              <w:rPr>
                <w:rFonts w:ascii="Arial" w:cs="Arial" w:eastAsia="Arial" w:hAnsi="Arial"/>
                <w:sz w:val="14"/>
                <w:szCs w:val="14"/>
                <w:color w:val="auto"/>
                <w:w w:val="95"/>
              </w:rPr>
              <w:t>March 31</w:t>
            </w:r>
          </w:p>
        </w:tc>
      </w:tr>
      <w:tr>
        <w:trPr>
          <w:trHeight w:val="167"/>
        </w:trPr>
        <w:tc>
          <w:tcPr>
            <w:tcW w:w="54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2009</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jc w:val="center"/>
              <w:ind w:right="200"/>
              <w:spacing w:after="0" w:line="142" w:lineRule="exact"/>
              <w:rPr>
                <w:sz w:val="20"/>
                <w:szCs w:val="20"/>
                <w:color w:val="auto"/>
              </w:rPr>
            </w:pPr>
            <w:r>
              <w:rPr>
                <w:rFonts w:ascii="Arial" w:cs="Arial" w:eastAsia="Arial" w:hAnsi="Arial"/>
                <w:sz w:val="14"/>
                <w:szCs w:val="14"/>
                <w:color w:val="auto"/>
                <w:w w:val="91"/>
              </w:rPr>
              <w:t>(in thousands, except per share)</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4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64,221</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202,196</w:t>
            </w: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Preferred stock dividends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ind w:left="420"/>
              <w:spacing w:after="0"/>
              <w:rPr>
                <w:sz w:val="20"/>
                <w:szCs w:val="20"/>
                <w:color w:val="auto"/>
              </w:rPr>
            </w:pPr>
            <w:r>
              <w:rPr>
                <w:rFonts w:ascii="Arial" w:cs="Arial" w:eastAsia="Arial" w:hAnsi="Arial"/>
                <w:sz w:val="18"/>
                <w:szCs w:val="18"/>
                <w:color w:val="auto"/>
              </w:rPr>
              <w:t>Amortization of preferred stock discount</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(1,399)</w:t>
            </w:r>
          </w:p>
        </w:tc>
        <w:tc>
          <w:tcPr>
            <w:tcW w:w="6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Income attributable to unvested stock-based compensation awards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9"/>
        </w:trPr>
        <w:tc>
          <w:tcPr>
            <w:tcW w:w="5400" w:type="dxa"/>
            <w:vAlign w:val="bottom"/>
          </w:tcPr>
          <w:p>
            <w:pPr>
              <w:spacing w:after="0"/>
              <w:rPr>
                <w:sz w:val="20"/>
                <w:szCs w:val="20"/>
                <w:color w:val="auto"/>
              </w:rPr>
            </w:pPr>
            <w:r>
              <w:rPr>
                <w:rFonts w:ascii="Arial" w:cs="Arial" w:eastAsia="Arial" w:hAnsi="Arial"/>
                <w:sz w:val="18"/>
                <w:szCs w:val="18"/>
                <w:color w:val="auto"/>
              </w:rPr>
              <w:t>Net income available to common stockholders</w:t>
            </w:r>
          </w:p>
        </w:tc>
        <w:tc>
          <w:tcPr>
            <w:tcW w:w="384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54,618</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202,196</w:t>
            </w:r>
          </w:p>
        </w:tc>
        <w:tc>
          <w:tcPr>
            <w:tcW w:w="100" w:type="dxa"/>
            <w:vAlign w:val="bottom"/>
          </w:tcPr>
          <w:p>
            <w:pPr>
              <w:spacing w:after="0"/>
              <w:rPr>
                <w:sz w:val="24"/>
                <w:szCs w:val="24"/>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Weighted-average shares outstanding (including common stock issuable)</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110,439</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110,017</w:t>
            </w:r>
          </w:p>
        </w:tc>
      </w:tr>
      <w:tr>
        <w:trPr>
          <w:trHeight w:val="432"/>
        </w:trPr>
        <w:tc>
          <w:tcPr>
            <w:tcW w:w="54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1.84</w:t>
            </w:r>
          </w:p>
        </w:tc>
      </w:tr>
      <w:tr>
        <w:trPr>
          <w:trHeight w:val="405"/>
        </w:trPr>
        <w:tc>
          <w:tcPr>
            <w:tcW w:w="5400" w:type="dxa"/>
            <w:vAlign w:val="bottom"/>
          </w:tcPr>
          <w:p>
            <w:pPr>
              <w:spacing w:after="0"/>
              <w:rPr>
                <w:sz w:val="24"/>
                <w:szCs w:val="24"/>
                <w:color w:val="auto"/>
              </w:rPr>
            </w:pPr>
          </w:p>
        </w:tc>
        <w:tc>
          <w:tcPr>
            <w:tcW w:w="3840" w:type="dxa"/>
            <w:vAlign w:val="bottom"/>
          </w:tcPr>
          <w:p>
            <w:pPr>
              <w:jc w:val="right"/>
              <w:ind w:right="3250"/>
              <w:spacing w:after="0"/>
              <w:rPr>
                <w:sz w:val="20"/>
                <w:szCs w:val="20"/>
                <w:color w:val="auto"/>
              </w:rPr>
            </w:pPr>
            <w:r>
              <w:rPr>
                <w:rFonts w:ascii="Arial" w:cs="Arial" w:eastAsia="Arial" w:hAnsi="Arial"/>
                <w:sz w:val="18"/>
                <w:szCs w:val="18"/>
                <w:color w:val="auto"/>
              </w:rPr>
              <w:t>- 16 -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540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common share, continued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computations of diluted earnings per common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200"/>
              <w:spacing w:after="0"/>
              <w:rPr>
                <w:sz w:val="20"/>
                <w:szCs w:val="20"/>
                <w:color w:val="auto"/>
              </w:rPr>
            </w:pPr>
            <w:r>
              <w:rPr>
                <w:rFonts w:ascii="Arial" w:cs="Arial" w:eastAsia="Arial" w:hAnsi="Arial"/>
                <w:sz w:val="14"/>
                <w:szCs w:val="14"/>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center"/>
              <w:ind w:right="820"/>
              <w:spacing w:after="0" w:line="149" w:lineRule="exact"/>
              <w:rPr>
                <w:sz w:val="20"/>
                <w:szCs w:val="20"/>
                <w:color w:val="auto"/>
              </w:rPr>
            </w:pPr>
            <w:r>
              <w:rPr>
                <w:rFonts w:ascii="Arial" w:cs="Arial" w:eastAsia="Arial" w:hAnsi="Arial"/>
                <w:sz w:val="14"/>
                <w:szCs w:val="14"/>
                <w:color w:val="auto"/>
                <w:w w:val="95"/>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jc w:val="center"/>
              <w:ind w:right="200"/>
              <w:spacing w:after="0" w:line="142" w:lineRule="exact"/>
              <w:rPr>
                <w:sz w:val="20"/>
                <w:szCs w:val="20"/>
                <w:color w:val="auto"/>
              </w:rPr>
            </w:pPr>
            <w:r>
              <w:rPr>
                <w:rFonts w:ascii="Arial" w:cs="Arial" w:eastAsia="Arial" w:hAnsi="Arial"/>
                <w:sz w:val="14"/>
                <w:szCs w:val="14"/>
                <w:color w:val="auto"/>
                <w:w w:val="91"/>
              </w:rPr>
              <w:t>(in thousands, except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54,618</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202,196</w:t>
            </w:r>
          </w:p>
        </w:tc>
        <w:tc>
          <w:tcPr>
            <w:tcW w:w="0" w:type="dxa"/>
            <w:vAlign w:val="bottom"/>
          </w:tcPr>
          <w:p>
            <w:pPr>
              <w:spacing w:after="0"/>
              <w:rPr>
                <w:sz w:val="1"/>
                <w:szCs w:val="1"/>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110,439</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110,017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Plus: incremental shares from assumed conversion of stock-based compensation awards</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80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110,439</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110,967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450"/>
        <w:spacing w:after="0" w:line="290" w:lineRule="auto"/>
        <w:rPr>
          <w:sz w:val="20"/>
          <w:szCs w:val="20"/>
          <w:color w:val="auto"/>
        </w:rPr>
      </w:pPr>
      <w:r>
        <w:rPr>
          <w:rFonts w:ascii="Arial" w:cs="Arial" w:eastAsia="Arial" w:hAnsi="Arial"/>
          <w:sz w:val="16"/>
          <w:szCs w:val="16"/>
          <w:color w:val="auto"/>
        </w:rPr>
        <w:t>In June 2008, the Financial Accounting Standards Board (“FASB”) issued FASB Staff Position EITF 03-6-1, “Determining Whether Instruments Granted in Share-Based Payment Transactions Are Participating Securities” (“FSP 03-6-1”). FSP 03-6-1 was issued to specify that unvested share-based payment awards that contain nonforfeitable rights to dividends or dividend equivalents (whether paid or unpaid) are participating securities and shall be included in the computation of earnings per common share pursuant to the two-class method. FSP 03-6-1 was effective for financial statements issued for fiscal years beginning after December 15, 2008 and interim periods within those years. In January 2009, the Company issued a significant portion of its annual stock-based compensation awards in the form of restricted stock and restricted stock units, which are considered participating securities under FSP 03-6-1. Beginning for the quarter ended March 31, 2009, the Company’s earnings per common share are calculated using the two-class method. The effects of the application of the provisions of FSP 03-6-1 to previously reported earnings per common share amounts were immaterial.</w:t>
      </w:r>
    </w:p>
    <w:p>
      <w:pPr>
        <w:spacing w:after="0" w:line="58"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15.0 million and 8.6 million common shares were not included in the computations of diluted earnings per common share for the three-month periods ended March 31, 2009 and 2008, respectively, because the effect on those periods would have been antidilutive.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w:t>
      </w:r>
    </w:p>
    <w:p>
      <w:pPr>
        <w:spacing w:after="0" w:line="221" w:lineRule="exact"/>
        <w:rPr>
          <w:sz w:val="20"/>
          <w:szCs w:val="20"/>
          <w:color w:val="auto"/>
        </w:rPr>
      </w:pPr>
    </w:p>
    <w:p>
      <w:pPr>
        <w:ind w:left="8540"/>
        <w:spacing w:after="0"/>
        <w:rPr>
          <w:sz w:val="20"/>
          <w:szCs w:val="20"/>
          <w:color w:val="auto"/>
        </w:rPr>
      </w:pPr>
      <w:r>
        <w:rPr>
          <w:rFonts w:ascii="Arial" w:cs="Arial" w:eastAsia="Arial" w:hAnsi="Arial"/>
          <w:sz w:val="14"/>
          <w:szCs w:val="14"/>
          <w:color w:val="auto"/>
        </w:rPr>
        <w:t>Three months ended March 31, 2009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23" w:lineRule="exact"/>
              <w:rPr>
                <w:sz w:val="20"/>
                <w:szCs w:val="20"/>
                <w:color w:val="auto"/>
              </w:rPr>
            </w:pPr>
            <w:r>
              <w:rPr>
                <w:rFonts w:ascii="Arial" w:cs="Arial" w:eastAsia="Arial" w:hAnsi="Arial"/>
                <w:sz w:val="14"/>
                <w:szCs w:val="14"/>
                <w:color w:val="auto"/>
                <w:w w:val="99"/>
              </w:rPr>
              <w:t>Before-tax</w:t>
            </w:r>
          </w:p>
        </w:tc>
        <w:tc>
          <w:tcPr>
            <w:tcW w:w="3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780"/>
              <w:spacing w:after="0" w:line="123" w:lineRule="exact"/>
              <w:rPr>
                <w:sz w:val="20"/>
                <w:szCs w:val="20"/>
                <w:color w:val="auto"/>
              </w:rPr>
            </w:pPr>
            <w:r>
              <w:rPr>
                <w:rFonts w:ascii="Arial" w:cs="Arial" w:eastAsia="Arial" w:hAnsi="Arial"/>
                <w:sz w:val="14"/>
                <w:szCs w:val="14"/>
                <w:color w:val="auto"/>
              </w:rPr>
              <w:t>Income</w:t>
            </w: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taxes</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color w:val="auto"/>
              </w:rPr>
              <w:t>Available for sale (“AFS”) investment securities with OTTI:</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with OTTI charges during the period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 (62,808)</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24,566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Less: OTTI charges recognized in net income</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(32,199)</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12,590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unrealized losses on investment securities with OTTI</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(30,609)</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11,976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(18,633)</w:t>
            </w:r>
          </w:p>
        </w:tc>
        <w:tc>
          <w:tcPr>
            <w:tcW w:w="0" w:type="dxa"/>
            <w:vAlign w:val="bottom"/>
          </w:tcPr>
          <w:p>
            <w:pPr>
              <w:spacing w:after="0"/>
              <w:rPr>
                <w:sz w:val="1"/>
                <w:szCs w:val="1"/>
                <w:color w:val="auto"/>
              </w:rPr>
            </w:pPr>
          </w:p>
        </w:tc>
      </w:tr>
      <w:tr>
        <w:trPr>
          <w:trHeight w:val="439"/>
        </w:trPr>
        <w:tc>
          <w:tcPr>
            <w:tcW w:w="7880" w:type="dxa"/>
            <w:vAlign w:val="bottom"/>
            <w:gridSpan w:val="2"/>
          </w:tcPr>
          <w:p>
            <w:pPr>
              <w:spacing w:after="0"/>
              <w:rPr>
                <w:sz w:val="20"/>
                <w:szCs w:val="20"/>
                <w:color w:val="auto"/>
              </w:rPr>
            </w:pPr>
            <w:r>
              <w:rPr>
                <w:rFonts w:ascii="Arial" w:cs="Arial" w:eastAsia="Arial" w:hAnsi="Arial"/>
                <w:sz w:val="18"/>
                <w:szCs w:val="18"/>
                <w:color w:val="auto"/>
              </w:rPr>
              <w:t>AFS investment securities — all other:</w:t>
            </w: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during period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147,229</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(58,559)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securities with OTTI charges during the period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(62,808)</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24,566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210,010</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(83,115)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unrealized holding losses to income during period on investment securities</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previously transferred from AFS to held to maturity</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3,456</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(879)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0"/>
        </w:trPr>
        <w:tc>
          <w:tcPr>
            <w:tcW w:w="78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80" w:type="dxa"/>
            <w:vAlign w:val="bottom"/>
            <w:gridSpan w:val="2"/>
          </w:tcPr>
          <w:p>
            <w:pPr>
              <w:spacing w:after="0"/>
              <w:rPr>
                <w:sz w:val="20"/>
                <w:szCs w:val="20"/>
                <w:color w:val="auto"/>
              </w:rPr>
            </w:pPr>
            <w:r>
              <w:rPr>
                <w:rFonts w:ascii="Arial" w:cs="Arial" w:eastAsia="Arial" w:hAnsi="Arial"/>
                <w:sz w:val="18"/>
                <w:szCs w:val="18"/>
                <w:color w:val="auto"/>
              </w:rPr>
              <w:t>Net unrealized gains on investment securities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182,857</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(72,018)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400"/>
              <w:spacing w:after="0"/>
              <w:rPr>
                <w:sz w:val="20"/>
                <w:szCs w:val="20"/>
                <w:color w:val="auto"/>
              </w:rPr>
            </w:pPr>
            <w:r>
              <w:rPr>
                <w:rFonts w:ascii="Arial" w:cs="Arial" w:eastAsia="Arial" w:hAnsi="Arial"/>
                <w:sz w:val="18"/>
                <w:szCs w:val="18"/>
                <w:color w:val="auto"/>
              </w:rPr>
              <w:t>Reclassification of losses on terminated cash flow hedges to income</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5,185</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(2,024)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 liability adjustment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775</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(303)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$ 188,817</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(74,345)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114,472</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1890"/>
              <w:spacing w:after="0"/>
              <w:rPr>
                <w:sz w:val="20"/>
                <w:szCs w:val="20"/>
                <w:color w:val="auto"/>
              </w:rPr>
            </w:pPr>
            <w:r>
              <w:rPr>
                <w:rFonts w:ascii="Arial" w:cs="Arial" w:eastAsia="Arial" w:hAnsi="Arial"/>
                <w:sz w:val="18"/>
                <w:szCs w:val="18"/>
                <w:color w:val="auto"/>
              </w:rPr>
              <w:t>- 18 -</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8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2"/>
              </w:rPr>
              <w:t>Three months ended March 31, 2008</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3"/>
          </w:tcPr>
          <w:p>
            <w:pPr>
              <w:jc w:val="right"/>
              <w:ind w:right="660"/>
              <w:spacing w:after="0" w:line="123" w:lineRule="exact"/>
              <w:rPr>
                <w:sz w:val="20"/>
                <w:szCs w:val="20"/>
                <w:color w:val="auto"/>
              </w:rPr>
            </w:pPr>
            <w:r>
              <w:rPr>
                <w:rFonts w:ascii="Arial" w:cs="Arial" w:eastAsia="Arial" w:hAnsi="Arial"/>
                <w:sz w:val="14"/>
                <w:szCs w:val="14"/>
                <w:color w:val="auto"/>
              </w:rPr>
              <w:t>Before-tax</w:t>
            </w:r>
          </w:p>
        </w:tc>
        <w:tc>
          <w:tcPr>
            <w:tcW w:w="80" w:type="dxa"/>
            <w:vAlign w:val="bottom"/>
          </w:tcPr>
          <w:p>
            <w:pPr>
              <w:spacing w:after="0"/>
              <w:rPr>
                <w:sz w:val="10"/>
                <w:szCs w:val="10"/>
                <w:color w:val="auto"/>
              </w:rPr>
            </w:pPr>
          </w:p>
        </w:tc>
        <w:tc>
          <w:tcPr>
            <w:tcW w:w="1440" w:type="dxa"/>
            <w:vAlign w:val="bottom"/>
            <w:gridSpan w:val="3"/>
          </w:tcPr>
          <w:p>
            <w:pPr>
              <w:jc w:val="center"/>
              <w:ind w:right="760"/>
              <w:spacing w:after="0" w:line="123" w:lineRule="exact"/>
              <w:rPr>
                <w:sz w:val="20"/>
                <w:szCs w:val="20"/>
                <w:color w:val="auto"/>
              </w:rPr>
            </w:pPr>
            <w:r>
              <w:rPr>
                <w:rFonts w:ascii="Arial" w:cs="Arial" w:eastAsia="Arial" w:hAnsi="Arial"/>
                <w:sz w:val="14"/>
                <w:szCs w:val="14"/>
                <w:color w:val="auto"/>
                <w:w w:val="95"/>
              </w:rPr>
              <w:t>Income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amount</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taxes</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3"/>
              </w:rPr>
              <w:t>(in thousands)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AFS investment securities: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Unrealized holding losses during 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4"/>
          </w:tcPr>
          <w:p>
            <w:pPr>
              <w:jc w:val="right"/>
              <w:ind w:right="540"/>
              <w:spacing w:after="0"/>
              <w:rPr>
                <w:sz w:val="20"/>
                <w:szCs w:val="20"/>
                <w:color w:val="auto"/>
              </w:rPr>
            </w:pPr>
            <w:r>
              <w:rPr>
                <w:rFonts w:ascii="Arial" w:cs="Arial" w:eastAsia="Arial" w:hAnsi="Arial"/>
                <w:sz w:val="18"/>
                <w:szCs w:val="18"/>
                <w:color w:val="auto"/>
              </w:rPr>
              <w:t>$ (171,672)</w:t>
            </w:r>
          </w:p>
        </w:tc>
        <w:tc>
          <w:tcPr>
            <w:tcW w:w="1440" w:type="dxa"/>
            <w:vAlign w:val="bottom"/>
            <w:gridSpan w:val="3"/>
          </w:tcPr>
          <w:p>
            <w:pPr>
              <w:jc w:val="right"/>
              <w:ind w:right="680"/>
              <w:spacing w:after="0"/>
              <w:rPr>
                <w:sz w:val="20"/>
                <w:szCs w:val="20"/>
                <w:color w:val="auto"/>
              </w:rPr>
            </w:pPr>
            <w:r>
              <w:rPr>
                <w:rFonts w:ascii="Arial" w:cs="Arial" w:eastAsia="Arial" w:hAnsi="Arial"/>
                <w:sz w:val="18"/>
                <w:szCs w:val="18"/>
                <w:color w:val="auto"/>
              </w:rPr>
              <w:t>57,245</w:t>
            </w: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(114,427)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Less: reclassification adjustment for gains realized in net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33,447</w:t>
            </w:r>
          </w:p>
        </w:tc>
        <w:tc>
          <w:tcPr>
            <w:tcW w:w="1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(13,061)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(205,119)</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70,306</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(134,813)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Unrealized losses on terminated cash flow hedges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4"/>
          </w:tcPr>
          <w:p>
            <w:pPr>
              <w:jc w:val="right"/>
              <w:ind w:right="540"/>
              <w:spacing w:after="0"/>
              <w:rPr>
                <w:sz w:val="20"/>
                <w:szCs w:val="20"/>
                <w:color w:val="auto"/>
              </w:rPr>
            </w:pPr>
            <w:r>
              <w:rPr>
                <w:rFonts w:ascii="Arial" w:cs="Arial" w:eastAsia="Arial" w:hAnsi="Arial"/>
                <w:sz w:val="18"/>
                <w:szCs w:val="18"/>
                <w:color w:val="auto"/>
              </w:rPr>
              <w:t>(20,225)</w:t>
            </w:r>
          </w:p>
        </w:tc>
        <w:tc>
          <w:tcPr>
            <w:tcW w:w="1440" w:type="dxa"/>
            <w:vAlign w:val="bottom"/>
            <w:gridSpan w:val="3"/>
          </w:tcPr>
          <w:p>
            <w:pPr>
              <w:jc w:val="right"/>
              <w:ind w:right="680"/>
              <w:spacing w:after="0"/>
              <w:rPr>
                <w:sz w:val="20"/>
                <w:szCs w:val="20"/>
                <w:color w:val="auto"/>
              </w:rPr>
            </w:pPr>
            <w:r>
              <w:rPr>
                <w:rFonts w:ascii="Arial" w:cs="Arial" w:eastAsia="Arial" w:hAnsi="Arial"/>
                <w:sz w:val="18"/>
                <w:szCs w:val="18"/>
                <w:color w:val="auto"/>
              </w:rPr>
              <w:t>7,887</w:t>
            </w: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89"/>
              </w:rPr>
              <w:t>Reclassification of losses on terminated cash flow hedges to income</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4,419</w:t>
            </w:r>
          </w:p>
        </w:tc>
        <w:tc>
          <w:tcPr>
            <w:tcW w:w="1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(1,725)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(15,806)</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6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 liability adjustment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(336)</w:t>
            </w:r>
          </w:p>
        </w:tc>
        <w:tc>
          <w:tcPr>
            <w:tcW w:w="14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4"/>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(221,261)</w:t>
            </w:r>
          </w:p>
        </w:tc>
        <w:tc>
          <w:tcPr>
            <w:tcW w:w="1440" w:type="dxa"/>
            <w:vAlign w:val="bottom"/>
            <w:gridSpan w:val="3"/>
          </w:tcPr>
          <w:p>
            <w:pPr>
              <w:jc w:val="right"/>
              <w:ind w:right="680"/>
              <w:spacing w:after="0"/>
              <w:rPr>
                <w:sz w:val="20"/>
                <w:szCs w:val="20"/>
                <w:color w:val="auto"/>
              </w:rPr>
            </w:pPr>
            <w:r>
              <w:rPr>
                <w:rFonts w:ascii="Arial" w:cs="Arial" w:eastAsia="Arial" w:hAnsi="Arial"/>
                <w:sz w:val="18"/>
                <w:szCs w:val="18"/>
                <w:color w:val="auto"/>
              </w:rPr>
              <w:t>76,599</w:t>
            </w:r>
          </w:p>
        </w:tc>
        <w:tc>
          <w:tcPr>
            <w:tcW w:w="8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(144,662)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100" w:type="dxa"/>
            <w:vAlign w:val="bottom"/>
            <w:gridSpan w:val="14"/>
          </w:tcPr>
          <w:p>
            <w:pPr>
              <w:jc w:val="right"/>
              <w:ind w:right="1280"/>
              <w:spacing w:after="0"/>
              <w:rPr>
                <w:sz w:val="20"/>
                <w:szCs w:val="20"/>
                <w:color w:val="auto"/>
              </w:rPr>
            </w:pPr>
            <w:r>
              <w:rPr>
                <w:rFonts w:ascii="Arial" w:cs="Arial" w:eastAsia="Arial" w:hAnsi="Arial"/>
                <w:sz w:val="18"/>
                <w:szCs w:val="18"/>
                <w:color w:val="auto"/>
                <w:w w:val="95"/>
              </w:rPr>
              <w:t>Accumulated other comprehensive income (loss), net consisted of unrealized gains (losses) as follows: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7"/>
            <w:vMerge w:val="restart"/>
          </w:tcPr>
          <w:p>
            <w:pPr>
              <w:jc w:val="right"/>
              <w:ind w:right="780"/>
              <w:spacing w:after="0"/>
              <w:rPr>
                <w:sz w:val="20"/>
                <w:szCs w:val="20"/>
                <w:color w:val="auto"/>
              </w:rPr>
            </w:pPr>
            <w:r>
              <w:rPr>
                <w:rFonts w:ascii="Arial" w:cs="Arial" w:eastAsia="Arial" w:hAnsi="Arial"/>
                <w:sz w:val="14"/>
                <w:szCs w:val="14"/>
                <w:color w:val="auto"/>
              </w:rPr>
              <w:t>Investment securities</w:t>
            </w:r>
          </w:p>
        </w:tc>
        <w:tc>
          <w:tcPr>
            <w:tcW w:w="320" w:type="dxa"/>
            <w:vAlign w:val="bottom"/>
          </w:tcPr>
          <w:p>
            <w:pPr>
              <w:spacing w:after="0"/>
              <w:rPr>
                <w:sz w:val="24"/>
                <w:szCs w:val="2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color w:val="auto"/>
                <w:w w:val="91"/>
              </w:rPr>
              <w:t>Cash</w:t>
            </w:r>
          </w:p>
        </w:tc>
        <w:tc>
          <w:tcPr>
            <w:tcW w:w="80" w:type="dxa"/>
            <w:vAlign w:val="bottom"/>
          </w:tcPr>
          <w:p>
            <w:pPr>
              <w:spacing w:after="0"/>
              <w:rPr>
                <w:sz w:val="24"/>
                <w:szCs w:val="24"/>
                <w:color w:val="auto"/>
              </w:rPr>
            </w:pPr>
          </w:p>
        </w:tc>
        <w:tc>
          <w:tcPr>
            <w:tcW w:w="1440" w:type="dxa"/>
            <w:vAlign w:val="bottom"/>
            <w:gridSpan w:val="3"/>
          </w:tcPr>
          <w:p>
            <w:pPr>
              <w:jc w:val="center"/>
              <w:ind w:right="820"/>
              <w:spacing w:after="0"/>
              <w:rPr>
                <w:sz w:val="20"/>
                <w:szCs w:val="20"/>
                <w:color w:val="auto"/>
              </w:rPr>
            </w:pPr>
            <w:r>
              <w:rPr>
                <w:rFonts w:ascii="Arial" w:cs="Arial" w:eastAsia="Arial" w:hAnsi="Arial"/>
                <w:sz w:val="14"/>
                <w:szCs w:val="14"/>
                <w:color w:val="auto"/>
                <w:w w:val="95"/>
              </w:rPr>
              <w:t>Defined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7"/>
            <w:vMerge w:val="continue"/>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tcPr>
          <w:p>
            <w:pPr>
              <w:jc w:val="center"/>
              <w:ind w:right="680"/>
              <w:spacing w:after="0" w:line="154" w:lineRule="exact"/>
              <w:rPr>
                <w:sz w:val="20"/>
                <w:szCs w:val="20"/>
                <w:color w:val="auto"/>
              </w:rPr>
            </w:pPr>
            <w:r>
              <w:rPr>
                <w:rFonts w:ascii="Arial" w:cs="Arial" w:eastAsia="Arial" w:hAnsi="Arial"/>
                <w:sz w:val="14"/>
                <w:szCs w:val="14"/>
                <w:color w:val="auto"/>
              </w:rPr>
              <w:t>flow</w:t>
            </w:r>
          </w:p>
        </w:tc>
        <w:tc>
          <w:tcPr>
            <w:tcW w:w="80" w:type="dxa"/>
            <w:vAlign w:val="bottom"/>
          </w:tcPr>
          <w:p>
            <w:pPr>
              <w:spacing w:after="0"/>
              <w:rPr>
                <w:sz w:val="13"/>
                <w:szCs w:val="13"/>
                <w:color w:val="auto"/>
              </w:rPr>
            </w:pPr>
          </w:p>
        </w:tc>
        <w:tc>
          <w:tcPr>
            <w:tcW w:w="1440" w:type="dxa"/>
            <w:vAlign w:val="bottom"/>
            <w:gridSpan w:val="3"/>
          </w:tcPr>
          <w:p>
            <w:pPr>
              <w:jc w:val="center"/>
              <w:ind w:right="840"/>
              <w:spacing w:after="0" w:line="154" w:lineRule="exact"/>
              <w:rPr>
                <w:sz w:val="20"/>
                <w:szCs w:val="20"/>
                <w:color w:val="auto"/>
              </w:rPr>
            </w:pPr>
            <w:r>
              <w:rPr>
                <w:rFonts w:ascii="Arial" w:cs="Arial" w:eastAsia="Arial" w:hAnsi="Arial"/>
                <w:sz w:val="14"/>
                <w:szCs w:val="14"/>
                <w:color w:val="auto"/>
                <w:w w:val="95"/>
              </w:rPr>
              <w:t>benefit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With OTTI</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All other</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center"/>
              <w:ind w:right="660"/>
              <w:spacing w:after="0" w:line="142" w:lineRule="exact"/>
              <w:rPr>
                <w:sz w:val="20"/>
                <w:szCs w:val="20"/>
                <w:color w:val="auto"/>
              </w:rPr>
            </w:pPr>
            <w:r>
              <w:rPr>
                <w:rFonts w:ascii="Arial" w:cs="Arial" w:eastAsia="Arial" w:hAnsi="Arial"/>
                <w:sz w:val="14"/>
                <w:szCs w:val="14"/>
                <w:color w:val="auto"/>
                <w:w w:val="87"/>
              </w:rPr>
              <w:t>hedges</w:t>
            </w:r>
          </w:p>
        </w:tc>
        <w:tc>
          <w:tcPr>
            <w:tcW w:w="80" w:type="dxa"/>
            <w:vAlign w:val="bottom"/>
          </w:tcPr>
          <w:p>
            <w:pPr>
              <w:spacing w:after="0"/>
              <w:rPr>
                <w:sz w:val="12"/>
                <w:szCs w:val="12"/>
                <w:color w:val="auto"/>
              </w:rPr>
            </w:pPr>
          </w:p>
        </w:tc>
        <w:tc>
          <w:tcPr>
            <w:tcW w:w="1440" w:type="dxa"/>
            <w:vAlign w:val="bottom"/>
            <w:gridSpan w:val="3"/>
          </w:tcPr>
          <w:p>
            <w:pPr>
              <w:jc w:val="center"/>
              <w:ind w:right="820"/>
              <w:spacing w:after="0" w:line="142" w:lineRule="exact"/>
              <w:rPr>
                <w:sz w:val="20"/>
                <w:szCs w:val="20"/>
                <w:color w:val="auto"/>
              </w:rPr>
            </w:pPr>
            <w:r>
              <w:rPr>
                <w:rFonts w:ascii="Arial" w:cs="Arial" w:eastAsia="Arial" w:hAnsi="Arial"/>
                <w:sz w:val="14"/>
                <w:szCs w:val="14"/>
                <w:color w:val="auto"/>
                <w:w w:val="89"/>
              </w:rPr>
              <w:t>plans</w:t>
            </w:r>
          </w:p>
        </w:tc>
        <w:tc>
          <w:tcPr>
            <w:tcW w:w="78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4"/>
              </w:rPr>
              <w:t>(in thousands)</w:t>
            </w:r>
          </w:p>
        </w:tc>
        <w:tc>
          <w:tcPr>
            <w:tcW w:w="68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0"/>
              </w:rPr>
              <w:t>(556,668)</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(174,330)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(736,881)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gain (loss) during 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(18,633)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129,472</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3,161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2009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(18,633)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0"/>
              </w:rPr>
              <w:t>(427,196)</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(173,858)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(622,409)</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Balance — January 1, 2008</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(59,406)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(8,931)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(46,485)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5"/>
              </w:rPr>
              <w:t>(114,822)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0"/>
              </w:rPr>
              <w:t>(134,813)</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(144,662)</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Balance — March 31, 2008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(194,219</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(18,575)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(46,690)</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(259,484)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financial instruments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accounts for derivative financial instruments in accordance with Statement of Financial Accounting Standards (“SFAS”) No. 133, “Accounting for Derivative Instruments and Hedging Activities,” as amended. SFAS No. 133 requires that an entity recognize all derivatives as either assets or liabilities in the balance sheet and measure those instruments at fair value. If certain conditions are met, a derivative may be specifically designated as (a) a hedge of the exposure to changes in the fair value of a recognized asset or liability or an unrecognized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financial instruments, continued</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firm commitment, (b) a hedge of the exposure to variable cash flows of a forecasted transaction or (c) a hedge of the foreign currency exposure of a net investment in a foreign operation, an unrecognized firm commitment, an available for sale security, or a foreign currency denominated forecasted transaction. Pursuant to SFAS No. 133, the accounting for changes in the fair value of a derivative depends on the intended use of the derivative and the resulting designation. An entity that elects to apply hedge accounting is required to establish at the inception of the hedge the method it will use for assessing the effectiveness of the hedging derivative and the measurement approach for determining the ineffective aspect of the hedge. Those methods must be consistent with the entity’s approach to managing risk.</w:t>
      </w:r>
    </w:p>
    <w:p>
      <w:pPr>
        <w:spacing w:after="0" w:line="85"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March 31, 2009.</w:t>
      </w:r>
    </w:p>
    <w:p>
      <w:pPr>
        <w:spacing w:after="0" w:line="80" w:lineRule="exact"/>
        <w:rPr>
          <w:sz w:val="20"/>
          <w:szCs w:val="20"/>
          <w:color w:val="auto"/>
        </w:rPr>
      </w:pPr>
    </w:p>
    <w:p>
      <w:pPr>
        <w:ind w:right="180" w:firstLine="447"/>
        <w:spacing w:after="0" w:line="286" w:lineRule="auto"/>
        <w:rPr>
          <w:sz w:val="20"/>
          <w:szCs w:val="20"/>
          <w:color w:val="auto"/>
        </w:rPr>
      </w:pPr>
      <w:r>
        <w:rPr>
          <w:rFonts w:ascii="Arial" w:cs="Arial" w:eastAsia="Arial" w:hAnsi="Arial"/>
          <w:sz w:val="17"/>
          <w:szCs w:val="17"/>
          <w:color w:val="auto"/>
        </w:rPr>
        <w:t>The Company designates interest rate swap agreements utilized in the management of interest rate risk as either fair value hedges or cash flow hedges as defined in SFAS No. 133. Fair value hedges are intended to protect against exposure to changes in the fair value of designated assets or liabilities. Cash flow hedges are intended to protect against the variability of cash flows associated with designated assets or liabilities.</w:t>
      </w:r>
    </w:p>
    <w:p>
      <w:pPr>
        <w:spacing w:after="0" w:line="57" w:lineRule="exact"/>
        <w:rPr>
          <w:sz w:val="20"/>
          <w:szCs w:val="20"/>
          <w:color w:val="auto"/>
        </w:rPr>
      </w:pPr>
    </w:p>
    <w:p>
      <w:pPr>
        <w:jc w:val="both"/>
        <w:ind w:right="120" w:firstLine="447"/>
        <w:spacing w:after="0" w:line="264" w:lineRule="auto"/>
        <w:rPr>
          <w:sz w:val="20"/>
          <w:szCs w:val="20"/>
          <w:color w:val="auto"/>
        </w:rPr>
      </w:pPr>
      <w:r>
        <w:rPr>
          <w:rFonts w:ascii="Arial" w:cs="Arial" w:eastAsia="Arial" w:hAnsi="Arial"/>
          <w:sz w:val="18"/>
          <w:szCs w:val="18"/>
          <w:color w:val="auto"/>
        </w:rPr>
        <w:t>The net effect of interest rate swap agreements was to increase net interest income by $7 million and $1 million for the three months ended March 31, 2009 and 2008, respectively. Information about interest rate swap agreements entered into for interest rate risk management purposes summarized by type of financial instrument the swap agreements were intended to hedge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Weighted-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760"/>
              <w:spacing w:after="0"/>
              <w:rPr>
                <w:sz w:val="20"/>
                <w:szCs w:val="20"/>
                <w:color w:val="auto"/>
              </w:rPr>
            </w:pPr>
            <w:r>
              <w:rPr>
                <w:rFonts w:ascii="Arial" w:cs="Arial" w:eastAsia="Arial" w:hAnsi="Arial"/>
                <w:sz w:val="14"/>
                <w:szCs w:val="14"/>
                <w:color w:val="auto"/>
              </w:rPr>
              <w:t>Notional</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Average</w:t>
            </w: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average rate</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760"/>
              <w:spacing w:after="0" w:line="142" w:lineRule="exact"/>
              <w:rPr>
                <w:sz w:val="20"/>
                <w:szCs w:val="20"/>
                <w:color w:val="auto"/>
              </w:rPr>
            </w:pPr>
            <w:r>
              <w:rPr>
                <w:rFonts w:ascii="Arial" w:cs="Arial" w:eastAsia="Arial" w:hAnsi="Arial"/>
                <w:sz w:val="14"/>
                <w:szCs w:val="14"/>
                <w:color w:val="auto"/>
                <w:w w:val="94"/>
              </w:rPr>
              <w:t>amount</w:t>
            </w:r>
          </w:p>
        </w:tc>
        <w:tc>
          <w:tcPr>
            <w:tcW w:w="13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96"/>
              </w:rPr>
              <w:t>maturity</w:t>
            </w:r>
          </w:p>
        </w:tc>
        <w:tc>
          <w:tcPr>
            <w:tcW w:w="1400" w:type="dxa"/>
            <w:vAlign w:val="bottom"/>
            <w:gridSpan w:val="2"/>
          </w:tcPr>
          <w:p>
            <w:pPr>
              <w:jc w:val="right"/>
              <w:ind w:right="828"/>
              <w:spacing w:after="0" w:line="142" w:lineRule="exact"/>
              <w:rPr>
                <w:sz w:val="20"/>
                <w:szCs w:val="20"/>
                <w:color w:val="auto"/>
              </w:rPr>
            </w:pPr>
            <w:r>
              <w:rPr>
                <w:rFonts w:ascii="Arial" w:cs="Arial" w:eastAsia="Arial" w:hAnsi="Arial"/>
                <w:sz w:val="14"/>
                <w:szCs w:val="14"/>
                <w:color w:val="auto"/>
              </w:rPr>
              <w:t>Fixed</w:t>
            </w:r>
          </w:p>
        </w:tc>
        <w:tc>
          <w:tcPr>
            <w:tcW w:w="680" w:type="dxa"/>
            <w:vAlign w:val="bottom"/>
          </w:tcPr>
          <w:p>
            <w:pPr>
              <w:ind w:left="100"/>
              <w:spacing w:after="0" w:line="142" w:lineRule="exact"/>
              <w:rPr>
                <w:sz w:val="20"/>
                <w:szCs w:val="20"/>
                <w:color w:val="auto"/>
              </w:rPr>
            </w:pPr>
            <w:r>
              <w:rPr>
                <w:rFonts w:ascii="Arial" w:cs="Arial" w:eastAsia="Arial" w:hAnsi="Arial"/>
                <w:sz w:val="14"/>
                <w:szCs w:val="14"/>
                <w:color w:val="auto"/>
              </w:rPr>
              <w:t>Variable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(in thousands)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(in years)</w:t>
            </w: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March 31,2009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Fair value hedges: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w:t>
            </w: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5.14%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1,037,241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660" w:type="dxa"/>
            <w:vAlign w:val="bottom"/>
          </w:tcPr>
          <w:p>
            <w:pPr>
              <w:spacing w:after="0"/>
              <w:rPr>
                <w:sz w:val="18"/>
                <w:szCs w:val="18"/>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6.33%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1,107,241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6.25%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December 31, 2008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70,000</w:t>
            </w:r>
          </w:p>
        </w:tc>
        <w:tc>
          <w:tcPr>
            <w:tcW w:w="64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6.1</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5.14%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1,037,241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6.33%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1,107,241</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660" w:type="dxa"/>
            <w:vAlign w:val="bottom"/>
            <w:vMerge w:val="continue"/>
          </w:tcPr>
          <w:p>
            <w:pPr>
              <w:spacing w:after="0"/>
              <w:rPr>
                <w:sz w:val="19"/>
                <w:szCs w:val="19"/>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6.25%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financial instruments, continued</w:t>
      </w:r>
    </w:p>
    <w:p>
      <w:pPr>
        <w:spacing w:after="0" w:line="121" w:lineRule="exact"/>
        <w:rPr>
          <w:sz w:val="20"/>
          <w:szCs w:val="20"/>
          <w:color w:val="auto"/>
        </w:rPr>
      </w:pPr>
    </w:p>
    <w:p>
      <w:pPr>
        <w:jc w:val="both"/>
        <w:ind w:right="80" w:firstLine="447"/>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57"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For derivatives designated and qualifying as fair value hedges under SFAS No. 133, the fair values of the derivatives and changes in the fair values of the hedged items are recorded in the Company’s consolidated balance sheet with the corresponding gain or loss recognized in current earnings. The difference between changes in the fair values of the interest rate swap agreements and the hedged items represents hedge ineffectiveness and is recorded in “other revenues from operations” in the consolidated statement of income. In a cash flow hedge, the effective portion of the derivative’s unrealized gain or loss is initially recorded as a component of other comprehensive income and subsequently reclassified into earnings when the forecasted transaction affects earnings. The ineffective portion of the unrealized gain or loss is reported in “other revenues from operations” immediately. The amount of hedge ineffectiveness recognized in the quarters ended March 31, 2009 and 2008 was not material to the Company’s results of operations.</w:t>
      </w:r>
    </w:p>
    <w:p>
      <w:pPr>
        <w:spacing w:after="0" w:line="59" w:lineRule="exact"/>
        <w:rPr>
          <w:sz w:val="20"/>
          <w:szCs w:val="20"/>
          <w:color w:val="auto"/>
        </w:rPr>
      </w:pPr>
    </w:p>
    <w:p>
      <w:pPr>
        <w:ind w:right="240" w:firstLine="450"/>
        <w:spacing w:after="0" w:line="264" w:lineRule="auto"/>
        <w:rPr>
          <w:sz w:val="20"/>
          <w:szCs w:val="20"/>
          <w:color w:val="auto"/>
        </w:rPr>
      </w:pPr>
      <w:r>
        <w:rPr>
          <w:rFonts w:ascii="Arial" w:cs="Arial" w:eastAsia="Arial" w:hAnsi="Arial"/>
          <w:sz w:val="18"/>
          <w:szCs w:val="18"/>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$15.0 billion and $14.6 billion at March 31, 2009 and December 31, 2008, respectively.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financial instruments, continued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40" w:type="dxa"/>
            <w:vAlign w:val="bottom"/>
            <w:gridSpan w:val="5"/>
          </w:tcPr>
          <w:p>
            <w:pPr>
              <w:ind w:left="600"/>
              <w:spacing w:after="0"/>
              <w:rPr>
                <w:sz w:val="20"/>
                <w:szCs w:val="20"/>
                <w:color w:val="auto"/>
              </w:rPr>
            </w:pPr>
            <w:r>
              <w:rPr>
                <w:rFonts w:ascii="Arial" w:cs="Arial" w:eastAsia="Arial" w:hAnsi="Arial"/>
                <w:sz w:val="14"/>
                <w:szCs w:val="14"/>
                <w:color w:val="auto"/>
              </w:rPr>
              <w:t>Asset derivatives</w:t>
            </w:r>
          </w:p>
        </w:tc>
        <w:tc>
          <w:tcPr>
            <w:tcW w:w="100" w:type="dxa"/>
            <w:vAlign w:val="bottom"/>
          </w:tcPr>
          <w:p>
            <w:pPr>
              <w:spacing w:after="0"/>
              <w:rPr>
                <w:sz w:val="14"/>
                <w:szCs w:val="14"/>
                <w:color w:val="auto"/>
              </w:rPr>
            </w:pPr>
          </w:p>
        </w:tc>
        <w:tc>
          <w:tcPr>
            <w:tcW w:w="2180" w:type="dxa"/>
            <w:vAlign w:val="bottom"/>
            <w:gridSpan w:val="5"/>
          </w:tcPr>
          <w:p>
            <w:pPr>
              <w:ind w:left="40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724"/>
              <w:spacing w:after="0" w:line="142" w:lineRule="exact"/>
              <w:rPr>
                <w:sz w:val="20"/>
                <w:szCs w:val="20"/>
                <w:color w:val="auto"/>
              </w:rPr>
            </w:pPr>
            <w:r>
              <w:rPr>
                <w:rFonts w:ascii="Arial" w:cs="Arial" w:eastAsia="Arial" w:hAnsi="Arial"/>
                <w:sz w:val="14"/>
                <w:szCs w:val="14"/>
                <w:color w:val="auto"/>
                <w:w w:val="97"/>
              </w:rPr>
              <w:t>Fair value</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2"/>
          </w:tcPr>
          <w:p>
            <w:pPr>
              <w:jc w:val="right"/>
              <w:ind w:right="719"/>
              <w:spacing w:after="0" w:line="142"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jc w:val="right"/>
              <w:ind w:right="120"/>
              <w:spacing w:after="0" w:line="123" w:lineRule="exact"/>
              <w:rPr>
                <w:sz w:val="20"/>
                <w:szCs w:val="20"/>
                <w:color w:val="auto"/>
              </w:rPr>
            </w:pPr>
            <w:r>
              <w:rPr>
                <w:rFonts w:ascii="Arial" w:cs="Arial" w:eastAsia="Arial" w:hAnsi="Arial"/>
                <w:sz w:val="14"/>
                <w:szCs w:val="14"/>
                <w:color w:val="auto"/>
                <w:w w:val="99"/>
              </w:rPr>
              <w:t>March 31,</w:t>
            </w:r>
          </w:p>
        </w:tc>
        <w:tc>
          <w:tcPr>
            <w:tcW w:w="60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660" w:type="dxa"/>
            <w:vAlign w:val="bottom"/>
          </w:tcPr>
          <w:p>
            <w:pPr>
              <w:spacing w:after="0"/>
              <w:rPr>
                <w:sz w:val="10"/>
                <w:szCs w:val="10"/>
                <w:color w:val="auto"/>
              </w:rPr>
            </w:pPr>
          </w:p>
        </w:tc>
        <w:tc>
          <w:tcPr>
            <w:tcW w:w="74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w w:val="99"/>
              </w:rPr>
              <w:t>March 31,</w:t>
            </w:r>
          </w:p>
        </w:tc>
        <w:tc>
          <w:tcPr>
            <w:tcW w:w="62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2009</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Fair value hedges: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$ 124,650</w:t>
            </w:r>
          </w:p>
        </w:tc>
        <w:tc>
          <w:tcPr>
            <w:tcW w:w="2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146,111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5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1,128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5,642</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124,729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5,642</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9"/>
              </w:rPr>
              <w:t>Mortgage-related commitments to originate real estate loans for sale (a)</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22,168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5,240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5,875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16,089</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Interest rate swap agreements (b)</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498,781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513,230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467,394</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481,671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and other option and futures contracts (b)</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28,262</w:t>
            </w:r>
          </w:p>
        </w:tc>
        <w:tc>
          <w:tcPr>
            <w:tcW w:w="2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38,885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27,976</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554,451</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569,122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511,590</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$ 679,180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716,361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517,232</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546,547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financial instruments,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color w:val="auto"/>
                <w:w w:val="94"/>
              </w:rPr>
              <w:t>Amount of unrealized gain (loss) recognized</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60" w:type="dxa"/>
            <w:vAlign w:val="bottom"/>
            <w:gridSpan w:val="8"/>
          </w:tcPr>
          <w:p>
            <w:pPr>
              <w:spacing w:after="0" w:line="142" w:lineRule="exact"/>
              <w:rPr>
                <w:sz w:val="20"/>
                <w:szCs w:val="20"/>
                <w:color w:val="auto"/>
              </w:rPr>
            </w:pPr>
            <w:r>
              <w:rPr>
                <w:rFonts w:ascii="Arial" w:cs="Arial" w:eastAsia="Arial" w:hAnsi="Arial"/>
                <w:sz w:val="14"/>
                <w:szCs w:val="14"/>
                <w:color w:val="auto"/>
              </w:rPr>
              <w:t>Three months ended March 31, 2009</w:t>
            </w:r>
          </w:p>
        </w:tc>
        <w:tc>
          <w:tcPr>
            <w:tcW w:w="2120" w:type="dxa"/>
            <w:vAlign w:val="bottom"/>
            <w:gridSpan w:val="5"/>
          </w:tcPr>
          <w:p>
            <w:pPr>
              <w:spacing w:after="0" w:line="142" w:lineRule="exact"/>
              <w:rPr>
                <w:sz w:val="20"/>
                <w:szCs w:val="20"/>
                <w:color w:val="auto"/>
              </w:rPr>
            </w:pPr>
            <w:r>
              <w:rPr>
                <w:rFonts w:ascii="Arial" w:cs="Arial" w:eastAsia="Arial" w:hAnsi="Arial"/>
                <w:sz w:val="14"/>
                <w:szCs w:val="14"/>
                <w:color w:val="auto"/>
                <w:w w:val="91"/>
              </w:rPr>
              <w:t>Three months ended March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Derivative</w:t>
            </w:r>
          </w:p>
        </w:tc>
        <w:tc>
          <w:tcPr>
            <w:tcW w:w="260" w:type="dxa"/>
            <w:vAlign w:val="bottom"/>
            <w:tcBorders>
              <w:top w:val="single" w:sz="8" w:color="auto"/>
            </w:tcBorders>
            <w:gridSpan w:val="2"/>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660" w:type="dxa"/>
            <w:vAlign w:val="bottom"/>
          </w:tcPr>
          <w:p>
            <w:pPr>
              <w:spacing w:after="0"/>
              <w:rPr>
                <w:sz w:val="12"/>
                <w:szCs w:val="12"/>
                <w:color w:val="auto"/>
              </w:rPr>
            </w:pPr>
          </w:p>
        </w:tc>
        <w:tc>
          <w:tcPr>
            <w:tcW w:w="11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color w:val="auto"/>
              </w:rPr>
              <w:t>Derivative</w:t>
            </w:r>
          </w:p>
        </w:tc>
        <w:tc>
          <w:tcPr>
            <w:tcW w:w="9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540" w:type="dxa"/>
            <w:vAlign w:val="bottom"/>
            <w:gridSpan w:val="4"/>
          </w:tcPr>
          <w:p>
            <w:pPr>
              <w:jc w:val="center"/>
              <w:ind w:left="528"/>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2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471</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(21,315)</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19,661</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24,011</w:t>
            </w:r>
          </w:p>
        </w:tc>
        <w:tc>
          <w:tcPr>
            <w:tcW w:w="4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(24,085)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(21,767)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24,482</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(24,552)</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(172)</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2,456</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addition, the Company also has commitments to sell and commitments to originate residential and commercial real estate loans, which are considered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derivatives under SFAS No. 133. The Company designates certain commitments to sell real estate loans as fair value hedges of real estate loans held for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2009, net unrealized pre-tax losses of $935,000 relating to commitments to sell real estate loans, net unrealized pre-tax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gains of $13,771,000 relating to commitments to originate real estate loans and net unrealized pre-tax gains of $1,757,000 relating to hedged real estate loans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held for sale were recognized in the consolidated statement of income. For the three months ended March 31, 2008, net unrealized pre-tax losses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$3,628,000 relating to commitments to sell real estate loans, net unrealized pre-tax gains of $4,891,000 relating to commitments to originate real estate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net unrealized pre-tax gains of $3,938,000 relating to hedged real estate loans held for sale were recognized in the consolidated statement of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unrealized gains and losses are included in mortgage banking revenues and, in general, are realized in subsequent periods as the related loans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sold and commitments satisfied.</w:t>
      </w:r>
    </w:p>
    <w:p>
      <w:pPr>
        <w:spacing w:after="0" w:line="103"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aggregate fair value of derivative financial instruments in a net liability position at March 31, 2009 for which the Company was required to post collateral was $341 million. The fair value of collateral posted for such instruments was $327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Effective January 1, 2008, the Company adopted SFAS No. 157, “Fair Value Measurements,” for fair value measurements of certain of its financial instruments. The provisions of SFAS No. 157 that pertain to measurement of non-financial assets and liabilities were not effective until January 1, 2009.</w:t>
      </w:r>
    </w:p>
    <w:p>
      <w:pPr>
        <w:spacing w:after="0" w:line="16" w:lineRule="exact"/>
        <w:rPr>
          <w:sz w:val="20"/>
          <w:szCs w:val="20"/>
          <w:color w:val="auto"/>
        </w:rPr>
      </w:pPr>
    </w:p>
    <w:p>
      <w:pPr>
        <w:jc w:val="both"/>
        <w:ind w:right="120" w:firstLine="447"/>
        <w:spacing w:after="0" w:line="264" w:lineRule="auto"/>
        <w:rPr>
          <w:sz w:val="20"/>
          <w:szCs w:val="20"/>
          <w:color w:val="auto"/>
        </w:rPr>
      </w:pPr>
      <w:r>
        <w:rPr>
          <w:rFonts w:ascii="Arial" w:cs="Arial" w:eastAsia="Arial" w:hAnsi="Arial"/>
          <w:sz w:val="18"/>
          <w:szCs w:val="18"/>
          <w:color w:val="auto"/>
        </w:rPr>
        <w:t>The provisions of SFAS No. 159, “The Fair Value Option for Financial Assets and Financial Liabilities,” which permit an entity to choose to measure eligible financial instruments and other items at fair value, also became effective January 1, 2008. The Company has not made any fair value elections under SFAS No. 159.</w:t>
      </w:r>
    </w:p>
    <w:p>
      <w:pPr>
        <w:spacing w:after="0" w:line="73"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The definition of fair value is clarified by SFAS No. 157 to be the price that would be received to sell an asset or paid to transfer a liability in an orderly transaction between market participants at the measurement date. SFAS No. 157 established a three-level hierarchy for fair value measurements based upon the inputs to the valuation of an asset or liability.</w:t>
      </w:r>
    </w:p>
    <w:p>
      <w:pPr>
        <w:spacing w:after="0" w:line="73"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660" w:right="640" w:hanging="436"/>
        <w:spacing w:after="0" w:line="34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9" w:lineRule="exact"/>
        <w:rPr>
          <w:rFonts w:ascii="Arial" w:cs="Arial" w:eastAsia="Arial" w:hAnsi="Arial"/>
          <w:sz w:val="16"/>
          <w:szCs w:val="16"/>
          <w:b w:val="1"/>
          <w:bCs w:val="1"/>
          <w:color w:val="auto"/>
        </w:rPr>
      </w:pPr>
    </w:p>
    <w:p>
      <w:pPr>
        <w:ind w:left="660" w:right="300" w:hanging="436"/>
        <w:spacing w:after="0" w:line="308"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38" w:lineRule="exact"/>
        <w:rPr>
          <w:sz w:val="20"/>
          <w:szCs w:val="20"/>
          <w:color w:val="auto"/>
        </w:rPr>
      </w:pPr>
    </w:p>
    <w:p>
      <w:pPr>
        <w:ind w:right="160" w:firstLine="447"/>
        <w:spacing w:after="0" w:line="297"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trading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Prices for certain foreign exchange contracts are more observable and therefore have been classified as Level 1. Mutual funds held in connection with deferred compensation arrangements have also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3"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Due to the severe disruption in the credit markets during the second half of 2008 and continuing into 2009, trading activity in privately issued mortgage-backed securities was very limited. The markets for such securities were generally characterized by a sharp reduction of non-agency mortgage-backed securities issuances, a significant reduction in trading volumes and extremely wide bid-ask spreads, all driven by the lack of market participants.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spacing w:after="0" w:line="59" w:lineRule="exact"/>
        <w:rPr>
          <w:sz w:val="20"/>
          <w:szCs w:val="20"/>
          <w:color w:val="auto"/>
        </w:rPr>
      </w:pPr>
    </w:p>
    <w:p>
      <w:pPr>
        <w:ind w:right="20" w:firstLine="450"/>
        <w:spacing w:after="0" w:line="285" w:lineRule="auto"/>
        <w:rPr>
          <w:sz w:val="20"/>
          <w:szCs w:val="20"/>
          <w:color w:val="auto"/>
        </w:rPr>
      </w:pPr>
      <w:r>
        <w:rPr>
          <w:rFonts w:ascii="Arial" w:cs="Arial" w:eastAsia="Arial" w:hAnsi="Arial"/>
          <w:sz w:val="16"/>
          <w:szCs w:val="16"/>
          <w:color w:val="auto"/>
        </w:rPr>
        <w:t>In April 2009, the FASB issued FASB Staff Position No. 157-4, “Determining Fair Value When the Volume and Level of Activity for the Asset or Liability Have Significantly Decreased and Identifying Transactions That Are Not Orderly” (“FSP 157-4”). FSP 157-4 provided guidance for estimating fair value when the volume and level of trading activity for an asset or liability have significantly decreased. M&amp;T has determined that there has been a significant decline in the volume and level of activity in the market for much of its privately issued mortgage-backed securities. As a result the Company supplemented its determination of fair value for many of its privately issued mortgage-backed securities by obtaining pricing indications from two independent sources at March 31, 2009. M&amp;T further ascertained that many of the recently observable trades in the market for privately issued residential mortgage-backed securities could not be determined to be orderly. As a result the Company also performed internal modeling to estimate the cash flows and fair value of 121 of its privately issued residential mortgage-backed securities with an amortized cost basis of $2.3 billion at March 31, 2009.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conservative assumptions as to future delinquency, defaults and loss rates, including assumptions for further home price depreciation. Differences between internal model valuations and external pricing indications were generally considered to be reflective of the lack of liquidity in the market for privately issued mortgage-backed securities given the conservative nature of the cash flow modeling performed in the Company’s assessment of value. To determine the point within the range of potential values that was most representative of fair value under current market conditions for each of the 121 bonds, M&amp;T computed prices based on judgmentally applied weightings of the internal model valuations and the prices obtained from the average of the two independent pricing sources. Weightings applied to internal model valuations ranged from zero to 40% depending on bond structure and collateral type, with prices for bonds in non-senior tranches generally receiving lower weightings on the internal model results and senior bonds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continued</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receiving a higher model weighting. Weighted-average reliance on internal model pricing for the bonds modeled was 37% with a 63% average weighting placed on the values provided by the independent sources. The Company concluded its estimate of fair value for the $2.3 billion of privately issued residential mortgage-backed securities to approximate $1.8 billion, which implies a weighted-average market yield based on reasonably likely cash flows of 11%, based on a range of 5% to 65%. Other valuations of privately issued residential mortgage-backed securities with an amortized cost basis of $649 million and fair value of $567 million, primarily comprised of retained securities from two M&amp;T non-recourse securitization transactions executed in 2002 and 2003, and other privately issued commercial mortgage-backed securities with an amortized cost basis of $42 million and a fair value of $32 million were determined by reference to independent pricing sources without adjustment. Privately issued mortgage-backed securities constituted substantially all of the available for sale investment securities classified as Level 3 valuations as of March 31, 2009.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as such, have been classified as a Level 2 valuation.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oftentimes adjusted to reflect the Company’s anticipated commitment expirations. Estimated commitment expirations are considered a significant unobservable input, which results in a Level 3 classification. The Company includes the expected net future cash flows related to the associated servicing of the loan in the fair value measurement of a derivative loan commitment. The estimated value ascribed to the expected net future servicing cash flows is also considered a significant unobservable input contributing to the Level 3 classification of commitments to originate real estate loans for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continued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assets and liabilities at March 31, 2009 and December 31, 2008 measured at estimated fair value on a recurring basis: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6"/>
              </w:rPr>
              <w:t>March 31,</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89"/>
              </w:rPr>
              <w:t>2009</w:t>
            </w:r>
          </w:p>
        </w:tc>
        <w:tc>
          <w:tcPr>
            <w:tcW w:w="620" w:type="dxa"/>
            <w:vAlign w:val="bottom"/>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Level 1</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2</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5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591,802</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40,495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551,307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Treasury and federal agencies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229,528</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229,528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00"/>
              <w:spacing w:after="0"/>
              <w:rPr>
                <w:sz w:val="20"/>
                <w:szCs w:val="20"/>
                <w:color w:val="auto"/>
              </w:rPr>
            </w:pPr>
            <w:r>
              <w:rPr>
                <w:rFonts w:ascii="Arial" w:cs="Arial" w:eastAsia="Arial" w:hAnsi="Arial"/>
                <w:sz w:val="18"/>
                <w:szCs w:val="18"/>
                <w:color w:val="auto"/>
              </w:rPr>
              <w:t>Obligations of states and political subdivisions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75,113</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62,931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600"/>
              <w:spacing w:after="0"/>
              <w:rPr>
                <w:sz w:val="20"/>
                <w:szCs w:val="20"/>
                <w:color w:val="auto"/>
              </w:rPr>
            </w:pPr>
            <w:r>
              <w:rPr>
                <w:rFonts w:ascii="Arial" w:cs="Arial" w:eastAsia="Arial" w:hAnsi="Arial"/>
                <w:sz w:val="18"/>
                <w:szCs w:val="18"/>
                <w:color w:val="auto"/>
              </w:rPr>
              <w:t>Government issued or guaranteed</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3,571,865</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3,571,865</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Privately issued residential</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2,349,403</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2,349,403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600"/>
              <w:spacing w:after="0"/>
              <w:rPr>
                <w:sz w:val="20"/>
                <w:szCs w:val="20"/>
                <w:color w:val="auto"/>
              </w:rPr>
            </w:pPr>
            <w:r>
              <w:rPr>
                <w:rFonts w:ascii="Arial" w:cs="Arial" w:eastAsia="Arial" w:hAnsi="Arial"/>
                <w:sz w:val="18"/>
                <w:szCs w:val="18"/>
                <w:color w:val="auto"/>
              </w:rPr>
              <w:t>Privately issued commercial</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32,215</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debt securities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142,798</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140,377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00"/>
              <w:spacing w:after="0"/>
              <w:rPr>
                <w:sz w:val="20"/>
                <w:szCs w:val="20"/>
                <w:color w:val="auto"/>
              </w:rPr>
            </w:pPr>
            <w:r>
              <w:rPr>
                <w:rFonts w:ascii="Arial" w:cs="Arial" w:eastAsia="Arial" w:hAnsi="Arial"/>
                <w:sz w:val="18"/>
                <w:szCs w:val="18"/>
                <w:color w:val="auto"/>
              </w:rPr>
              <w:t>Equity securities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256,455</w:t>
            </w:r>
          </w:p>
        </w:tc>
        <w:tc>
          <w:tcPr>
            <w:tcW w:w="62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231,102</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23,010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6,657,377</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231,102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4,027,711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803,543</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803,543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assets (a)</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152,184</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130,016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800"/>
              <w:spacing w:after="0"/>
              <w:rPr>
                <w:sz w:val="20"/>
                <w:szCs w:val="20"/>
                <w:color w:val="auto"/>
              </w:rPr>
            </w:pPr>
            <w:r>
              <w:rPr>
                <w:rFonts w:ascii="Arial" w:cs="Arial" w:eastAsia="Arial" w:hAnsi="Arial"/>
                <w:sz w:val="18"/>
                <w:szCs w:val="18"/>
                <w:color w:val="auto"/>
              </w:rPr>
              <w:t>Total assets</w:t>
            </w:r>
          </w:p>
        </w:tc>
        <w:tc>
          <w:tcPr>
            <w:tcW w:w="1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8,204,906</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271,597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5,512,577</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5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495,370</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11,415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483,955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liabilities (a)</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21,862</w:t>
            </w:r>
          </w:p>
        </w:tc>
        <w:tc>
          <w:tcPr>
            <w:tcW w:w="62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21,731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5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517,232</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11,415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505,686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20" w:type="dxa"/>
            <w:vAlign w:val="bottom"/>
            <w:vMerge w:val="restart"/>
          </w:tcPr>
          <w:p>
            <w:pPr>
              <w:jc w:val="right"/>
              <w:ind w:right="70"/>
              <w:spacing w:after="0"/>
              <w:rPr>
                <w:sz w:val="20"/>
                <w:szCs w:val="20"/>
                <w:color w:val="auto"/>
              </w:rPr>
            </w:pPr>
            <w:r>
              <w:rPr>
                <w:rFonts w:ascii="Arial" w:cs="Arial" w:eastAsia="Arial" w:hAnsi="Arial"/>
                <w:sz w:val="18"/>
                <w:szCs w:val="18"/>
                <w:color w:val="auto"/>
              </w:rPr>
              <w:t>- 27 -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0"/>
              </w:rPr>
              <w:t>December 31,</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89"/>
              </w:rPr>
              <w:t>2008</w:t>
            </w:r>
          </w:p>
        </w:tc>
        <w:tc>
          <w:tcPr>
            <w:tcW w:w="620" w:type="dxa"/>
            <w:vAlign w:val="bottom"/>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Level 1</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2</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617,821</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46,142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571,679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296,713</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291,181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71,763</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71,725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3,612,780</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3,528,236</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Privately issued residential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2,326,554</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Privately issued commercial</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41,046</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debt securities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170,598</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168,102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330,739</w:t>
            </w:r>
          </w:p>
        </w:tc>
        <w:tc>
          <w:tcPr>
            <w:tcW w:w="62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297,231</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31,206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6,850,193</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297,231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4,090,450</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2,462,512</w:t>
            </w: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40" w:type="dxa"/>
            <w:vAlign w:val="bottom"/>
          </w:tcPr>
          <w:p>
            <w:pPr>
              <w:spacing w:after="0"/>
              <w:rPr>
                <w:sz w:val="24"/>
                <w:szCs w:val="2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507,971</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507,971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assets (a)</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164,433</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153,179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8,140,418</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343,373</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5,323,279</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521,079</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14,193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506,886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liabilities (a)</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25,468</w:t>
            </w:r>
          </w:p>
        </w:tc>
        <w:tc>
          <w:tcPr>
            <w:tcW w:w="62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22,480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546,547</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14,193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529,366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40" w:hanging="452"/>
        <w:spacing w:after="0" w:line="277" w:lineRule="auto"/>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9" w:lineRule="exact"/>
        <w:rPr>
          <w:rFonts w:ascii="Arial" w:cs="Arial" w:eastAsia="Arial" w:hAnsi="Arial"/>
          <w:sz w:val="18"/>
          <w:szCs w:val="18"/>
          <w:i w:val="1"/>
          <w:iCs w:val="1"/>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continued</w:t>
      </w:r>
    </w:p>
    <w:p>
      <w:pPr>
        <w:spacing w:after="0" w:line="121" w:lineRule="exact"/>
        <w:rPr>
          <w:sz w:val="20"/>
          <w:szCs w:val="20"/>
          <w:color w:val="auto"/>
        </w:rPr>
      </w:pPr>
    </w:p>
    <w:p>
      <w:pPr>
        <w:ind w:right="140" w:firstLine="447"/>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2009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Changes in</w:t>
            </w:r>
          </w:p>
        </w:tc>
      </w:tr>
      <w:tr>
        <w:trPr>
          <w:trHeight w:val="149"/>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0"/>
              </w:rPr>
              <w:t>gains (losses)</w:t>
            </w:r>
          </w:p>
        </w:tc>
      </w:tr>
      <w:tr>
        <w:trPr>
          <w:trHeight w:val="149"/>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4"/>
          </w:tcPr>
          <w:p>
            <w:pPr>
              <w:jc w:val="right"/>
              <w:ind w:right="740"/>
              <w:spacing w:after="0" w:line="149" w:lineRule="exact"/>
              <w:rPr>
                <w:sz w:val="20"/>
                <w:szCs w:val="20"/>
                <w:color w:val="auto"/>
              </w:rPr>
            </w:pPr>
            <w:r>
              <w:rPr>
                <w:rFonts w:ascii="Arial" w:cs="Arial" w:eastAsia="Arial" w:hAnsi="Arial"/>
                <w:sz w:val="14"/>
                <w:szCs w:val="14"/>
                <w:color w:val="auto"/>
              </w:rPr>
              <w:t>Total gains (losses)</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included in</w:t>
            </w:r>
          </w:p>
        </w:tc>
      </w:tr>
      <w:tr>
        <w:trPr>
          <w:trHeight w:val="167"/>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right"/>
              <w:ind w:right="760"/>
              <w:spacing w:after="0"/>
              <w:rPr>
                <w:sz w:val="20"/>
                <w:szCs w:val="20"/>
                <w:color w:val="auto"/>
              </w:rPr>
            </w:pPr>
            <w:r>
              <w:rPr>
                <w:rFonts w:ascii="Arial" w:cs="Arial" w:eastAsia="Arial" w:hAnsi="Arial"/>
                <w:sz w:val="14"/>
                <w:szCs w:val="14"/>
                <w:color w:val="auto"/>
              </w:rPr>
              <w:t>realized/unrealized</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earnings</w:t>
            </w:r>
          </w:p>
        </w:tc>
      </w:tr>
      <w:tr>
        <w:trPr>
          <w:trHeight w:val="123"/>
        </w:trPr>
        <w:tc>
          <w:tcPr>
            <w:tcW w:w="3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2"/>
              </w:rPr>
              <w:t>related to</w:t>
            </w:r>
          </w:p>
        </w:tc>
      </w:tr>
      <w:tr>
        <w:trPr>
          <w:trHeight w:val="149"/>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Included in</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8"/>
              </w:rPr>
              <w:t>Purchases,</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Transfer</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assets still</w:t>
            </w:r>
          </w:p>
        </w:tc>
      </w:tr>
      <w:tr>
        <w:trPr>
          <w:trHeight w:val="149"/>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Balance-</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other</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1"/>
              </w:rPr>
              <w:t>sales,</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in and/or</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Balance-</w:t>
            </w:r>
          </w:p>
        </w:tc>
        <w:tc>
          <w:tcPr>
            <w:tcW w:w="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held at</w:t>
            </w:r>
          </w:p>
        </w:tc>
      </w:tr>
      <w:tr>
        <w:trPr>
          <w:trHeight w:val="149"/>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3"/>
              </w:rPr>
              <w:t>December 31,</w:t>
            </w: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Included</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comprehensive</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issuances &amp;</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out of</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March 31,</w:t>
            </w:r>
          </w:p>
        </w:tc>
        <w:tc>
          <w:tcPr>
            <w:tcW w:w="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March 31,</w:t>
            </w:r>
          </w:p>
        </w:tc>
      </w:tr>
      <w:tr>
        <w:trPr>
          <w:trHeight w:val="167"/>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3"/>
              <w:spacing w:after="0"/>
              <w:rPr>
                <w:sz w:val="20"/>
                <w:szCs w:val="20"/>
                <w:color w:val="auto"/>
              </w:rPr>
            </w:pPr>
            <w:r>
              <w:rPr>
                <w:rFonts w:ascii="Arial" w:cs="Arial" w:eastAsia="Arial" w:hAnsi="Arial"/>
                <w:sz w:val="14"/>
                <w:szCs w:val="14"/>
                <w:color w:val="auto"/>
                <w:w w:val="96"/>
              </w:rPr>
              <w:t>2008</w:t>
            </w:r>
          </w:p>
        </w:tc>
        <w:tc>
          <w:tcPr>
            <w:tcW w:w="28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w w:val="90"/>
              </w:rPr>
              <w:t>in earnings</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income</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settlements</w:t>
            </w:r>
          </w:p>
        </w:tc>
        <w:tc>
          <w:tcPr>
            <w:tcW w:w="940" w:type="dxa"/>
            <w:vAlign w:val="bottom"/>
            <w:gridSpan w:val="2"/>
          </w:tcPr>
          <w:p>
            <w:pPr>
              <w:jc w:val="center"/>
              <w:ind w:right="300"/>
              <w:spacing w:after="0"/>
              <w:rPr>
                <w:sz w:val="20"/>
                <w:szCs w:val="20"/>
                <w:color w:val="auto"/>
              </w:rPr>
            </w:pPr>
            <w:r>
              <w:rPr>
                <w:rFonts w:ascii="Arial" w:cs="Arial" w:eastAsia="Arial" w:hAnsi="Arial"/>
                <w:sz w:val="14"/>
                <w:szCs w:val="14"/>
                <w:color w:val="auto"/>
                <w:w w:val="97"/>
              </w:rPr>
              <w:t>Level 3</w:t>
            </w: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2009.</w:t>
            </w:r>
          </w:p>
        </w:tc>
        <w:tc>
          <w:tcPr>
            <w:tcW w:w="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1"/>
              </w:rPr>
              <w:t>2009.</w:t>
            </w:r>
          </w:p>
        </w:tc>
        <w:tc>
          <w:tcPr>
            <w:tcW w:w="220" w:type="dxa"/>
            <w:vAlign w:val="bottom"/>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U.S. Treasury and federal agencies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5,532</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(5,532)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12,143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12,182</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3940" w:type="dxa"/>
            <w:vAlign w:val="bottom"/>
          </w:tcPr>
          <w:p>
            <w:pPr>
              <w:ind w:left="420"/>
              <w:spacing w:after="0" w:line="201" w:lineRule="exact"/>
              <w:rPr>
                <w:sz w:val="20"/>
                <w:szCs w:val="20"/>
                <w:color w:val="auto"/>
              </w:rPr>
            </w:pPr>
            <w:r>
              <w:rPr>
                <w:rFonts w:ascii="Arial" w:cs="Arial" w:eastAsia="Arial" w:hAnsi="Arial"/>
                <w:sz w:val="18"/>
                <w:szCs w:val="18"/>
                <w:color w:val="auto"/>
                <w:w w:val="97"/>
              </w:rPr>
              <w:t>Government issued or guaranteed mortgage-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940" w:type="dxa"/>
            <w:vAlign w:val="bottom"/>
          </w:tcPr>
          <w:p>
            <w:pPr>
              <w:ind w:left="620"/>
              <w:spacing w:after="0"/>
              <w:rPr>
                <w:sz w:val="20"/>
                <w:szCs w:val="20"/>
                <w:color w:val="auto"/>
              </w:rPr>
            </w:pPr>
            <w:r>
              <w:rPr>
                <w:rFonts w:ascii="Arial" w:cs="Arial" w:eastAsia="Arial" w:hAnsi="Arial"/>
                <w:sz w:val="18"/>
                <w:szCs w:val="18"/>
                <w:color w:val="auto"/>
              </w:rPr>
              <w:t>backed securities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84,544</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(84,544)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394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7"/>
              </w:rPr>
              <w:t>Privately issued residential mortgage-backed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securities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2,326,554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(32,199)(a)</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177,505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(122,457)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2,349,403</w:t>
            </w:r>
          </w:p>
        </w:tc>
        <w:tc>
          <w:tcPr>
            <w:tcW w:w="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(32,199)</w:t>
            </w:r>
          </w:p>
        </w:tc>
      </w:tr>
      <w:tr>
        <w:trPr>
          <w:trHeight w:val="202"/>
        </w:trPr>
        <w:tc>
          <w:tcPr>
            <w:tcW w:w="3940" w:type="dxa"/>
            <w:vAlign w:val="bottom"/>
          </w:tcPr>
          <w:p>
            <w:pPr>
              <w:ind w:left="420"/>
              <w:spacing w:after="0" w:line="201" w:lineRule="exact"/>
              <w:rPr>
                <w:sz w:val="20"/>
                <w:szCs w:val="20"/>
                <w:color w:val="auto"/>
              </w:rPr>
            </w:pPr>
            <w:r>
              <w:rPr>
                <w:rFonts w:ascii="Arial" w:cs="Arial" w:eastAsia="Arial" w:hAnsi="Arial"/>
                <w:sz w:val="18"/>
                <w:szCs w:val="18"/>
                <w:color w:val="auto"/>
                <w:w w:val="95"/>
              </w:rPr>
              <w:t>Privately issued commercial mortgage-backed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940" w:type="dxa"/>
            <w:vAlign w:val="bottom"/>
          </w:tcPr>
          <w:p>
            <w:pPr>
              <w:ind w:left="620"/>
              <w:spacing w:after="0"/>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41,046</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(3,262)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(5,569)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32,215</w:t>
            </w:r>
          </w:p>
        </w:tc>
        <w:tc>
          <w:tcPr>
            <w:tcW w:w="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2,496</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548</w:t>
            </w: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2,302</w:t>
            </w:r>
          </w:p>
        </w:tc>
        <w:tc>
          <w:tcPr>
            <w:tcW w:w="2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2,343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2,462,512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(31,651)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174,169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(128,533)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(77,933)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2,398,564</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(31,651)</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rPr>
              <w:t>Other assets and other liabilities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8,266</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27,258(b)</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(13,487)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22,037</w:t>
            </w:r>
          </w:p>
        </w:tc>
        <w:tc>
          <w:tcPr>
            <w:tcW w:w="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24,043(b)</w:t>
            </w:r>
          </w:p>
        </w:tc>
      </w:tr>
      <w:tr>
        <w:trPr>
          <w:trHeight w:val="405"/>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- 29 -</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6"/>
        </w:trPr>
        <w:tc>
          <w:tcPr>
            <w:tcW w:w="39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continued</w:t>
      </w:r>
    </w:p>
    <w:p>
      <w:pPr>
        <w:spacing w:after="0" w:line="121" w:lineRule="exact"/>
        <w:rPr>
          <w:sz w:val="20"/>
          <w:szCs w:val="20"/>
          <w:color w:val="auto"/>
        </w:rPr>
      </w:pPr>
    </w:p>
    <w:p>
      <w:pPr>
        <w:ind w:right="140" w:firstLine="447"/>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2008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Changes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gains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(losses)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included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60" w:type="dxa"/>
            <w:vAlign w:val="bottom"/>
            <w:gridSpan w:val="5"/>
          </w:tcPr>
          <w:p>
            <w:pPr>
              <w:jc w:val="right"/>
              <w:ind w:right="880"/>
              <w:spacing w:after="0" w:line="149" w:lineRule="exact"/>
              <w:rPr>
                <w:sz w:val="20"/>
                <w:szCs w:val="20"/>
                <w:color w:val="auto"/>
              </w:rPr>
            </w:pPr>
            <w:r>
              <w:rPr>
                <w:rFonts w:ascii="Arial" w:cs="Arial" w:eastAsia="Arial" w:hAnsi="Arial"/>
                <w:sz w:val="14"/>
                <w:szCs w:val="14"/>
                <w:color w:val="auto"/>
              </w:rPr>
              <w:t>Total gains (losses)</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earnings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4"/>
                <w:szCs w:val="14"/>
                <w:color w:val="auto"/>
              </w:rPr>
              <w:t>realized/unrealized</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related to</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Included in</w:t>
            </w:r>
          </w:p>
        </w:tc>
        <w:tc>
          <w:tcPr>
            <w:tcW w:w="400" w:type="dxa"/>
            <w:vAlign w:val="bottom"/>
          </w:tcPr>
          <w:p>
            <w:pPr>
              <w:spacing w:after="0"/>
              <w:rPr>
                <w:sz w:val="10"/>
                <w:szCs w:val="10"/>
                <w:color w:val="auto"/>
              </w:rPr>
            </w:pPr>
          </w:p>
        </w:tc>
        <w:tc>
          <w:tcPr>
            <w:tcW w:w="110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w w:val="88"/>
              </w:rPr>
              <w:t>Purchases,</w:t>
            </w:r>
          </w:p>
        </w:tc>
        <w:tc>
          <w:tcPr>
            <w:tcW w:w="106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1"/>
              </w:rPr>
              <w:t>Transfer</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2"/>
              </w:rPr>
              <w:t>assets still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0"/>
              </w:rPr>
              <w:t>Balance-</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other</w:t>
            </w: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7"/>
              </w:rPr>
              <w:t>sales,</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5"/>
              </w:rPr>
              <w:t>in and/or</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Balance-</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held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8"/>
              </w:rPr>
              <w:t>January 1,</w:t>
            </w: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Included</w:t>
            </w: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0"/>
              </w:rPr>
              <w:t>comprehensive</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issuances &amp;</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out of</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March 31,</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color w:val="auto"/>
                <w:w w:val="96"/>
              </w:rPr>
              <w:t>2008</w:t>
            </w:r>
          </w:p>
        </w:tc>
        <w:tc>
          <w:tcPr>
            <w:tcW w:w="42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w w:val="90"/>
              </w:rPr>
              <w:t>in earnings</w:t>
            </w: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income</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settlements</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Level 3</w:t>
            </w: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2008</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2008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5,696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132</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5,688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subdivisions</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ind w:left="400"/>
              <w:spacing w:after="0" w:line="201" w:lineRule="exact"/>
              <w:rPr>
                <w:sz w:val="20"/>
                <w:szCs w:val="20"/>
                <w:color w:val="auto"/>
              </w:rPr>
            </w:pPr>
            <w:r>
              <w:rPr>
                <w:rFonts w:ascii="Arial" w:cs="Arial" w:eastAsia="Arial" w:hAnsi="Arial"/>
                <w:sz w:val="18"/>
                <w:szCs w:val="18"/>
                <w:color w:val="auto"/>
              </w:rPr>
              <w:t>Government issued or guaranteed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600"/>
              <w:spacing w:after="0"/>
              <w:rPr>
                <w:sz w:val="20"/>
                <w:szCs w:val="20"/>
                <w:color w:val="auto"/>
              </w:rPr>
            </w:pPr>
            <w:r>
              <w:rPr>
                <w:rFonts w:ascii="Arial" w:cs="Arial" w:eastAsia="Arial" w:hAnsi="Arial"/>
                <w:sz w:val="18"/>
                <w:szCs w:val="18"/>
                <w:color w:val="auto"/>
              </w:rPr>
              <w:t>mortgage- backed securities</w:t>
            </w:r>
          </w:p>
        </w:tc>
        <w:tc>
          <w:tcPr>
            <w:tcW w:w="12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118,992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1,898</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(1,858)</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(28,936)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90,096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Privately issued residential mortgage-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backed securities</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1,159,644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(56,051)</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(48,576)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1,055,017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Other debt securities</w:t>
            </w: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27,115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(7,485)</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19,630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2,324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1,313,821</w:t>
            </w:r>
          </w:p>
        </w:tc>
        <w:tc>
          <w:tcPr>
            <w:tcW w:w="4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(61,511)</w:t>
            </w:r>
          </w:p>
        </w:tc>
        <w:tc>
          <w:tcPr>
            <w:tcW w:w="4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(50,573)</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(28,936)</w:t>
            </w:r>
          </w:p>
        </w:tc>
        <w:tc>
          <w:tcPr>
            <w:tcW w:w="4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1,172,801</w:t>
            </w:r>
          </w:p>
        </w:tc>
        <w:tc>
          <w:tcPr>
            <w:tcW w:w="1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other liabilities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2,654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12,720(b)</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(7,246)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8,128(b)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an other-than-temporary impairment loss in the consolidated statement of income.</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207" w:lineRule="exact"/>
        <w:rPr>
          <w:rFonts w:ascii="Arial" w:cs="Arial" w:eastAsia="Arial" w:hAnsi="Arial"/>
          <w:sz w:val="16"/>
          <w:szCs w:val="16"/>
          <w:i w:val="1"/>
          <w:iCs w:val="1"/>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continued</w:t>
      </w:r>
    </w:p>
    <w:p>
      <w:pPr>
        <w:spacing w:after="0" w:line="121" w:lineRule="exact"/>
        <w:rPr>
          <w:sz w:val="20"/>
          <w:szCs w:val="20"/>
          <w:color w:val="auto"/>
        </w:rPr>
      </w:pPr>
    </w:p>
    <w:p>
      <w:pPr>
        <w:ind w:right="40" w:firstLine="447"/>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in accordance with GAAP.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based on fair value measurements for partial charge-offs of the uncollectible portions of those loans. Nonrecurring adjustments also include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impairment amounts for collateral-dependent loans calculated in accordance with SFAS No. 114 when establishing the allowance for credit losses.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are generally based on the fair value of the underlying collateral supporting the loan and, as a result, the carrying value of the loan less the calculated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valuation amount does not necessarily represent the fair value of the loan. Real estate collateral is typically valued using appraisals or other indications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based on recent comparable sales of similar properties or assumptions generally observable in the marketplace and the related nonrecurring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measurement adjustments have generally been classified as Level 2, unless significant adjustments have been made to the valuation that are not readily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observable by market participants. Estimates of fair value used for other collateral supporting commercial loans generally are based on assumptions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observable in the marketplace and therefore such valuations have been classified as Level 3. Loans subject to nonrecurring fair value measurement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 million at March 31, 2009, ($229 million and $221 million of which were classified as Level 2 and Level 3, respectively) and $202 million at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2008 ($148 million and $54 million of which were classified as Level 2 and Level 3, respectively). Changes in fair value recognized for partial charge-offs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and loan impairment reserves on loans held by the Company on March 31, 2009 and 2008 were decreases of $89 million and $23 million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 periods ended March 31, 2009 and 2008,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Capitalized servicing rights are initially measured at fair value in the Company’s consolidated balance sheet. The Company utilizes the amortization method to subsequently measure its capitalized servicing assets. In accordance with SFAS No. 156, “Accounting for Servicing of Financial Assets — an amendment to FASB Statement No. 140,”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At March 31, 2009, $44 million of capitalized servicing rights had a carrying value equal to their fair value. Changes in fair value of capitalized servicing rights recognized for the three months ended March 31, 2009 were an increase of $5 million. At March 31, 2008, $67 million of capitalized servicing rights had a carrying value equal to their fair value. Changes in fair value of capitalized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servicing rights recognized for the three months ended March 31, 2008 were a decrease of $5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during the three months ended March 31, 2009 that were still held by the Company as of that date were $21 million. Changes in fair value recognized for those foreclosed assets held by the Company at March 31, 2009 were $10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tcPr>
          <w:p>
            <w:pPr>
              <w:jc w:val="right"/>
              <w:ind w:right="53"/>
              <w:spacing w:after="0"/>
              <w:rPr>
                <w:sz w:val="20"/>
                <w:szCs w:val="20"/>
                <w:color w:val="auto"/>
              </w:rPr>
            </w:pPr>
            <w:r>
              <w:rPr>
                <w:rFonts w:ascii="Arial" w:cs="Arial" w:eastAsia="Arial" w:hAnsi="Arial"/>
                <w:sz w:val="14"/>
                <w:szCs w:val="14"/>
                <w:color w:val="auto"/>
              </w:rPr>
              <w:t>March 31,</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tcPr>
          <w:p>
            <w:pPr>
              <w:jc w:val="right"/>
              <w:ind w:right="213"/>
              <w:spacing w:after="0"/>
              <w:rPr>
                <w:sz w:val="20"/>
                <w:szCs w:val="20"/>
                <w:color w:val="auto"/>
              </w:rPr>
            </w:pPr>
            <w:r>
              <w:rPr>
                <w:rFonts w:ascii="Arial" w:cs="Arial" w:eastAsia="Arial" w:hAnsi="Arial"/>
                <w:sz w:val="14"/>
                <w:szCs w:val="14"/>
                <w:color w:val="auto"/>
              </w:rPr>
              <w:t>2009</w:t>
            </w:r>
          </w:p>
        </w:tc>
        <w:tc>
          <w:tcPr>
            <w:tcW w:w="2100" w:type="dxa"/>
            <w:vAlign w:val="bottom"/>
            <w:gridSpan w:val="3"/>
          </w:tcPr>
          <w:p>
            <w:pPr>
              <w:jc w:val="right"/>
              <w:ind w:right="468"/>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color w:val="auto"/>
                <w:w w:val="89"/>
              </w:rPr>
              <w:t>(in</w:t>
            </w:r>
          </w:p>
        </w:tc>
        <w:tc>
          <w:tcPr>
            <w:tcW w:w="500" w:type="dxa"/>
            <w:vAlign w:val="bottom"/>
          </w:tcPr>
          <w:p>
            <w:pPr>
              <w:ind w:left="40"/>
              <w:spacing w:after="0"/>
              <w:rPr>
                <w:sz w:val="20"/>
                <w:szCs w:val="20"/>
                <w:color w:val="auto"/>
              </w:rPr>
            </w:pPr>
            <w:r>
              <w:rPr>
                <w:rFonts w:ascii="Arial" w:cs="Arial" w:eastAsia="Arial" w:hAnsi="Arial"/>
                <w:sz w:val="12"/>
                <w:szCs w:val="12"/>
                <w:color w:val="auto"/>
                <w:w w:val="74"/>
              </w:rPr>
              <w:t>thousands)</w:t>
            </w: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Home equity lines of credit</w:t>
            </w:r>
          </w:p>
        </w:tc>
        <w:tc>
          <w:tcPr>
            <w:tcW w:w="1120" w:type="dxa"/>
            <w:vAlign w:val="bottom"/>
          </w:tcPr>
          <w:p>
            <w:pPr>
              <w:jc w:val="right"/>
              <w:spacing w:after="0"/>
              <w:rPr>
                <w:sz w:val="20"/>
                <w:szCs w:val="20"/>
                <w:color w:val="auto"/>
              </w:rPr>
            </w:pPr>
            <w:r>
              <w:rPr>
                <w:rFonts w:ascii="Arial" w:cs="Arial" w:eastAsia="Arial" w:hAnsi="Arial"/>
                <w:sz w:val="18"/>
                <w:szCs w:val="18"/>
                <w:color w:val="auto"/>
              </w:rPr>
              <w:t>$5,920,342</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5,972,541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 loans to be sold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138,181</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252,559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commercial real estate and construction</w:t>
            </w:r>
          </w:p>
        </w:tc>
        <w:tc>
          <w:tcPr>
            <w:tcW w:w="1120" w:type="dxa"/>
            <w:vAlign w:val="bottom"/>
          </w:tcPr>
          <w:p>
            <w:pPr>
              <w:jc w:val="right"/>
              <w:spacing w:after="0"/>
              <w:rPr>
                <w:sz w:val="20"/>
                <w:szCs w:val="20"/>
                <w:color w:val="auto"/>
              </w:rPr>
            </w:pPr>
            <w:r>
              <w:rPr>
                <w:rFonts w:ascii="Arial" w:cs="Arial" w:eastAsia="Arial" w:hAnsi="Arial"/>
                <w:sz w:val="18"/>
                <w:szCs w:val="18"/>
                <w:color w:val="auto"/>
              </w:rPr>
              <w:t>2,070,209</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2,238,464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loans to be sold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1,471,532</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870,578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residential real estate</w:t>
            </w:r>
          </w:p>
        </w:tc>
        <w:tc>
          <w:tcPr>
            <w:tcW w:w="1120" w:type="dxa"/>
            <w:vAlign w:val="bottom"/>
          </w:tcPr>
          <w:p>
            <w:pPr>
              <w:jc w:val="right"/>
              <w:spacing w:after="0"/>
              <w:rPr>
                <w:sz w:val="20"/>
                <w:szCs w:val="20"/>
                <w:color w:val="auto"/>
              </w:rPr>
            </w:pPr>
            <w:r>
              <w:rPr>
                <w:rFonts w:ascii="Arial" w:cs="Arial" w:eastAsia="Arial" w:hAnsi="Arial"/>
                <w:sz w:val="18"/>
                <w:szCs w:val="18"/>
                <w:color w:val="auto"/>
              </w:rPr>
              <w:t>303,438</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211,705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other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6,601,722</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6,666,988</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1120" w:type="dxa"/>
            <w:vAlign w:val="bottom"/>
          </w:tcPr>
          <w:p>
            <w:pPr>
              <w:jc w:val="right"/>
              <w:spacing w:after="0"/>
              <w:rPr>
                <w:sz w:val="20"/>
                <w:szCs w:val="20"/>
                <w:color w:val="auto"/>
              </w:rPr>
            </w:pPr>
            <w:r>
              <w:rPr>
                <w:rFonts w:ascii="Arial" w:cs="Arial" w:eastAsia="Arial" w:hAnsi="Arial"/>
                <w:sz w:val="18"/>
                <w:szCs w:val="18"/>
                <w:color w:val="auto"/>
              </w:rPr>
              <w:t>3,822,985</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3,886,396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26,793</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45,503</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1120" w:type="dxa"/>
            <w:vAlign w:val="bottom"/>
          </w:tcPr>
          <w:p>
            <w:pPr>
              <w:jc w:val="right"/>
              <w:spacing w:after="0"/>
              <w:rPr>
                <w:sz w:val="20"/>
                <w:szCs w:val="20"/>
                <w:color w:val="auto"/>
              </w:rPr>
            </w:pPr>
            <w:r>
              <w:rPr>
                <w:rFonts w:ascii="Arial" w:cs="Arial" w:eastAsia="Arial" w:hAnsi="Arial"/>
                <w:sz w:val="18"/>
                <w:szCs w:val="18"/>
                <w:color w:val="auto"/>
              </w:rPr>
              <w:t>1,551,340</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1,546,873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1,713,755</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1,306,041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continued</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letters of credit is essentially the same as that involved with extending loans to customers and is subject to normal credit policies. Collateral may be obtained based on management’s assessment of the customer’s creditworthiness.</w:t>
      </w:r>
    </w:p>
    <w:p>
      <w:pPr>
        <w:spacing w:after="0" w:line="62"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Federal National Mortgage Association Delegated Underwriting and Servicing program. The Company’s maximum credit risk for recourse associated with loans sold under this program totaled approximately $1.2 billion at each of March 31, 2009 and December 31, 2008.</w:t>
      </w:r>
    </w:p>
    <w:p>
      <w:pPr>
        <w:spacing w:after="0" w:line="85"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62" w:lineRule="exact"/>
        <w:rPr>
          <w:sz w:val="20"/>
          <w:szCs w:val="20"/>
          <w:color w:val="auto"/>
        </w:rPr>
      </w:pPr>
    </w:p>
    <w:p>
      <w:pPr>
        <w:ind w:right="200" w:firstLine="447"/>
        <w:spacing w:after="0" w:line="276" w:lineRule="auto"/>
        <w:rPr>
          <w:sz w:val="20"/>
          <w:szCs w:val="20"/>
          <w:color w:val="auto"/>
        </w:rPr>
      </w:pPr>
      <w:r>
        <w:rPr>
          <w:rFonts w:ascii="Arial" w:cs="Arial" w:eastAsia="Arial" w:hAnsi="Arial"/>
          <w:sz w:val="17"/>
          <w:szCs w:val="17"/>
          <w:color w:val="auto"/>
        </w:rPr>
        <w:t>The Company utilizes commitments to sell real estate loans to hedge exposure to changes in the fair value of real estate loans held for sale. Such commitments are considered derivatives in accordance with SFAS No. 133 and along with commitments to originate real estate loans to be held for sale are generally recorded in the consolidated balance sheet at estimated fair market value. The Company follows the provisions of Staff Accounting Bulletin No. 109 issued by the Securities and Exchange Commission (“SEC”), which requires that the expected net future cash flows related to the associated servicing of the loan be included in the fair value measurement of the derivative loan commitment.</w:t>
      </w:r>
    </w:p>
    <w:p>
      <w:pPr>
        <w:spacing w:after="0" w:line="64" w:lineRule="exact"/>
        <w:rPr>
          <w:sz w:val="20"/>
          <w:szCs w:val="20"/>
          <w:color w:val="auto"/>
        </w:rPr>
      </w:pPr>
    </w:p>
    <w:p>
      <w:pPr>
        <w:jc w:val="both"/>
        <w:ind w:right="300" w:firstLine="447"/>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17" w:lineRule="exact"/>
        <w:rPr>
          <w:sz w:val="20"/>
          <w:szCs w:val="20"/>
          <w:color w:val="auto"/>
        </w:rPr>
      </w:pPr>
    </w:p>
    <w:p>
      <w:pPr>
        <w:ind w:right="20" w:firstLine="447"/>
        <w:spacing w:after="0" w:line="271" w:lineRule="auto"/>
        <w:rPr>
          <w:sz w:val="20"/>
          <w:szCs w:val="20"/>
          <w:color w:val="auto"/>
        </w:rPr>
      </w:pPr>
      <w:r>
        <w:rPr>
          <w:rFonts w:ascii="Arial" w:cs="Arial" w:eastAsia="Arial" w:hAnsi="Arial"/>
          <w:sz w:val="17"/>
          <w:szCs w:val="17"/>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$104 million at March 31, 2009. Assets of subsidiaries providing reinsurance that are available to satisfy claims totaled approximately $67 million at March 31, 2009. The amounts noted above are not necessarily indicative of losses which may ultimately be incurred. Such losses are expected to be substantially less because most loans are repaid by borrowers in accordance with the original loan terms. The Company’s liability for reinsurance losses, including estimated losses incurred but not yet reported, was not material at either March 31, 2009 or December 31, 2008.</w:t>
      </w:r>
    </w:p>
    <w:p>
      <w:pPr>
        <w:spacing w:after="0" w:line="71"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In October 2007, Visa completed a reorganization in contemplation of its initial public offering (“IPO”) that subsequently occurred during the first quarter of 2008. As part of that reorganization, M&amp;T Bank, M&amp;T’s principal banking subsidiary, and other member banks of Visa received shares of Class B common stock of Visa. Those banks are also obligated under various agreements with Visa to share in losses stemming from certain litigation involving Visa (“Covered Litigation”). As of December 31, 2007, although Visa was expected to set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continued</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aside a portion of the proceeds from its IPO in an escrow account to fund any judgments or settlements that may arise out of the Covered Litigation, guidance from the SEC indicated that Visa member banks should record a liability for the fair value of the contingent obligation to Visa. The estimation of the Company’s proportionate share of any potential losses related to the Covered Litigation was extremely difficult and involved a great deal of judgment. Nevertheless, in the fourth quarter of 2007 the Company recorded a pre-tax charge of $23 million ($14 million after tax effect) related to the Covered Litigation. In accordance with GAAP and consistent with the SEC guidance, the Company did not recognize any value for its common stock ownership interest in Visa as of December 31, 2007. During the first quarter of 2008, Visa completed its IPO and, as part of the transaction, funded an escrow account for $3 billion from the proceeds of the IPO to cover potential settlements arising out of the Covered Litigation. As a result, during the first three months of 2008, the Company reversed approximately $15 million of the $23 million accrued during the fourth quarter of 2007 for the Covered Litigation. The initial accrual in 2007 and the partial reversal in 2008 were included in “other costs of operations” in the consolidated statement of income. In addition, M&amp;T Bank was allocated 1,967,028 Class B common shares of Visa. Of those shares, 760,455 were mandatorily redeemed in March 2008 resulting in a pre-tax gain of $33 million ($20 million after tax) which has been included in “gain on bank investment securities” in the consolidated statement of income. During the fourth quarter of 2008, Visa announced that it had settled an additional portion of the Covered Litigation and that it would further fund the escrow account to provide for that settlement. As noted above, the Company had previously recorded a reserve for the estimated fair value of its obligation to indemnify Visa for the Covered Litigation. Management believes that the terms of the recent settlement and the funding of the escrow account did not result in a material impact to the Company’s consolidated financial position or results of operations.</w:t>
      </w:r>
    </w:p>
    <w:p>
      <w:pPr>
        <w:spacing w:after="0" w:line="75" w:lineRule="exact"/>
        <w:rPr>
          <w:sz w:val="20"/>
          <w:szCs w:val="20"/>
          <w:color w:val="auto"/>
        </w:rPr>
      </w:pPr>
    </w:p>
    <w:p>
      <w:pPr>
        <w:ind w:firstLine="450"/>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9" w:lineRule="exact"/>
        <w:rPr>
          <w:sz w:val="20"/>
          <w:szCs w:val="20"/>
          <w:color w:val="auto"/>
        </w:rPr>
      </w:pPr>
    </w:p>
    <w:p>
      <w:pPr>
        <w:ind w:firstLine="447"/>
        <w:spacing w:after="0" w:line="279" w:lineRule="auto"/>
        <w:rPr>
          <w:sz w:val="20"/>
          <w:szCs w:val="20"/>
          <w:color w:val="auto"/>
        </w:rPr>
      </w:pPr>
      <w:r>
        <w:rPr>
          <w:rFonts w:ascii="Arial" w:cs="Arial" w:eastAsia="Arial" w:hAnsi="Arial"/>
          <w:sz w:val="17"/>
          <w:szCs w:val="17"/>
          <w:color w:val="auto"/>
        </w:rPr>
        <w:t>The financial information of the Company’s segments was compiled utilizing the accounting policies described in note 22 to the Company’s consolidated financial statements as of and for the year ended December 31, 2008.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 continued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reported by other financial institutions. As also described in note 22 to the Company’s 2008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has, however, assigned such intangible assets to business units for purposes of testing for impairment.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328"/>
              <w:spacing w:after="0"/>
              <w:rPr>
                <w:sz w:val="20"/>
                <w:szCs w:val="20"/>
                <w:color w:val="auto"/>
              </w:rPr>
            </w:pPr>
            <w:r>
              <w:rPr>
                <w:rFonts w:ascii="Arial" w:cs="Arial" w:eastAsia="Arial" w:hAnsi="Arial"/>
                <w:sz w:val="14"/>
                <w:szCs w:val="14"/>
                <w:color w:val="auto"/>
              </w:rPr>
              <w:t>Three months ended March 31</w:t>
            </w: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center"/>
              <w:ind w:left="454"/>
              <w:spacing w:after="0" w:line="142" w:lineRule="exact"/>
              <w:rPr>
                <w:sz w:val="20"/>
                <w:szCs w:val="20"/>
                <w:color w:val="auto"/>
              </w:rPr>
            </w:pPr>
            <w:r>
              <w:rPr>
                <w:rFonts w:ascii="Arial" w:cs="Arial" w:eastAsia="Arial" w:hAnsi="Arial"/>
                <w:sz w:val="14"/>
                <w:szCs w:val="14"/>
                <w:color w:val="auto"/>
                <w:w w:val="89"/>
              </w:rPr>
              <w:t>2008</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2"/>
          </w:tcPr>
          <w:p>
            <w:pPr>
              <w:jc w:val="center"/>
              <w:ind w:right="680"/>
              <w:spacing w:after="0" w:line="123" w:lineRule="exact"/>
              <w:rPr>
                <w:sz w:val="20"/>
                <w:szCs w:val="20"/>
                <w:color w:val="auto"/>
              </w:rPr>
            </w:pPr>
            <w:r>
              <w:rPr>
                <w:rFonts w:ascii="Arial" w:cs="Arial" w:eastAsia="Arial" w:hAnsi="Arial"/>
                <w:sz w:val="14"/>
                <w:szCs w:val="14"/>
                <w:color w:val="auto"/>
                <w:w w:val="97"/>
              </w:rPr>
              <w:t>Inter-</w:t>
            </w:r>
          </w:p>
        </w:tc>
        <w:tc>
          <w:tcPr>
            <w:tcW w:w="74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3"/>
          </w:tcPr>
          <w:p>
            <w:pPr>
              <w:jc w:val="center"/>
              <w:ind w:right="600"/>
              <w:spacing w:after="0" w:line="123" w:lineRule="exact"/>
              <w:rPr>
                <w:sz w:val="20"/>
                <w:szCs w:val="20"/>
                <w:color w:val="auto"/>
              </w:rPr>
            </w:pPr>
            <w:r>
              <w:rPr>
                <w:rFonts w:ascii="Arial" w:cs="Arial" w:eastAsia="Arial" w:hAnsi="Arial"/>
                <w:sz w:val="14"/>
                <w:szCs w:val="14"/>
                <w:color w:val="auto"/>
                <w:w w:val="97"/>
              </w:rPr>
              <w:t>Inter-</w:t>
            </w:r>
          </w:p>
        </w:tc>
        <w:tc>
          <w:tcPr>
            <w:tcW w:w="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Total</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segment</w:t>
            </w: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income</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Total</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89"/>
              </w:rPr>
              <w:t>segment</w:t>
            </w: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88"/>
              </w:rPr>
              <w:t>revenues(a)</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revenues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8"/>
              </w:rPr>
              <w:t>revenues(a)</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revenues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93,635</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30,112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95,249</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32,783</w:t>
            </w: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165,127</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57,154</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w w:val="92"/>
              </w:rPr>
              <w:t>162,584</w:t>
            </w:r>
          </w:p>
        </w:tc>
        <w:tc>
          <w:tcPr>
            <w:tcW w:w="1740" w:type="dxa"/>
            <w:vAlign w:val="bottom"/>
            <w:gridSpan w:val="5"/>
          </w:tcPr>
          <w:p>
            <w:pPr>
              <w:jc w:val="right"/>
              <w:ind w:right="600"/>
              <w:spacing w:after="0"/>
              <w:rPr>
                <w:sz w:val="20"/>
                <w:szCs w:val="20"/>
                <w:color w:val="auto"/>
              </w:rPr>
            </w:pPr>
            <w:r>
              <w:rPr>
                <w:rFonts w:ascii="Arial" w:cs="Arial" w:eastAsia="Arial" w:hAnsi="Arial"/>
                <w:sz w:val="18"/>
                <w:szCs w:val="18"/>
                <w:color w:val="auto"/>
              </w:rPr>
              <w:t>85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66,809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88,964</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42,983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86,278</w:t>
            </w:r>
          </w:p>
        </w:tc>
        <w:tc>
          <w:tcPr>
            <w:tcW w:w="17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208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42,809</w:t>
            </w: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11,298</w:t>
            </w:r>
          </w:p>
        </w:tc>
        <w:tc>
          <w:tcPr>
            <w:tcW w:w="680" w:type="dxa"/>
            <w:vAlign w:val="bottom"/>
          </w:tcPr>
          <w:p>
            <w:pPr>
              <w:spacing w:after="0"/>
              <w:rPr>
                <w:sz w:val="24"/>
                <w:szCs w:val="2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(3,084)</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(5,089)</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rPr>
              <w:t>43,475</w:t>
            </w:r>
          </w:p>
        </w:tc>
        <w:tc>
          <w:tcPr>
            <w:tcW w:w="1740" w:type="dxa"/>
            <w:vAlign w:val="bottom"/>
            <w:gridSpan w:val="5"/>
          </w:tcPr>
          <w:p>
            <w:pPr>
              <w:jc w:val="right"/>
              <w:ind w:right="540"/>
              <w:spacing w:after="0"/>
              <w:rPr>
                <w:sz w:val="20"/>
                <w:szCs w:val="20"/>
                <w:color w:val="auto"/>
              </w:rPr>
            </w:pPr>
            <w:r>
              <w:rPr>
                <w:rFonts w:ascii="Arial" w:cs="Arial" w:eastAsia="Arial" w:hAnsi="Arial"/>
                <w:sz w:val="18"/>
                <w:szCs w:val="18"/>
                <w:color w:val="auto"/>
              </w:rPr>
              <w:t>(4,329)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15,977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80,011</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11,869</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67,418</w:t>
            </w:r>
          </w:p>
        </w:tc>
        <w:tc>
          <w:tcPr>
            <w:tcW w:w="17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13,331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284,652</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2,655</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52,363</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w w:val="92"/>
              </w:rPr>
              <w:t>302,868</w:t>
            </w:r>
          </w:p>
        </w:tc>
        <w:tc>
          <w:tcPr>
            <w:tcW w:w="1740" w:type="dxa"/>
            <w:vAlign w:val="bottom"/>
            <w:gridSpan w:val="5"/>
          </w:tcPr>
          <w:p>
            <w:pPr>
              <w:jc w:val="right"/>
              <w:ind w:right="600"/>
              <w:spacing w:after="0"/>
              <w:rPr>
                <w:sz w:val="20"/>
                <w:szCs w:val="20"/>
                <w:color w:val="auto"/>
              </w:rPr>
            </w:pPr>
            <w:r>
              <w:rPr>
                <w:rFonts w:ascii="Arial" w:cs="Arial" w:eastAsia="Arial" w:hAnsi="Arial"/>
                <w:sz w:val="18"/>
                <w:szCs w:val="18"/>
                <w:color w:val="auto"/>
              </w:rPr>
              <w:t>2,967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75,470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(43,539)</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(11,446)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(118,802)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33,641</w:t>
            </w:r>
          </w:p>
        </w:tc>
        <w:tc>
          <w:tcPr>
            <w:tcW w:w="174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(12,262)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(36,711)</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680,148</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64,221</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8"/>
                <w:szCs w:val="18"/>
                <w:color w:val="auto"/>
                <w:w w:val="92"/>
              </w:rPr>
              <w:t>791,513</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202,196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color w:val="auto"/>
                <w:w w:val="89"/>
              </w:rPr>
              <w:t>Average total assets</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80" w:type="dxa"/>
            <w:vAlign w:val="bottom"/>
            <w:gridSpan w:val="7"/>
          </w:tcPr>
          <w:p>
            <w:pPr>
              <w:jc w:val="right"/>
              <w:ind w:right="1100"/>
              <w:spacing w:after="0" w:line="123" w:lineRule="exact"/>
              <w:rPr>
                <w:sz w:val="20"/>
                <w:szCs w:val="20"/>
                <w:color w:val="auto"/>
              </w:rPr>
            </w:pPr>
            <w:r>
              <w:rPr>
                <w:rFonts w:ascii="Arial" w:cs="Arial" w:eastAsia="Arial" w:hAnsi="Arial"/>
                <w:sz w:val="14"/>
                <w:szCs w:val="14"/>
                <w:color w:val="auto"/>
              </w:rPr>
              <w:t>Three months ended</w:t>
            </w:r>
          </w:p>
        </w:tc>
        <w:tc>
          <w:tcPr>
            <w:tcW w:w="7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20" w:type="dxa"/>
            <w:vAlign w:val="bottom"/>
            <w:gridSpan w:val="6"/>
          </w:tcPr>
          <w:p>
            <w:pPr>
              <w:jc w:val="right"/>
              <w:ind w:right="1400"/>
              <w:spacing w:after="0" w:line="149" w:lineRule="exact"/>
              <w:rPr>
                <w:sz w:val="20"/>
                <w:szCs w:val="20"/>
                <w:color w:val="auto"/>
              </w:rPr>
            </w:pPr>
            <w:r>
              <w:rPr>
                <w:rFonts w:ascii="Arial" w:cs="Arial" w:eastAsia="Arial" w:hAnsi="Arial"/>
                <w:sz w:val="14"/>
                <w:szCs w:val="14"/>
                <w:color w:val="auto"/>
              </w:rPr>
              <w:t>March 31</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280" w:type="dxa"/>
            <w:vAlign w:val="bottom"/>
          </w:tcPr>
          <w:p>
            <w:pPr>
              <w:spacing w:after="0"/>
              <w:rPr>
                <w:sz w:val="14"/>
                <w:szCs w:val="14"/>
                <w:color w:val="auto"/>
              </w:rPr>
            </w:pPr>
          </w:p>
        </w:tc>
        <w:tc>
          <w:tcPr>
            <w:tcW w:w="1060" w:type="dxa"/>
            <w:vAlign w:val="bottom"/>
            <w:gridSpan w:val="3"/>
          </w:tcPr>
          <w:p>
            <w:pPr>
              <w:ind w:left="580"/>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(in millions)</w:t>
            </w:r>
          </w:p>
        </w:tc>
        <w:tc>
          <w:tcPr>
            <w:tcW w:w="680" w:type="dxa"/>
            <w:vAlign w:val="bottom"/>
            <w:gridSpan w:val="2"/>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28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4,410</w:t>
            </w: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15,292</w:t>
            </w:r>
          </w:p>
        </w:tc>
        <w:tc>
          <w:tcPr>
            <w:tcW w:w="280" w:type="dxa"/>
            <w:vAlign w:val="bottom"/>
          </w:tcPr>
          <w:p>
            <w:pPr>
              <w:spacing w:after="0"/>
              <w:rPr>
                <w:sz w:val="24"/>
                <w:szCs w:val="24"/>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14,370</w:t>
            </w:r>
          </w:p>
        </w:tc>
        <w:tc>
          <w:tcPr>
            <w:tcW w:w="6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11,770</w:t>
            </w:r>
          </w:p>
        </w:tc>
        <w:tc>
          <w:tcPr>
            <w:tcW w:w="2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83"/>
              </w:rPr>
              <w:t>11,045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11,394</w:t>
            </w: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13,407</w:t>
            </w:r>
          </w:p>
        </w:tc>
        <w:tc>
          <w:tcPr>
            <w:tcW w:w="280" w:type="dxa"/>
            <w:vAlign w:val="bottom"/>
          </w:tcPr>
          <w:p>
            <w:pPr>
              <w:spacing w:after="0"/>
              <w:rPr>
                <w:sz w:val="24"/>
                <w:szCs w:val="24"/>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14,927</w:t>
            </w:r>
          </w:p>
        </w:tc>
        <w:tc>
          <w:tcPr>
            <w:tcW w:w="6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14,179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28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2,691</w:t>
            </w: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11,169</w:t>
            </w:r>
          </w:p>
        </w:tc>
        <w:tc>
          <w:tcPr>
            <w:tcW w:w="280" w:type="dxa"/>
            <w:vAlign w:val="bottom"/>
          </w:tcPr>
          <w:p>
            <w:pPr>
              <w:spacing w:after="0"/>
              <w:rPr>
                <w:sz w:val="24"/>
                <w:szCs w:val="24"/>
                <w:color w:val="auto"/>
              </w:rPr>
            </w:pPr>
          </w:p>
        </w:tc>
        <w:tc>
          <w:tcPr>
            <w:tcW w:w="1060" w:type="dxa"/>
            <w:vAlign w:val="bottom"/>
            <w:gridSpan w:val="3"/>
          </w:tcPr>
          <w:p>
            <w:pPr>
              <w:ind w:left="580"/>
              <w:spacing w:after="0"/>
              <w:rPr>
                <w:sz w:val="20"/>
                <w:szCs w:val="20"/>
                <w:color w:val="auto"/>
              </w:rPr>
            </w:pPr>
            <w:r>
              <w:rPr>
                <w:rFonts w:ascii="Arial" w:cs="Arial" w:eastAsia="Arial" w:hAnsi="Arial"/>
                <w:sz w:val="18"/>
                <w:szCs w:val="18"/>
                <w:color w:val="auto"/>
                <w:w w:val="83"/>
              </w:rPr>
              <w:t>11,514</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2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6,058</w:t>
            </w: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64,766</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65,015</w:t>
            </w:r>
          </w:p>
        </w:tc>
        <w:tc>
          <w:tcPr>
            <w:tcW w:w="6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65,132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- 35 -</w:t>
            </w: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60" w:right="40" w:hanging="452"/>
        <w:spacing w:after="0" w:line="273" w:lineRule="auto"/>
        <w:tabs>
          <w:tab w:leader="none" w:pos="4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methodology. Segments are charged a cost to fund any assets (e.g. loans) and are paid a funding credit for any funds provided (e.g. deposits). The taxable-equivalent adjustment aggregated $4,933,000 and $5,783,000 for the three-month periods ended March 31, 2009 and 2008,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Relationship with Bayview Lending Group LLC and Bayview Financial Holdings, L.P.</w:t>
      </w:r>
    </w:p>
    <w:p>
      <w:pPr>
        <w:spacing w:after="0" w:line="12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2007 M&amp;T invested $300 million to acquire a 20% minority interest in Bayview Lending Group LLC (“BLG”), a privately-held commercial mortgage lender that specializes in originating, securitizing and servicing small balance commercial real estate loans. M&amp;T recognizes income from BLG using the equity method of accounting.</w:t>
      </w:r>
    </w:p>
    <w:p>
      <w:pPr>
        <w:spacing w:after="0" w:line="73"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purchased loan servicing rights for small balance commercial mortgage loans from BLG and Bayview Financial having outstanding principal balances of $5.9 billion at each of March 31, 2009 and December 31, 2008. Amounts recorded as capitalized servicing assets for such loans totaled $53 million at March 31, 2009 and $58 million at December 31, 2008. In addition, capitalized servicing rights at March 31, 2009 and December 31, 2008 also included $25 million and $28 million, respectively, for servicing rights that were purchased from Bayview Financial related to residential mortgage loans with outstanding principal balances of $4.4 billion at March 31, 2009 and $4.6 billion at December 31, 2008. Revenues from servicing residential and small balance commercial mortgage loans purchased from BLG and Bayview Financial were $13 million during each of the quarters ended March 31, 2009 and 2008. M&amp;T Bank provided $62 million and $71 million of credit facilities to Bayview Financial at March 31, 2009 and December 31, 2008, respectively, of which $50 million and $57 million was outstanding at March 31, 2009 and December 31, 2008, respectively. Finally, at March 31, 2009 and December 31, 2008, the Company held $29 million and $32 million, respectively, of collateralized mortgage obligations in its available-for-sale investment securities portfolio that were securitized by Bayview Financial. In addition, the Company held $397 million and $412 million of similar investment securities in its held-to-maturity portfolio at March 31, 2009 and December 31, 2008,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Net income for M&amp;T Bank Corporation (“M&amp;T”) in the first quarter of 2009 was $64 million or $.49 of diluted earnings per common share, compared with $202 million or $1.82 of diluted earnings per common share in the first quarter of 2008. During the fourth quarter of 2008, net income totaled $102 million or $.92 of diluted earnings per common share. Basic earnings per common share were $.49 in the initial quarter of 2009, compared with $1.84 and $.92 in the first and fourth quarters of 2008, respectively. The after-tax impact of acquisition and integration-related expenses (included herein as merger-related expenses) associated with M&amp;T’s pending acquisition of Provident Bankshares Corporation (“Provident”), expected to close in the second quarter of 2009, was $1 million ($2 million pre-tax), or $.01 of basic and diluted earnings per common share in the recent quarter. Merger-related expenses in the first 2008 quarter related to the November 30, 2007 acquisition of Partners Trust Financial Group, Inc. (“Partners Trust”) and the December 7, 2007 acquisition by M&amp;T Bank, the principal bank subsidiary of M&amp;T, of the Mid-Atlantic retail banking franchise of First Horizon Bank (“First Horizon”) totaled $2 million ($4 million pre-tax) or $.02 of basic and diluted earnings per common share in the first quarter of 2008. There were no similar expenses in 2008’s final quarter.</w:t>
      </w:r>
    </w:p>
    <w:p>
      <w:pPr>
        <w:spacing w:after="0" w:line="87" w:lineRule="exact"/>
        <w:rPr>
          <w:sz w:val="20"/>
          <w:szCs w:val="20"/>
          <w:color w:val="auto"/>
        </w:rPr>
      </w:pPr>
    </w:p>
    <w:p>
      <w:pPr>
        <w:ind w:right="120" w:firstLine="447"/>
        <w:spacing w:after="0" w:line="312" w:lineRule="auto"/>
        <w:rPr>
          <w:sz w:val="20"/>
          <w:szCs w:val="20"/>
          <w:color w:val="auto"/>
        </w:rPr>
      </w:pPr>
      <w:r>
        <w:rPr>
          <w:rFonts w:ascii="Arial" w:cs="Arial" w:eastAsia="Arial" w:hAnsi="Arial"/>
          <w:sz w:val="16"/>
          <w:szCs w:val="16"/>
          <w:color w:val="auto"/>
        </w:rPr>
        <w:t>The annualized rate of return on average total assets for M&amp;T and its consolidated subsidiaries (“the Company”) in the first quarter of 2009 was .40%, compared with 1.25% in the initial 2008 quarter and .63% in the fourth quarter of 2008. The annualized rate of return on average common stockholders’ equity was 3.61% in the first three months of 2009, compared with 12.49% and 6.41% in the first and fourth quarters of 2008, respectively.</w:t>
      </w:r>
    </w:p>
    <w:p>
      <w:pPr>
        <w:spacing w:after="0" w:line="39"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The Company’s financial results for the first quarter of 2009 were significantly affected by the recessionary state of the U.S. economy and the continued deterioration of residential real estate values throughout much of the country. Specifically, the provision for credit losses rose to $158 million in the initial 2009 quarter from $60 million in the first quarter of 2008. Net loan charge-offs were $100 million in the recent quarter, up from $46 million in the year-earlier period. The provision and net charge-offs in the final quarter of 2008 were $151 million and $144 million, respectively. The excess of the recent quarter’s provision above net charge-offs was deemed necessary due largely to a commercial loan transferred to nonaccrual status during the quarter for which the full collectibility is in question.</w:t>
      </w:r>
    </w:p>
    <w:p>
      <w:pPr>
        <w:spacing w:after="0" w:line="85" w:lineRule="exact"/>
        <w:rPr>
          <w:sz w:val="20"/>
          <w:szCs w:val="20"/>
          <w:color w:val="auto"/>
        </w:rPr>
      </w:pPr>
    </w:p>
    <w:p>
      <w:pPr>
        <w:ind w:right="20" w:firstLine="450"/>
        <w:spacing w:after="0" w:line="253" w:lineRule="auto"/>
        <w:rPr>
          <w:sz w:val="20"/>
          <w:szCs w:val="20"/>
          <w:color w:val="auto"/>
        </w:rPr>
      </w:pPr>
      <w:r>
        <w:rPr>
          <w:rFonts w:ascii="Arial" w:cs="Arial" w:eastAsia="Arial" w:hAnsi="Arial"/>
          <w:sz w:val="18"/>
          <w:szCs w:val="18"/>
          <w:color w:val="auto"/>
        </w:rPr>
        <w:t>Reflecting the early adoption of recently issued accounting pronouncements issued by the Financial Accounting Standards Board (“FASB”), other-than-temporary impairment charges of $32 million ($20 million after taxes, or $.18 of diluted earnings per common share) were recorded during the initial quarter of 2009 on privately issued collateralized mortgage obligations (“CMOs”). Those securities, which are collateralized by residential real estate loans, are held in the Company’s available-for-sale investment securities portfolio and have an adjusted cost basis after the impairment charges of $59 million and estimated market value of $28 million as of March 31, 2009. The impact of adopting the new accounting pronouncements is discussed herein under the headings “Capital” and “Recent Accounting Developments” and in note 3 of Notes to Financial Statements. The Company recorded other-than-temporary impairment charges of $24 million ($14 million after taxes, or $.13 of diluted earnings per common share) in the final quarter of 2008 related to certain private CMOs and collateralized debt obligations (“CDOs”). The Company continues to hold those bonds in its available-for-sale investment securities portfolio at an adjusted cost basis of $2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0"/>
        <w:spacing w:after="0" w:line="267" w:lineRule="auto"/>
        <w:rPr>
          <w:sz w:val="20"/>
          <w:szCs w:val="20"/>
          <w:color w:val="auto"/>
        </w:rPr>
      </w:pPr>
      <w:r>
        <w:rPr>
          <w:rFonts w:ascii="Arial" w:cs="Arial" w:eastAsia="Arial" w:hAnsi="Arial"/>
          <w:sz w:val="17"/>
          <w:szCs w:val="17"/>
          <w:color w:val="auto"/>
        </w:rPr>
        <w:t>Reflected in the Company’s financial results for the first three months of 2008 was $29 million, or $.26 of diluted earnings per share, resulting from the status of M&amp;T Bank, the principal bank subsidiary of M&amp;T, as a member bank of Visa. During the last quarter of 2007, Visa completed a reorganization in contemplation of its initial public offering (“IPO”) in 2008. As part of that reorganization M&amp;T Bank and other member banks of Visa received shares of Class B common stock of Visa. Those banks are also obligated under various agreements with Visa to share in losses stemming from certain litigation involving Visa (“Covered Litigation”). As of December 31, 2007, although Visa was expected to set aside a portion of the proceeds from its IPO in an escrow account to fund any judgments or settlements that may arise out of the Covered Litigation, guidance from the Securities and Exchange Commission (“SEC”) indicated that Visa member banks should record a liability for the fair value of the contingent obligation to Visa. The estimation of the Company’s proportionate share of any potential losses related to the Covered Litigation was extremely difficult and involved a great deal of judgment. Nevertheless, in the fourth quarter of 2007 the Company recorded a pre-tax charge of $23 million ($14 million after tax effect, or $.13 per diluted common share) related to the Covered Litigation. In accordance with generally accepted accounting principles (“GAAP”) and consistent with the SEC guidance, the Company did not recognize any value for its common stock ownership interest in Visa as of the 2007 year-end. During the first quarter of 2008, Visa completed its IPO and, as part of the transaction, funded an escrow account with $3 billion from the proceeds of the IPO to cover potential settlements arising out of the Covered Litigation. As a result, during the first three months of 2008, the Company reversed approximately $15 million of the $23 million accrued during the fourth quarter of 2007 for the Covered Litigation. In addition, M&amp;T Bank was allocated 1,967,028 Class B common shares of Visa based on its proportionate ownership of Visa. Of those shares, 760,455 were mandatorily redeemed in March 2008 for an after-tax gain of $20 million ($33 million pre-tax). That pre-tax amount was recorded as gain on bank investment securities in the consolidated statement of income for 2008’s initial quarter. During the fourth quarter of 2008, Visa announced that it had settled an additional portion of the Covered Litigation and it further funded the escrow account to provide for that settlement. That settlement and subsequent funding of the escrow account did not result in a material impact to the Company’s consolidated financial position or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a result of business combinations and other acquisitions, the Company had intangible assets consisting of goodwill and core deposit and other intangible assets totaling $3.4 billion at each of March 31, 2009, March 31, 2008 and December 31, 2008. Included in such intangible assets was goodwill of</w:t>
      </w:r>
    </w:p>
    <w:p>
      <w:pPr>
        <w:spacing w:after="0" w:line="255" w:lineRule="auto"/>
        <w:rPr>
          <w:sz w:val="20"/>
          <w:szCs w:val="20"/>
          <w:color w:val="auto"/>
        </w:rPr>
      </w:pPr>
      <w:r>
        <w:rPr>
          <w:rFonts w:ascii="Arial" w:cs="Arial" w:eastAsia="Arial" w:hAnsi="Arial"/>
          <w:sz w:val="18"/>
          <w:szCs w:val="18"/>
          <w:color w:val="auto"/>
        </w:rPr>
        <w:t>$3.2 billion at each of those dates. Amortization of core deposit and other intangible assets, after tax effect, was $9 million ($.09 per diluted common share) during 2009’s initial quarter, $11 million ($.10 per diluted common share) during the first quarter of 2008, and $10 million ($.08 per diluted common share) in the fourth quarter of 2008.</w:t>
      </w:r>
    </w:p>
    <w:p>
      <w:pPr>
        <w:spacing w:after="0" w:line="82"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expenses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firstLine="450"/>
        <w:spacing w:after="0" w:line="286" w:lineRule="auto"/>
        <w:rPr>
          <w:sz w:val="20"/>
          <w:szCs w:val="20"/>
          <w:color w:val="auto"/>
        </w:rPr>
      </w:pPr>
      <w:r>
        <w:rPr>
          <w:rFonts w:ascii="Arial" w:cs="Arial" w:eastAsia="Arial" w:hAnsi="Arial"/>
          <w:sz w:val="17"/>
          <w:szCs w:val="17"/>
          <w:color w:val="auto"/>
        </w:rPr>
        <w:t>Net operating income totaled $75 million in the first quarter of 2009, compared with $216 million in the year-earlier quarter. Diluted net operating earnings per common share for the initial quarter of 2009 were $.59, compared with $1.94 in the corresponding 2008 quarter. Net operating income and diluted net operating earnings per common share were $112 million and $1.00, respectively, in the fourth quarter of 2008.</w:t>
      </w:r>
    </w:p>
    <w:p>
      <w:pPr>
        <w:spacing w:after="0" w:line="57" w:lineRule="exact"/>
        <w:rPr>
          <w:sz w:val="20"/>
          <w:szCs w:val="20"/>
          <w:color w:val="auto"/>
        </w:rPr>
      </w:pPr>
    </w:p>
    <w:p>
      <w:pPr>
        <w:ind w:right="200" w:firstLine="450"/>
        <w:spacing w:after="0" w:line="312" w:lineRule="auto"/>
        <w:rPr>
          <w:sz w:val="20"/>
          <w:szCs w:val="20"/>
          <w:color w:val="auto"/>
        </w:rPr>
      </w:pPr>
      <w:r>
        <w:rPr>
          <w:rFonts w:ascii="Arial" w:cs="Arial" w:eastAsia="Arial" w:hAnsi="Arial"/>
          <w:sz w:val="16"/>
          <w:szCs w:val="16"/>
          <w:color w:val="auto"/>
        </w:rPr>
        <w:t>Net operating income in the recently completed quarter represented an annualized rate of return on average tangible assets of .50%, compared with 1.41% and .72% in the first and fourth quarters of 2008, respectively. Net operating income expressed as an annualized return on average tangible common equity was 9.36% in the first quarter of 2009, compared with 27.86% in the year-earlier quarter and 15.01% in the last quarter of 2008.</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results with non-GAAP results are provided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Taxable-equivalent net interest income aggregated $453 million in the first quarter of 2009, down 7% from $485 million in the corresponding 2008 quarter and 8% below $491 million in the fourth quarter of 2008. The decline in the recent quarter’s total as compared with the first quarter of 2008 was predominantly due to a 19 basis point (hundredths of one percent) narrowing of the Company’s net interest margin, or taxable-equivalent net interest income expressed as an annualized percentage of average earning assets, to 3.19% from 3.38%. That narrowing was largely the result of a lower contribution from interest-free funds due to a decline in the rates paid on interest-bearing liabilities, which are used to value such funds. The decrease in net interest income from the fourth quarter of 2008 to the recently completed quarter was also due to a narrowing of the net interest margin, which declined 18 basis points from 3.37% in 2008’s final quarter. That narrowing was largely attributable to a rapid decline in market interest rates late in the fourth quarter of 2008 and the impact on rates earned on loans repricing more quickly than the rates paid on interest-bearing liabilities.</w:t>
      </w:r>
    </w:p>
    <w:p>
      <w:pPr>
        <w:spacing w:after="0" w:line="7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Average loans and leases totaled $48.8 billion in each of the first quarter of 2009 and the fourth quarter of 2008, up from $48.6 billion in 2008’s initial quarter. Commercial loans and leases averaged $14.0 billion in the first 2009 quarter, up 5% from $13.3 billion in the year-earlier quarter. Average commercial real estate loans rose $801 million or 4% to $18.8 billion in the recent quarter from $18.0 billion in the first quarter of 2008. The Company’s residential real estate loan portfolio averaged $5.0 billion in 2009’s initial quarter, down $943 million or 16% from $6.0 billion in the similar quarter of 2008. Included in that portfolio were loans held for sale, which averaged $548 million in the recently completed quarter, compared with $718 million in the first quarter of 2008. Excluding such loans, average residential real estate loans declined $773 million from the first quarter of 2008 to the first quarter of 2009. That decline was largely attributable to securitization transactions in June and July 2008, which aggregated $875 million and resulted in the transfer of balances from loans to investment securities. Similar securitizations in March 2009 were completed aggregating $141 million, lowering average residential real estate loan balances in 2009’s first quarter by approximately $38 million. In each of those transactions, residential real estate loans were securitized into mortgage-backed securities guaranteed by the Federal National Mortgage Association (“Fannie Mae”), which are now held in the Company’s available-for-sale investment securities portfolio. The securitizations were completed to improve the Company’s liquidity because securities may be more easily pledged as collateral for borrowings and to enhance regulatory capital ratios because Fannie Mae guaranteed securities have a lower risk rating than whole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loans for regulatory capital purposes. Average consumer loans and leases totaled $11.0 billion in the recent quarter, down $330 million or 3% from $11.3 billion in the year-earlier period.</w:t>
      </w:r>
    </w:p>
    <w:p>
      <w:pPr>
        <w:spacing w:after="0" w:line="62"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Total average loan balances in the recent quarter were little changed from the fourth quarter of 2008. Relatively modest changes were experienced in each of the major loan categories during the recent quarter as compared with the final quarter of 2008. The accompanying table summarizes quarterly changes in the major components of the loan and lease portfolio.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gridSpan w:val="3"/>
          </w:tcPr>
          <w:p>
            <w:pPr>
              <w:ind w:left="580"/>
              <w:spacing w:after="0"/>
              <w:rPr>
                <w:sz w:val="20"/>
                <w:szCs w:val="20"/>
                <w:color w:val="auto"/>
              </w:rPr>
            </w:pPr>
            <w:r>
              <w:rPr>
                <w:rFonts w:ascii="Arial" w:cs="Arial" w:eastAsia="Arial" w:hAnsi="Arial"/>
                <w:sz w:val="14"/>
                <w:szCs w:val="14"/>
                <w:color w:val="auto"/>
                <w:w w:val="87"/>
              </w:rPr>
              <w:t>Percent increase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gridSpan w:val="3"/>
          </w:tcPr>
          <w:p>
            <w:pPr>
              <w:ind w:left="600"/>
              <w:spacing w:after="0" w:line="149" w:lineRule="exact"/>
              <w:rPr>
                <w:sz w:val="20"/>
                <w:szCs w:val="20"/>
                <w:color w:val="auto"/>
              </w:rPr>
            </w:pPr>
            <w:r>
              <w:rPr>
                <w:rFonts w:ascii="Arial" w:cs="Arial" w:eastAsia="Arial" w:hAnsi="Arial"/>
                <w:sz w:val="14"/>
                <w:szCs w:val="14"/>
                <w:color w:val="auto"/>
                <w:w w:val="91"/>
              </w:rPr>
              <w:t>(decrease) from</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1st Qtr.</w:t>
            </w:r>
          </w:p>
        </w:tc>
        <w:tc>
          <w:tcPr>
            <w:tcW w:w="15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1st Qtr.</w:t>
            </w: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4th Qtr.</w:t>
            </w:r>
          </w:p>
        </w:tc>
        <w:tc>
          <w:tcPr>
            <w:tcW w:w="0" w:type="dxa"/>
            <w:vAlign w:val="bottom"/>
          </w:tcPr>
          <w:p>
            <w:pPr>
              <w:spacing w:after="0"/>
              <w:rPr>
                <w:sz w:val="1"/>
                <w:szCs w:val="1"/>
                <w:color w:val="auto"/>
              </w:rPr>
            </w:pPr>
          </w:p>
        </w:tc>
      </w:tr>
      <w:tr>
        <w:trPr>
          <w:trHeight w:val="167"/>
        </w:trPr>
        <w:tc>
          <w:tcPr>
            <w:tcW w:w="7780" w:type="dxa"/>
            <w:vAlign w:val="bottom"/>
          </w:tcPr>
          <w:p>
            <w:pPr>
              <w:spacing w:after="0"/>
              <w:rPr>
                <w:sz w:val="20"/>
                <w:szCs w:val="20"/>
                <w:color w:val="auto"/>
              </w:rPr>
            </w:pPr>
            <w:r>
              <w:rPr>
                <w:rFonts w:ascii="Arial" w:cs="Arial" w:eastAsia="Arial" w:hAnsi="Arial"/>
                <w:sz w:val="14"/>
                <w:szCs w:val="14"/>
                <w:color w:val="auto"/>
              </w:rPr>
              <w:t>Dollars in millions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2008</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14,031</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18,795</w:t>
            </w: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4,768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1,986</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10,965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6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48,824</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447"/>
        <w:spacing w:after="0" w:line="270" w:lineRule="auto"/>
        <w:rPr>
          <w:sz w:val="20"/>
          <w:szCs w:val="20"/>
          <w:color w:val="auto"/>
        </w:rPr>
      </w:pPr>
      <w:r>
        <w:rPr>
          <w:rFonts w:ascii="Arial" w:cs="Arial" w:eastAsia="Arial" w:hAnsi="Arial"/>
          <w:sz w:val="17"/>
          <w:szCs w:val="17"/>
          <w:color w:val="auto"/>
        </w:rPr>
        <w:t>The investment securities portfolio averaged $8.5 billion during the initial quarter of 2009, down from $8.9 billion in each of the first and fourth quarters of 2008. The decline in such securities from the first quarter of 2008 largely reflects maturities and paydowns, partially offset by the Fannie Mae mortgage-backed securities created in the June and July 2008 securitization transactions already noted. The decrease from the fourth quarter of 2008 was also largely the result of maturities and paydowns of mortgage-backed securities. The investment securities portfolio is largely comprised of residential and commercial mortgage-backed securities and collateralized mortgage obligations, debt securities issued by municipalities, debt and preferred equity securities issued by government-sponsored agencies and certain financial institutions, and shorter-term U.S. Treasury and federal agency notes. When purchasing investment securities, the Company considers its overall interest-rate risk profile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following completion of a business combination.</w:t>
      </w:r>
    </w:p>
    <w:p>
      <w:pPr>
        <w:spacing w:after="0" w:line="70" w:lineRule="exact"/>
        <w:rPr>
          <w:sz w:val="20"/>
          <w:szCs w:val="20"/>
          <w:color w:val="auto"/>
        </w:rPr>
      </w:pPr>
    </w:p>
    <w:p>
      <w:pPr>
        <w:ind w:right="80" w:firstLine="447"/>
        <w:spacing w:after="0" w:line="271" w:lineRule="auto"/>
        <w:rPr>
          <w:sz w:val="20"/>
          <w:szCs w:val="20"/>
          <w:color w:val="auto"/>
        </w:rPr>
      </w:pPr>
      <w:r>
        <w:rPr>
          <w:rFonts w:ascii="Arial" w:cs="Arial" w:eastAsia="Arial" w:hAnsi="Arial"/>
          <w:sz w:val="17"/>
          <w:szCs w:val="17"/>
          <w:color w:val="auto"/>
        </w:rPr>
        <w:t>The Company regularly reviews its investment securities for declines in value below amortized cost that might be characterized as “other than temporary.” As previously noted, an other-than-temporary impairment charge of $32 million was recognized in the first quarter of 2009 related to certain CMOs held in the Company’s available-for-sale investment securities portfolio. During the fourth quarter of 2008, other-than-temporary impairment charges of $24 million were recognized on certain CMOs backed by option adjustable-rate residential mortgages (“ARMs”) that had an amortized cost of $13 million and on three CDOs backed by bank preferred capital securities that had an amortized cost of $12 million. The CDOs were obtained in the Partners Trust transaction. As of March 31, 2009 and December 31, 2008, the Company concluded that the remaining declines associated with the rest of the investment securities portfolio were temporary in nature. That conclusion was based on management’s assessment of future cash flows associated with individual investment securities as of each respective date. A further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discussion of fair values of investment securities is included herein under the headings “Capital” and “Recent Accounting Developments.” Additional information about the investment securities portfolio is included in notes 3 and 9 of Notes to Financial Statements.</w:t>
      </w:r>
    </w:p>
    <w:p>
      <w:pPr>
        <w:spacing w:after="0" w:line="38"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Other earning assets include deposits at banks, trading account assets, federal funds sold and agreements to resell securities. Those other earning assets in the aggregate averaged $195 million in the recently completed quarter, compared with $214 million and $215 million in the first and fourth quarters of 2008, respectively.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8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As a result of the changes described herein, average earning assets aggregated $57.5 billion in the first quarter of 2009, compared with $57.7 billion in the corresponding 2008 quarter. Average earning assets aggregated $57.9 billion in the fourth quarter of 2008.</w:t>
      </w:r>
    </w:p>
    <w:p>
      <w:pPr>
        <w:spacing w:after="0" w:line="62" w:lineRule="exact"/>
        <w:rPr>
          <w:sz w:val="20"/>
          <w:szCs w:val="20"/>
          <w:color w:val="auto"/>
        </w:rPr>
      </w:pPr>
    </w:p>
    <w:p>
      <w:pPr>
        <w:ind w:right="220" w:firstLine="447"/>
        <w:spacing w:after="0" w:line="285" w:lineRule="auto"/>
        <w:rPr>
          <w:sz w:val="20"/>
          <w:szCs w:val="20"/>
          <w:color w:val="auto"/>
        </w:rPr>
      </w:pPr>
      <w:r>
        <w:rPr>
          <w:rFonts w:ascii="Arial" w:cs="Arial" w:eastAsia="Arial" w:hAnsi="Arial"/>
          <w:sz w:val="16"/>
          <w:szCs w:val="16"/>
          <w:color w:val="auto"/>
        </w:rPr>
        <w:t>The most significant source of funding for the Company is core deposits, which are comprised of noninterest-bearing deposits, nonbrokered interest-bearing transaction accounts, nonbrokered savings deposits and nonbrokered domestic time deposits under $100,000. The Company’s branch network is its principal source of core deposits, which generally carry lower interest rates than wholesale funds of comparable maturities. Certificates of deposit under $100,000 generated on a nationwide basis by M&amp;T Bank, National Association (“M&amp;T Bank, N.A.”), a wholly owned bank subsidiary of M&amp;T, are also included in core deposits. Core deposits averaged $34.7 billion in the first quarter of 2009, up from $30.6 billion in the similar quarter of 2008 and</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$33.1 billion in the final quarter of 2008. The growth in such deposits since the first quarter of 2008 was due, in part, to a lower interest rate environment during the two most recent quarters and to the continuing recessionary environment in the U.S., and its impact on the attractiveness of alternative investments to the Company’s customers. During the declining interest rate environment, over the last twelve months the Company has also experienced a shift in customer savings trends, as average time deposits have continued to decline, while average noninterest-bearing deposits and savings deposits have increased. The following table provides an analysis of quarterly changes in the components of average core deposits.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gridSpan w:val="3"/>
          </w:tcPr>
          <w:p>
            <w:pPr>
              <w:ind w:left="580"/>
              <w:spacing w:after="0"/>
              <w:rPr>
                <w:sz w:val="20"/>
                <w:szCs w:val="20"/>
                <w:color w:val="auto"/>
              </w:rPr>
            </w:pPr>
            <w:r>
              <w:rPr>
                <w:rFonts w:ascii="Arial" w:cs="Arial" w:eastAsia="Arial" w:hAnsi="Arial"/>
                <w:sz w:val="14"/>
                <w:szCs w:val="14"/>
                <w:color w:val="auto"/>
                <w:w w:val="87"/>
              </w:rPr>
              <w:t>Percent increase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20" w:type="dxa"/>
            <w:vAlign w:val="bottom"/>
            <w:gridSpan w:val="3"/>
          </w:tcPr>
          <w:p>
            <w:pPr>
              <w:ind w:left="600"/>
              <w:spacing w:after="0" w:line="149" w:lineRule="exact"/>
              <w:rPr>
                <w:sz w:val="20"/>
                <w:szCs w:val="20"/>
                <w:color w:val="auto"/>
              </w:rPr>
            </w:pPr>
            <w:r>
              <w:rPr>
                <w:rFonts w:ascii="Arial" w:cs="Arial" w:eastAsia="Arial" w:hAnsi="Arial"/>
                <w:sz w:val="14"/>
                <w:szCs w:val="14"/>
                <w:color w:val="auto"/>
                <w:w w:val="91"/>
              </w:rPr>
              <w:t>(decrease) from</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w w:val="91"/>
              </w:rPr>
              <w:t>1st Qtr.</w:t>
            </w:r>
          </w:p>
        </w:tc>
        <w:tc>
          <w:tcPr>
            <w:tcW w:w="15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1st Qtr.</w:t>
            </w: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4th Qtr.</w:t>
            </w:r>
          </w:p>
        </w:tc>
      </w:tr>
      <w:tr>
        <w:trPr>
          <w:trHeight w:val="167"/>
        </w:trPr>
        <w:tc>
          <w:tcPr>
            <w:tcW w:w="7780" w:type="dxa"/>
            <w:vAlign w:val="bottom"/>
          </w:tcPr>
          <w:p>
            <w:pPr>
              <w:spacing w:after="0"/>
              <w:rPr>
                <w:sz w:val="20"/>
                <w:szCs w:val="20"/>
                <w:color w:val="auto"/>
              </w:rPr>
            </w:pPr>
            <w:r>
              <w:rPr>
                <w:rFonts w:ascii="Arial" w:cs="Arial" w:eastAsia="Arial" w:hAnsi="Arial"/>
                <w:sz w:val="14"/>
                <w:szCs w:val="14"/>
                <w:color w:val="auto"/>
              </w:rPr>
              <w:t>Dollars in millions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2008</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2008</w:t>
            </w:r>
          </w:p>
        </w:tc>
        <w:tc>
          <w:tcPr>
            <w:tcW w:w="220" w:type="dxa"/>
            <w:vAlign w:val="bottom"/>
          </w:tcPr>
          <w:p>
            <w:pPr>
              <w:spacing w:after="0"/>
              <w:rPr>
                <w:sz w:val="14"/>
                <w:szCs w:val="14"/>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512</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20,333</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8,554</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r>
      <w:tr>
        <w:trPr>
          <w:trHeight w:val="27"/>
        </w:trPr>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34,726</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Additional sources of funding for the Company include domestic time deposits of $100,000 or more, deposits originated through the Company’s offshore branch office, and brokered deposits. Domestic time deposits over $100,000, excluding brokered certificates of deposit, averaged $3.0 billion during each of the first quarter of 2009 and the last 2008 quarter, compared with $2.6 billion in the first quarter of 2008. Offshore branch deposits, primarily comprised of accounts with balances of $100,000 or more, averaged $2.5 billion, $4.8 billion and $3.0 billion for the quarters ended March 31, 2009, March 31, 2008 and December 31, 2008, respectively. Average brokered time deposits totaled $435 million during the recently completed quarter, compared with $1.8 billion and $948 million in the first and fourth quarters of 2008,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respectively.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$70 million of brokered time deposits. The Company also had brokered NOW and brokered money-market deposit accounts which in the aggregate averaged $894 million during the first quarter of 2009, compared with $102 million in the year-earlier quarter and $465 million in the fourth quarter of 2008. The significant rise in such average brokered deposit balances in the recent quarter as compared with the first and fourth quarters of 2008 was the result of customer demand for such deposits, largely resulting from the uncertain economic markets and the desire of brokerage firms to earn reasonable yields while ensuring that customer deposits are fully insured. Offshore branch deposits and brokered deposits have been used by the Company as an alternative to short-term borrowings. Additional amounts of offshore branch deposits or brokered deposits may be solicited in the future depending on market conditions, including demand by customers and other investors for such deposits, and the cost of funds available from alternative sources at the time.</w:t>
      </w:r>
    </w:p>
    <w:p>
      <w:pPr>
        <w:spacing w:after="0" w:line="59" w:lineRule="exact"/>
        <w:rPr>
          <w:sz w:val="20"/>
          <w:szCs w:val="20"/>
          <w:color w:val="auto"/>
        </w:rPr>
      </w:pPr>
    </w:p>
    <w:p>
      <w:pPr>
        <w:ind w:firstLine="447"/>
        <w:spacing w:after="0" w:line="286" w:lineRule="auto"/>
        <w:rPr>
          <w:sz w:val="20"/>
          <w:szCs w:val="20"/>
          <w:color w:val="auto"/>
        </w:rPr>
      </w:pPr>
      <w:r>
        <w:rPr>
          <w:rFonts w:ascii="Arial" w:cs="Arial" w:eastAsia="Arial" w:hAnsi="Arial"/>
          <w:sz w:val="16"/>
          <w:szCs w:val="16"/>
          <w:color w:val="auto"/>
        </w:rPr>
        <w:t>The Company also uses borrowings from banks, securities dealers, various Federal Home Loan Banks (“FHLBs”), the Federal Reserve and others as sources of funding. The average balance of short-term borrowings was $3.5 billion in the initial 2009 quarter, compared with $7.2 billion in the year-earlier quarter and $5.0 billion in the final 2008 quarter. Beginning in the second quarter of 2008, the Company has actively sought to increase the average maturity of its non-deposit sources of funds and to reduce short-term borrowings. Included in short-term borrowings were unsecured federal funds borrowings, which generally mature daily, that averaged $1.8 billion in the recent quarter, compared with $5.6 billion and $2.9 billion in the first and fourth quarters of 2008, respectively. Overnight federal funds borrowings have historically represented the largest component of short-term borrowings and are obtained from a wide variety of banks and other financial institutions. Also included in short-term borrowings were secured borrowings with the Federal Reserve through their Term Auction Facility (“TAF”). Borrowings under the TAF averaged $467 million, $62 million and $457 million in the three-month periods ended March 31, 2009, March 31, 2008 and December 31, 2008, respectively. There were no outstanding borrowings under the TAF at March 31, 2009. Also included in average short-term borrowings in the first and fourth quarters of 2008 was a $500 million revolving asset-backed structured borrowing secured by automobile loans that was paid off during the final quarter of 2008. All of the available amount of that structured borrowing was in use during the initial 2008 quarter, while the average balance of that borrowing during 2008’s fourth quarter was $353 million. Average short-term borrowings during the recent quarter included $1.0 billion of borrowings from the FHLB of New York, compared with $781 million and $982 million in the first and fourth quarters of 2008, respectively.</w:t>
      </w:r>
    </w:p>
    <w:p>
      <w:pPr>
        <w:spacing w:after="0" w:line="67" w:lineRule="exact"/>
        <w:rPr>
          <w:sz w:val="20"/>
          <w:szCs w:val="20"/>
          <w:color w:val="auto"/>
        </w:rPr>
      </w:pPr>
    </w:p>
    <w:p>
      <w:pPr>
        <w:ind w:right="100" w:firstLine="450"/>
        <w:spacing w:after="0" w:line="270" w:lineRule="auto"/>
        <w:rPr>
          <w:sz w:val="20"/>
          <w:szCs w:val="20"/>
          <w:color w:val="auto"/>
        </w:rPr>
      </w:pPr>
      <w:r>
        <w:rPr>
          <w:rFonts w:ascii="Arial" w:cs="Arial" w:eastAsia="Arial" w:hAnsi="Arial"/>
          <w:sz w:val="17"/>
          <w:szCs w:val="17"/>
          <w:color w:val="auto"/>
        </w:rPr>
        <w:t>Long-term borrowings averaged $11.6 billion in the first quarter of 2009, compared with $10.3 billion in the similar 2008 quarter and $12.1 billion in the fourth quarter of 2008. Included in average long-term borrowings were amounts borrowed from the FHLBs of $6.7 billion in the initial quarter of 2009, and $5.4 billion and $7.1 billion in the first and fourth quarters of 2008, respectively, and subordinated capital notes of $1.9 billion in each of the quarters ended March 31, 2009, March 31, 2008 and December 31, 2008. Junior subordinated debentures associated with trust preferred securities that were included in average long-term borrowings were $1.1 billion in each of the first quarter of 2009 and the fourth quarter of 2008, compared with $981 million in the first quarter of 2008. During January 2008, M&amp;T issued $350 million of Enhanced Trust Preferred Securities, bearing a fixed rate of interest of 8.50% and maturing in 2068. The related junior subordinated debentures are included in long-term borrowings. Information regarding trust preferred securities and the related junior subordinated debentures is provided in note 4 of Notes to Financial Statements. Also included in long-term borrowings were agreements to repurchase securities, which averaged $1.6 billion during each of the first quarters of 2009 and 2008 and the fourth</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quarter of 2008. The agreements have various repurchase dates through 2017, however, the contractual maturities of the underlying securities extend beyond such repurchase dates.</w:t>
      </w:r>
    </w:p>
    <w:p>
      <w:pPr>
        <w:spacing w:after="0" w:line="62"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color w:val="auto"/>
        </w:rPr>
        <w:t>Changes in the composition of the Company’s earning assets and interest-bearing liabilities as described herein, as well as changes in interest rates and spreads, can impact net interest income. Net interest spread, or the difference between the taxable-equivalent yield on earning assets and the rate paid on interest-bearing liabilities, was 2.91% in the first quarter of 2009 and 2.94% in the year-earlier quarter. The yield on earning assets during the recent quarter was 4.65%, down 155 basis points from 6.20% in the first quarter of 2008, while the rate paid on interest-bearing liabilities decreased 152 basis points to 1.74% from 3.26%. In the fourth quarter of 2008, the net interest spread was 3.03%, the yield on earning assets was 5.35% and the rate paid on interest-bearing liabilities was 2.32%. The decline in rates resulted from the Federal Reserve lowering its benchmark overnight federal funds target rate throughout 2008 seven times, such that, at December 31, 2008 and March 31, 2009, the Federal Reserve’s target rate for overnight federal funds was expressed as a range from 0% to .25%. The twelve basis point decline in spread from the fourth quarter of 2008 to the initial 2009 quarter was due largely to the steep decline in market interest rates late in the fourth quarter of 2008 and the quicker repricing of rates earned on loans as compared with rates paid on interest-bearing liabilities.</w:t>
      </w:r>
    </w:p>
    <w:p>
      <w:pPr>
        <w:spacing w:after="0" w:line="70" w:lineRule="exact"/>
        <w:rPr>
          <w:sz w:val="20"/>
          <w:szCs w:val="20"/>
          <w:color w:val="auto"/>
        </w:rPr>
      </w:pPr>
    </w:p>
    <w:p>
      <w:pPr>
        <w:ind w:right="180" w:firstLine="450"/>
        <w:spacing w:after="0" w:line="290" w:lineRule="auto"/>
        <w:rPr>
          <w:sz w:val="20"/>
          <w:szCs w:val="20"/>
          <w:color w:val="auto"/>
        </w:rPr>
      </w:pPr>
      <w:r>
        <w:rPr>
          <w:rFonts w:ascii="Arial" w:cs="Arial" w:eastAsia="Arial" w:hAnsi="Arial"/>
          <w:sz w:val="16"/>
          <w:szCs w:val="16"/>
          <w:color w:val="auto"/>
        </w:rPr>
        <w:t>Net interest-free funds consist largely of noninterest-bearing demand deposits and stockholders’ equity, partially offset by bank owned life insurance and non-earning assets, including goodwill, core deposit and other intangible assets and M&amp;T’s investment in Bayview Lending Group (“BLG”), of which M&amp;T owns 20%. Net interest-free funds averaged $9.5 billion in the first quarter of 2009, compared with $7.7 billion and $8.5 billion in the first and fourth quarters of 2008, respectively. The rise in net interest free funds in the recent quarter as compared with the first and fourth quarters of 2008 was largely the result of higher average balances of noninterest-bearing deposits and stockholders’ equity. Goodwill and core deposit and other intangible assets averaged $3.4 billion during each of the quarters ended March 31, 2009, March 31, 2008 and December 31, 2008. The cash surrender value of bank owned life insurance averaged $1.2 billion in each of those same quarters. Increases in the cash surrender value of bank owned life insurance and benefits received are not included in interest income, but rather are recorded in “other revenues from operations.”</w:t>
      </w:r>
    </w:p>
    <w:p>
      <w:pPr>
        <w:spacing w:after="0" w:line="58" w:lineRule="exact"/>
        <w:rPr>
          <w:sz w:val="20"/>
          <w:szCs w:val="20"/>
          <w:color w:val="auto"/>
        </w:rPr>
      </w:pPr>
    </w:p>
    <w:p>
      <w:pPr>
        <w:ind w:right="160" w:firstLine="447"/>
        <w:spacing w:after="0" w:line="312" w:lineRule="auto"/>
        <w:rPr>
          <w:sz w:val="20"/>
          <w:szCs w:val="20"/>
          <w:color w:val="auto"/>
        </w:rPr>
      </w:pPr>
      <w:r>
        <w:rPr>
          <w:rFonts w:ascii="Arial" w:cs="Arial" w:eastAsia="Arial" w:hAnsi="Arial"/>
          <w:sz w:val="16"/>
          <w:szCs w:val="16"/>
          <w:color w:val="auto"/>
        </w:rPr>
        <w:t>The contribution of net interest-free funds to net interest margin was .28% in the recent quarter, compared with .44% in the year-earlier quarter and .34% in 2008’s final quarter. The decrease in the contribution to net interest margin ascribed to net interest-free funds in the recent quarter as compared with the first and fourth quarters of 2008 resulted largely from the impact of lower interest rates on interest-bearing liabilities used to value such contribution.</w:t>
      </w:r>
    </w:p>
    <w:p>
      <w:pPr>
        <w:spacing w:after="0" w:line="39"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Reflecting the changes to the net interest spread and the contribution of interest-free funds as described herein, the Company’s net interest margin was 3.19% in the first quarter of 2009, compared with 3.38% in the first quarter of 2008 and 3.37% in the fourth quarter of 2008.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63" w:lineRule="exact"/>
        <w:rPr>
          <w:sz w:val="20"/>
          <w:szCs w:val="20"/>
          <w:color w:val="auto"/>
        </w:rPr>
      </w:pPr>
    </w:p>
    <w:p>
      <w:pPr>
        <w:jc w:val="both"/>
        <w:ind w:right="200" w:firstLine="450"/>
        <w:spacing w:after="0" w:line="264"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utilizes interest rate swap agreements to modify the repricing characteristics of certain portions of its portfolios of earning assets and interest-bearing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approximately</w:t>
      </w:r>
    </w:p>
    <w:p>
      <w:pPr>
        <w:spacing w:after="0" w:line="288" w:lineRule="auto"/>
        <w:rPr>
          <w:sz w:val="20"/>
          <w:szCs w:val="20"/>
          <w:color w:val="auto"/>
        </w:rPr>
      </w:pPr>
      <w:r>
        <w:rPr>
          <w:rFonts w:ascii="Arial" w:cs="Arial" w:eastAsia="Arial" w:hAnsi="Arial"/>
          <w:sz w:val="16"/>
          <w:szCs w:val="16"/>
          <w:color w:val="auto"/>
        </w:rPr>
        <w:t>$1.1 billion at each of March 31, 2009 and December 31, 2008, and $1.2 billion as of March 31, 2008. Under the terms of those swap agreements, the Company received payments based on the outstanding notional amount at fixed rates and made payments at variable rates. Those swap agreements were designated as fair value hedges of certain fixed rate time deposits and long-term borrowings. There were no interest rate swap agreements designated as cash flow hedges at those respective dates. During the first quarter of 2008, $1.5 billion of swap agreements designated as cash flow hedges of certain variable rate long-term borrowings were terminated by the Company, resulting in the realization of a loss of $37 million. That loss is being amortized over the original hedge period as an adjustment to interest expense associated with the previously hedged long-term borrowings. Remaining unamortized net losses included in “Accumulated Other Comprehensive Income” were $3 million and $6 million at March 31, 2009 and December 31, 2008, respectively.</w:t>
      </w:r>
    </w:p>
    <w:p>
      <w:pPr>
        <w:spacing w:after="0" w:line="61" w:lineRule="exact"/>
        <w:rPr>
          <w:sz w:val="20"/>
          <w:szCs w:val="20"/>
          <w:color w:val="auto"/>
        </w:rPr>
      </w:pPr>
    </w:p>
    <w:p>
      <w:pPr>
        <w:ind w:right="20" w:firstLine="450"/>
        <w:spacing w:after="0" w:line="286"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March 31, 2009 and 2008 and the quarter ended December 31, 2008 were not material to the Company’s results of operations. The estimated aggregate fair value of interest rate swap agreements designated as fair value hedges represented gains of approximately $125 million at March 31, 2009, $41 million at March 31, 2008 and $146 million at December 31, 2008. The significant rise in fair value of those interest rate swap agreements at the two most recent quarter-ends as compared with March 31, 2008 resulted from sharply lower interest rates at those dates. The fair values of such swap agreements were substantially offset by changes in the fair values of the hedged items. The changes in the fair values of the interest rate swap agreements and the hedged items result from the effects of changing interest rates. The Company’s credit exposure with respect to the estimated fair value as of March 31, 2009 of interest rate swap agreements used for managing interest rate risk has been substantially mitigated through master netting arrangements with trading account interest rate contracts with the same counterparties as well as counterparty postings of $68 million of collateral with the Company.</w:t>
      </w:r>
    </w:p>
    <w:p>
      <w:pPr>
        <w:spacing w:after="0" w:line="64" w:lineRule="exact"/>
        <w:rPr>
          <w:sz w:val="20"/>
          <w:szCs w:val="20"/>
          <w:color w:val="auto"/>
        </w:rPr>
      </w:pPr>
    </w:p>
    <w:p>
      <w:pPr>
        <w:ind w:right="80" w:firstLine="447"/>
        <w:spacing w:after="0" w:line="302" w:lineRule="auto"/>
        <w:rPr>
          <w:sz w:val="20"/>
          <w:szCs w:val="20"/>
          <w:color w:val="auto"/>
        </w:rPr>
      </w:pPr>
      <w:r>
        <w:rPr>
          <w:rFonts w:ascii="Arial" w:cs="Arial" w:eastAsia="Arial" w:hAnsi="Arial"/>
          <w:sz w:val="16"/>
          <w:szCs w:val="16"/>
          <w:color w:val="auto"/>
        </w:rPr>
        <w:t>The weighted-average rates to be received and paid under interest rate swap agreements currently in effect were 6.25% and 3.03%, respectively, at March 31, 2009. The average notional amounts of interest rate swap agreements entered into for interest rate risk management purposes, the related effect on net interest income and margin, and the weighted-average rates paid or received on those swap agreements are presented in the accompanying table. Additional information about the Company’s use of swap agreements and other derivatives is included in note 8 of Notes to Financial Statements.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96"/>
              </w:rPr>
              <w:t>2008</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820"/>
              <w:spacing w:after="0" w:line="142" w:lineRule="exact"/>
              <w:rPr>
                <w:sz w:val="20"/>
                <w:szCs w:val="20"/>
                <w:color w:val="auto"/>
              </w:rPr>
            </w:pPr>
            <w:r>
              <w:rPr>
                <w:rFonts w:ascii="Arial" w:cs="Arial" w:eastAsia="Arial" w:hAnsi="Arial"/>
                <w:sz w:val="14"/>
                <w:szCs w:val="14"/>
                <w:color w:val="auto"/>
              </w:rPr>
              <w:t>Amount</w:t>
            </w:r>
          </w:p>
        </w:tc>
        <w:tc>
          <w:tcPr>
            <w:tcW w:w="680" w:type="dxa"/>
            <w:vAlign w:val="bottom"/>
          </w:tcPr>
          <w:p>
            <w:pPr>
              <w:ind w:left="180"/>
              <w:spacing w:after="0" w:line="142" w:lineRule="exact"/>
              <w:rPr>
                <w:sz w:val="20"/>
                <w:szCs w:val="20"/>
                <w:color w:val="auto"/>
              </w:rPr>
            </w:pPr>
            <w:r>
              <w:rPr>
                <w:rFonts w:ascii="Arial" w:cs="Arial" w:eastAsia="Arial" w:hAnsi="Arial"/>
                <w:sz w:val="14"/>
                <w:szCs w:val="14"/>
                <w:color w:val="auto"/>
              </w:rPr>
              <w:t>Rate*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680" w:type="dxa"/>
            <w:vAlign w:val="bottom"/>
          </w:tcPr>
          <w:p>
            <w:pPr>
              <w:jc w:val="right"/>
              <w:ind w:right="99"/>
              <w:spacing w:after="0" w:line="142" w:lineRule="exact"/>
              <w:rPr>
                <w:sz w:val="20"/>
                <w:szCs w:val="20"/>
                <w:color w:val="auto"/>
              </w:rPr>
            </w:pPr>
            <w:r>
              <w:rPr>
                <w:rFonts w:ascii="Arial" w:cs="Arial" w:eastAsia="Arial" w:hAnsi="Arial"/>
                <w:sz w:val="14"/>
                <w:szCs w:val="14"/>
                <w:color w:val="auto"/>
              </w:rPr>
              <w:t>Rate*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(7,415)</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7,415</w:t>
            </w:r>
          </w:p>
        </w:tc>
        <w:tc>
          <w:tcPr>
            <w:tcW w:w="64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1,107,241</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1,716,307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Rate received **</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6.34%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Rate paid **</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r>
        <w:rPr>
          <w:rFonts w:ascii="Arial" w:cs="Arial" w:eastAsia="Arial" w:hAnsi="Arial"/>
          <w:sz w:val="18"/>
          <w:szCs w:val="18"/>
          <w:color w:val="auto"/>
        </w:rPr>
        <w:t>.</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11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 As an additional source of funding and to enhance regulatory capital ratios, during January 2008, M&amp;T Capital Trust IV issued $350 million of Enhanced Trust Preferred Securities which qualify for inclusion in the Company’s Tier 1 Capital as defined by Federal regulators.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a wide group of banks and other financial institutions. Short-term federal funds borrowings were $1.4 billion at March 31, 2009, $4.1 billion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2008 and $809 million at December 31, 2008. In general, those borrowings were unsecured and matured on the next business day. As already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noted, offshore branch deposits and brokered certificates of deposit have been used by the Company as an alternative to short-term borrowings. Offshore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branch deposits also generally mature on the next business day and totaled $2.2 billion, $5.7 billion and $4.0 billion at March 31, 2009, March 31, 2008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2008, respectively. Outstanding brokered time deposits at March 31, 2009, March 31, 2008 and December 31, 2008 were $262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 billion and $487 million, respectively. At March 31, 2009, the weighted-average remaining term to maturity of brokered time deposits was 21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of these brokered time deposits have provisions that allow for early redemption.</w:t>
      </w:r>
    </w:p>
    <w:p>
      <w:pPr>
        <w:spacing w:after="0" w:line="103" w:lineRule="exact"/>
        <w:rPr>
          <w:sz w:val="20"/>
          <w:szCs w:val="20"/>
          <w:color w:val="auto"/>
        </w:rPr>
      </w:pPr>
    </w:p>
    <w:p>
      <w:pPr>
        <w:ind w:right="20" w:firstLine="447"/>
        <w:spacing w:after="0" w:line="276" w:lineRule="auto"/>
        <w:rPr>
          <w:sz w:val="20"/>
          <w:szCs w:val="20"/>
          <w:color w:val="auto"/>
        </w:rPr>
      </w:pPr>
      <w:r>
        <w:rPr>
          <w:rFonts w:ascii="Arial" w:cs="Arial" w:eastAsia="Arial" w:hAnsi="Arial"/>
          <w:sz w:val="17"/>
          <w:szCs w:val="17"/>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include maturities of investment securities and other earning assets, repayments of loans and investment securities, and cash generated from operations, such as fees collected for services.</w:t>
      </w:r>
    </w:p>
    <w:p>
      <w:pPr>
        <w:spacing w:after="0" w:line="62"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$31 million at March 31, 2009, $9 million at March 31, 2008 and $29 million at December 31, 2008. The total amount of VRDBs outstanding backed by M&amp;T Bank letters of credit was $2.0 billion at March 31, 2009, compared with $1.7 billion at March 31, 2008 and $1.9 billion at December 31, 2008. M&amp;T Bank also serves as remarketing agent for most of those bonds.</w:t>
      </w:r>
    </w:p>
    <w:p>
      <w:pPr>
        <w:spacing w:after="0" w:line="70"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information about these commitments is provided in note 10 of Notes to Financial Statements.</w:t>
      </w:r>
    </w:p>
    <w:p>
      <w:pPr>
        <w:spacing w:after="0" w:line="85" w:lineRule="exact"/>
        <w:rPr>
          <w:sz w:val="20"/>
          <w:szCs w:val="20"/>
          <w:color w:val="auto"/>
        </w:rPr>
      </w:pPr>
    </w:p>
    <w:p>
      <w:pPr>
        <w:ind w:right="40" w:firstLine="450"/>
        <w:spacing w:after="0" w:line="271" w:lineRule="auto"/>
        <w:rPr>
          <w:sz w:val="20"/>
          <w:szCs w:val="20"/>
          <w:color w:val="auto"/>
        </w:rPr>
      </w:pPr>
      <w:r>
        <w:rPr>
          <w:rFonts w:ascii="Arial" w:cs="Arial" w:eastAsia="Arial" w:hAnsi="Arial"/>
          <w:sz w:val="17"/>
          <w:szCs w:val="17"/>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generally limited by the amount of earnings of the banking subsidiary in the current year and the two preceding years. For purposes of the test, at March 31, 2009 approximately $800 million was available for payment of dividends to M&amp;T from banking subsidiaries without prior regulatory approval. These historic sources of cash flow have been augmented in the past by the issuance of trust preferred securities, including $350 million of Enhanced Trust Preferred Securities issued by M&amp;T in January 2008, and by the issuance of senior notes payable. Information regarding trust preferred securities and the related junior subordinated debentures is included in note 4 of Notes to Financial Statements. M&amp;T also maintains a $30 million line of credit with an unaffiliated commercial bank, of which there were no borrowings outstanding at March 31, 2009 or at December 31, 2008.</w:t>
      </w:r>
    </w:p>
    <w:p>
      <w:pPr>
        <w:spacing w:after="0" w:line="71"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9"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70" w:lineRule="exact"/>
        <w:rPr>
          <w:sz w:val="20"/>
          <w:szCs w:val="20"/>
          <w:color w:val="auto"/>
        </w:rPr>
      </w:pPr>
    </w:p>
    <w:p>
      <w:pPr>
        <w:ind w:right="20" w:firstLine="447"/>
        <w:spacing w:after="0" w:line="269"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2" w:lineRule="exact"/>
        <w:rPr>
          <w:sz w:val="20"/>
          <w:szCs w:val="20"/>
          <w:color w:val="auto"/>
        </w:rPr>
      </w:pPr>
    </w:p>
    <w:p>
      <w:pPr>
        <w:ind w:right="80" w:firstLine="447"/>
        <w:spacing w:after="0" w:line="342" w:lineRule="auto"/>
        <w:rPr>
          <w:sz w:val="20"/>
          <w:szCs w:val="20"/>
          <w:color w:val="auto"/>
        </w:rPr>
      </w:pPr>
      <w:r>
        <w:rPr>
          <w:rFonts w:ascii="Arial" w:cs="Arial" w:eastAsia="Arial" w:hAnsi="Arial"/>
          <w:sz w:val="16"/>
          <w:szCs w:val="16"/>
          <w:color w:val="auto"/>
        </w:rPr>
        <w:t>The accompanying table as of March 31, 2009 and December 31, 2008 displays the estimated impact on net interest income from non-trading financial instruments in the base scenario described above resulting from parallel changes in interest rates across repricing categories during the first modeling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80" w:type="dxa"/>
            <w:vAlign w:val="bottom"/>
            <w:gridSpan w:val="3"/>
          </w:tcPr>
          <w:p>
            <w:pPr>
              <w:jc w:val="right"/>
              <w:ind w:right="759"/>
              <w:spacing w:after="0"/>
              <w:rPr>
                <w:sz w:val="20"/>
                <w:szCs w:val="20"/>
                <w:color w:val="auto"/>
              </w:rPr>
            </w:pPr>
            <w:r>
              <w:rPr>
                <w:rFonts w:ascii="Arial" w:cs="Arial" w:eastAsia="Arial" w:hAnsi="Arial"/>
                <w:sz w:val="14"/>
                <w:szCs w:val="14"/>
                <w:color w:val="auto"/>
              </w:rPr>
              <w:t>Calculated increase(decrease)</w:t>
            </w:r>
          </w:p>
        </w:tc>
      </w:tr>
      <w:tr>
        <w:trPr>
          <w:trHeight w:val="149"/>
        </w:trPr>
        <w:tc>
          <w:tcPr>
            <w:tcW w:w="7540" w:type="dxa"/>
            <w:vAlign w:val="bottom"/>
            <w:gridSpan w:val="2"/>
          </w:tcPr>
          <w:p>
            <w:pPr>
              <w:spacing w:after="0" w:line="149" w:lineRule="exact"/>
              <w:rPr>
                <w:sz w:val="20"/>
                <w:szCs w:val="20"/>
                <w:color w:val="auto"/>
              </w:rPr>
            </w:pPr>
            <w:r>
              <w:rPr>
                <w:rFonts w:ascii="Arial" w:cs="Arial" w:eastAsia="Arial" w:hAnsi="Arial"/>
                <w:sz w:val="14"/>
                <w:szCs w:val="14"/>
                <w:color w:val="auto"/>
              </w:rPr>
              <w:t>Dollars in thousands</w:t>
            </w:r>
          </w:p>
        </w:tc>
        <w:tc>
          <w:tcPr>
            <w:tcW w:w="500" w:type="dxa"/>
            <w:vAlign w:val="bottom"/>
          </w:tcPr>
          <w:p>
            <w:pPr>
              <w:spacing w:after="0"/>
              <w:rPr>
                <w:sz w:val="12"/>
                <w:szCs w:val="12"/>
                <w:color w:val="auto"/>
              </w:rPr>
            </w:pPr>
          </w:p>
        </w:tc>
        <w:tc>
          <w:tcPr>
            <w:tcW w:w="3380" w:type="dxa"/>
            <w:vAlign w:val="bottom"/>
            <w:gridSpan w:val="3"/>
          </w:tcPr>
          <w:p>
            <w:pPr>
              <w:jc w:val="right"/>
              <w:ind w:right="699"/>
              <w:spacing w:after="0" w:line="149" w:lineRule="exact"/>
              <w:rPr>
                <w:sz w:val="20"/>
                <w:szCs w:val="20"/>
                <w:color w:val="auto"/>
              </w:rPr>
            </w:pPr>
            <w:r>
              <w:rPr>
                <w:rFonts w:ascii="Arial" w:cs="Arial" w:eastAsia="Arial" w:hAnsi="Arial"/>
                <w:sz w:val="14"/>
                <w:szCs w:val="14"/>
                <w:color w:val="auto"/>
              </w:rPr>
              <w:t>in projected net interest income</w:t>
            </w:r>
          </w:p>
        </w:tc>
      </w:tr>
      <w:tr>
        <w:trPr>
          <w:trHeight w:val="167"/>
        </w:trPr>
        <w:tc>
          <w:tcPr>
            <w:tcW w:w="7540" w:type="dxa"/>
            <w:vAlign w:val="bottom"/>
            <w:gridSpan w:val="2"/>
          </w:tcPr>
          <w:p>
            <w:pPr>
              <w:spacing w:after="0"/>
              <w:rPr>
                <w:sz w:val="20"/>
                <w:szCs w:val="20"/>
                <w:color w:val="auto"/>
              </w:rPr>
            </w:pPr>
            <w:r>
              <w:rPr>
                <w:rFonts w:ascii="Arial" w:cs="Arial" w:eastAsia="Arial" w:hAnsi="Arial"/>
                <w:sz w:val="14"/>
                <w:szCs w:val="14"/>
                <w:color w:val="auto"/>
              </w:rPr>
              <w:t>Changes in interest rates</w:t>
            </w:r>
          </w:p>
        </w:tc>
        <w:tc>
          <w:tcPr>
            <w:tcW w:w="500" w:type="dxa"/>
            <w:vAlign w:val="bottom"/>
          </w:tcPr>
          <w:p>
            <w:pPr>
              <w:spacing w:after="0"/>
              <w:rPr>
                <w:sz w:val="14"/>
                <w:szCs w:val="14"/>
                <w:color w:val="auto"/>
              </w:rPr>
            </w:pPr>
          </w:p>
        </w:tc>
        <w:tc>
          <w:tcPr>
            <w:tcW w:w="1340" w:type="dxa"/>
            <w:vAlign w:val="bottom"/>
          </w:tcPr>
          <w:p>
            <w:pPr>
              <w:jc w:val="right"/>
              <w:ind w:right="144"/>
              <w:spacing w:after="0"/>
              <w:rPr>
                <w:sz w:val="20"/>
                <w:szCs w:val="20"/>
                <w:color w:val="auto"/>
              </w:rPr>
            </w:pPr>
            <w:r>
              <w:rPr>
                <w:rFonts w:ascii="Arial" w:cs="Arial" w:eastAsia="Arial" w:hAnsi="Arial"/>
                <w:sz w:val="14"/>
                <w:szCs w:val="14"/>
                <w:color w:val="auto"/>
              </w:rPr>
              <w:t>March 31, 2009</w:t>
            </w:r>
          </w:p>
        </w:tc>
        <w:tc>
          <w:tcPr>
            <w:tcW w:w="500" w:type="dxa"/>
            <w:vAlign w:val="bottom"/>
          </w:tcPr>
          <w:p>
            <w:pPr>
              <w:spacing w:after="0"/>
              <w:rPr>
                <w:sz w:val="14"/>
                <w:szCs w:val="14"/>
                <w:color w:val="auto"/>
              </w:rPr>
            </w:pPr>
          </w:p>
        </w:tc>
        <w:tc>
          <w:tcPr>
            <w:tcW w:w="1540" w:type="dxa"/>
            <w:vAlign w:val="bottom"/>
          </w:tcPr>
          <w:p>
            <w:pPr>
              <w:jc w:val="right"/>
              <w:ind w:right="119"/>
              <w:spacing w:after="0"/>
              <w:rPr>
                <w:sz w:val="20"/>
                <w:szCs w:val="20"/>
                <w:color w:val="auto"/>
              </w:rPr>
            </w:pPr>
            <w:r>
              <w:rPr>
                <w:rFonts w:ascii="Arial" w:cs="Arial" w:eastAsia="Arial" w:hAnsi="Arial"/>
                <w:sz w:val="14"/>
                <w:szCs w:val="14"/>
                <w:color w:val="auto"/>
              </w:rPr>
              <w:t>December 31, 2008</w:t>
            </w: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50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8"/>
                <w:szCs w:val="18"/>
                <w:color w:val="auto"/>
              </w:rPr>
              <w:t>$ 31,056</w:t>
            </w:r>
          </w:p>
        </w:tc>
        <w:tc>
          <w:tcPr>
            <w:tcW w:w="5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33,516</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+100 basis points</w:t>
            </w:r>
          </w:p>
        </w:tc>
        <w:tc>
          <w:tcPr>
            <w:tcW w:w="1840" w:type="dxa"/>
            <w:vAlign w:val="bottom"/>
            <w:gridSpan w:val="2"/>
          </w:tcPr>
          <w:p>
            <w:pPr>
              <w:jc w:val="right"/>
              <w:ind w:right="324"/>
              <w:spacing w:after="0"/>
              <w:rPr>
                <w:sz w:val="20"/>
                <w:szCs w:val="20"/>
                <w:color w:val="auto"/>
              </w:rPr>
            </w:pPr>
            <w:r>
              <w:rPr>
                <w:rFonts w:ascii="Arial" w:cs="Arial" w:eastAsia="Arial" w:hAnsi="Arial"/>
                <w:sz w:val="18"/>
                <w:szCs w:val="18"/>
                <w:color w:val="auto"/>
              </w:rPr>
              <w:t>16,168</w:t>
            </w:r>
          </w:p>
        </w:tc>
        <w:tc>
          <w:tcPr>
            <w:tcW w:w="2040" w:type="dxa"/>
            <w:vAlign w:val="bottom"/>
            <w:gridSpan w:val="2"/>
          </w:tcPr>
          <w:p>
            <w:pPr>
              <w:jc w:val="right"/>
              <w:ind w:right="399"/>
              <w:spacing w:after="0"/>
              <w:rPr>
                <w:sz w:val="20"/>
                <w:szCs w:val="20"/>
                <w:color w:val="auto"/>
              </w:rPr>
            </w:pPr>
            <w:r>
              <w:rPr>
                <w:rFonts w:ascii="Arial" w:cs="Arial" w:eastAsia="Arial" w:hAnsi="Arial"/>
                <w:sz w:val="18"/>
                <w:szCs w:val="18"/>
                <w:color w:val="auto"/>
              </w:rPr>
              <w:t>9,726</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18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(34,910)</w:t>
            </w:r>
          </w:p>
        </w:tc>
        <w:tc>
          <w:tcPr>
            <w:tcW w:w="204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(33,281)</w:t>
            </w: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-200 basis points</w:t>
            </w:r>
          </w:p>
        </w:tc>
        <w:tc>
          <w:tcPr>
            <w:tcW w:w="1840" w:type="dxa"/>
            <w:vAlign w:val="bottom"/>
            <w:gridSpan w:val="2"/>
          </w:tcPr>
          <w:p>
            <w:pPr>
              <w:jc w:val="right"/>
              <w:ind w:right="264"/>
              <w:spacing w:after="0"/>
              <w:rPr>
                <w:sz w:val="20"/>
                <w:szCs w:val="20"/>
                <w:color w:val="auto"/>
              </w:rPr>
            </w:pPr>
            <w:r>
              <w:rPr>
                <w:rFonts w:ascii="Arial" w:cs="Arial" w:eastAsia="Arial" w:hAnsi="Arial"/>
                <w:sz w:val="18"/>
                <w:szCs w:val="18"/>
                <w:color w:val="auto"/>
              </w:rPr>
              <w:t>(31,707)</w:t>
            </w:r>
          </w:p>
        </w:tc>
        <w:tc>
          <w:tcPr>
            <w:tcW w:w="2040" w:type="dxa"/>
            <w:vAlign w:val="bottom"/>
            <w:gridSpan w:val="2"/>
          </w:tcPr>
          <w:p>
            <w:pPr>
              <w:jc w:val="right"/>
              <w:ind w:right="339"/>
              <w:spacing w:after="0"/>
              <w:rPr>
                <w:sz w:val="20"/>
                <w:szCs w:val="20"/>
                <w:color w:val="auto"/>
              </w:rPr>
            </w:pPr>
            <w:r>
              <w:rPr>
                <w:rFonts w:ascii="Arial" w:cs="Arial" w:eastAsia="Arial" w:hAnsi="Arial"/>
                <w:sz w:val="18"/>
                <w:szCs w:val="18"/>
                <w:color w:val="auto"/>
              </w:rPr>
              <w:t>(34,177)</w:t>
            </w:r>
          </w:p>
        </w:tc>
      </w:tr>
    </w:tbl>
    <w:p>
      <w:pPr>
        <w:spacing w:after="0" w:line="79" w:lineRule="exact"/>
        <w:rPr>
          <w:sz w:val="20"/>
          <w:szCs w:val="20"/>
          <w:color w:val="auto"/>
        </w:rPr>
      </w:pPr>
    </w:p>
    <w:p>
      <w:pPr>
        <w:ind w:right="60" w:firstLine="447"/>
        <w:spacing w:after="0" w:line="257" w:lineRule="auto"/>
        <w:rPr>
          <w:sz w:val="20"/>
          <w:szCs w:val="20"/>
          <w:color w:val="auto"/>
        </w:rPr>
      </w:pPr>
      <w:r>
        <w:rPr>
          <w:rFonts w:ascii="Arial" w:cs="Arial" w:eastAsia="Arial" w:hAnsi="Arial"/>
          <w:sz w:val="18"/>
          <w:szCs w:val="18"/>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85" w:lineRule="exact"/>
        <w:rPr>
          <w:sz w:val="20"/>
          <w:szCs w:val="20"/>
          <w:color w:val="auto"/>
        </w:rPr>
      </w:pPr>
    </w:p>
    <w:p>
      <w:pPr>
        <w:ind w:right="60" w:firstLine="450"/>
        <w:spacing w:after="0" w:line="312" w:lineRule="auto"/>
        <w:rPr>
          <w:sz w:val="20"/>
          <w:szCs w:val="20"/>
          <w:color w:val="auto"/>
        </w:rPr>
      </w:pPr>
      <w:r>
        <w:rPr>
          <w:rFonts w:ascii="Arial" w:cs="Arial" w:eastAsia="Arial" w:hAnsi="Arial"/>
          <w:sz w:val="16"/>
          <w:szCs w:val="16"/>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headings “Capital” and “Recent Accounting Developments” and in notes 3 and 9 of Notes to Financial Statements.</w:t>
      </w:r>
    </w:p>
    <w:p>
      <w:pPr>
        <w:spacing w:after="0" w:line="39" w:lineRule="exact"/>
        <w:rPr>
          <w:sz w:val="20"/>
          <w:szCs w:val="20"/>
          <w:color w:val="auto"/>
        </w:rPr>
      </w:pPr>
    </w:p>
    <w:p>
      <w:pPr>
        <w:ind w:right="80" w:firstLine="447"/>
        <w:spacing w:after="0" w:line="270" w:lineRule="auto"/>
        <w:rPr>
          <w:sz w:val="20"/>
          <w:szCs w:val="20"/>
          <w:color w:val="auto"/>
        </w:rPr>
      </w:pPr>
      <w:r>
        <w:rPr>
          <w:rFonts w:ascii="Arial" w:cs="Arial" w:eastAsia="Arial" w:hAnsi="Arial"/>
          <w:sz w:val="17"/>
          <w:szCs w:val="17"/>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notional amounts of interest rate contracts entered into for trading purposes aggregated $15.0 billion at March 31, 2009,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$12.8 billion at March 31, 2008 and $14.6 billion at December 31, 2008. The notional amounts of foreign currency and other option and futures contracts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entered into for trading purposes totaled $511 million at March 31, 2009, compared with $902 million and $713 million at March 31, 2008 and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2008, respectively. Although the notional amounts of these trading contracts are not recorded in the consolidated balance sheet, the fair values of all financial</w:t>
      </w:r>
    </w:p>
    <w:p>
      <w:pPr>
        <w:spacing w:after="0" w:line="3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instruments used for trading activities are recorded in the consolidated balance sheet. The fair values of all trading account assets and liabilities were $592 million and $495 million, respectively, at March 31, 2009, $372 million and $290 million, respectively, at March 31, 2008, and $618 million and $521 million, respectively, at December 31, 2008. The significant rise in the fair value of both trading assets and trading liabilities at the two most recent quarter-ends as compared with March 31, 2008 was largely due to the impact of sharply lower interest rates on the fair values of interest rate swap agreements held in the trading portfolio. Included in trading account assets were assets related to deferred compensation plans totaling $29 million and $43 million at March 31, 2009 and 2008, respectively, and $33 million at December 31, 2008. Changes in the fair value of such assets are recorded as “trading account and foreign exchange gains” in the consolidated statement of income. Included in “other liabilities” in the consolidated balance sheet at March 31, 2009 and March 31, 2008 were $34 million and $47 million, respectively, of liabilities related to deferred compensation plans, compared with $38 million at December 31, 2008. Changes in the balances of such liabilities due to the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valuation of allocated investment options to which the liabilities are indexed are recorded in “other costs of operations” in the consolidated statement of income.</w:t>
      </w:r>
    </w:p>
    <w:p>
      <w:pPr>
        <w:spacing w:after="0" w:line="62" w:lineRule="exact"/>
        <w:rPr>
          <w:sz w:val="20"/>
          <w:szCs w:val="20"/>
          <w:color w:val="auto"/>
        </w:rPr>
      </w:pPr>
    </w:p>
    <w:p>
      <w:pPr>
        <w:ind w:right="240" w:firstLine="450"/>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about the Company’s use of derivative financial instruments in its trading activities is included in note 8 of Notes to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first quarter of 2009 was $158 million, compared with $60 million in the year-earlier quarter and $151 million in the fourth quarter of 2008. The higher levels of the provision in the two most recent quarters as compared with the first quarter of 2008 reflect a pronounced downturn in the residential real estate market and the deteriorating state of the U.S. economy, which officially has been in recession since late-2007. Declining real estate valuations and higher levels of delinquencies and charge-offs since 2008’s first quarter significantly affected the quality of the Company’s residential real estate loan portfolio. Specifically, the Company’s Alt-A residential real estate loan portfolio and its residential real estate builder and developer loan portfolio experienced the majority of the credit problems related to the turmoil in the residential real estate market place.</w:t>
      </w:r>
    </w:p>
    <w:p>
      <w:pPr>
        <w:spacing w:after="0" w:line="71" w:lineRule="exact"/>
        <w:rPr>
          <w:sz w:val="20"/>
          <w:szCs w:val="20"/>
          <w:color w:val="auto"/>
        </w:rPr>
      </w:pPr>
    </w:p>
    <w:p>
      <w:pPr>
        <w:jc w:val="both"/>
        <w:ind w:right="120" w:firstLine="450"/>
        <w:spacing w:after="0" w:line="312" w:lineRule="auto"/>
        <w:rPr>
          <w:sz w:val="20"/>
          <w:szCs w:val="20"/>
          <w:color w:val="auto"/>
        </w:rPr>
      </w:pPr>
      <w:r>
        <w:rPr>
          <w:rFonts w:ascii="Arial" w:cs="Arial" w:eastAsia="Arial" w:hAnsi="Arial"/>
          <w:sz w:val="16"/>
          <w:szCs w:val="16"/>
          <w:color w:val="auto"/>
        </w:rPr>
        <w:t>Net loan charge-offs were $100 million in the first quarter of 2009, compared with $46 million and $144 million during the three-month periods ended March 31, 2008 and December 31, 2008, respectively. Net charge-offs as an annualized percentage of average loans and leases were .83% in the first quarter of 2009, compared with .38% and 1.17% in the first and fourth quarters of 2008, respectively. A summary of net charge-offs by loan type follows: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Arial" w:cs="Arial" w:eastAsia="Arial" w:hAnsi="Arial"/>
                <w:sz w:val="14"/>
                <w:szCs w:val="14"/>
                <w:color w:val="auto"/>
              </w:rPr>
              <w:t>First Quarter</w:t>
            </w:r>
          </w:p>
        </w:tc>
        <w:tc>
          <w:tcPr>
            <w:tcW w:w="1400" w:type="dxa"/>
            <w:vAlign w:val="bottom"/>
            <w:gridSpan w:val="3"/>
          </w:tcPr>
          <w:p>
            <w:pPr>
              <w:ind w:left="340"/>
              <w:spacing w:after="0"/>
              <w:rPr>
                <w:sz w:val="20"/>
                <w:szCs w:val="20"/>
                <w:color w:val="auto"/>
              </w:rPr>
            </w:pPr>
            <w:r>
              <w:rPr>
                <w:rFonts w:ascii="Arial" w:cs="Arial" w:eastAsia="Arial" w:hAnsi="Arial"/>
                <w:sz w:val="14"/>
                <w:szCs w:val="14"/>
                <w:color w:val="auto"/>
              </w:rPr>
              <w:t>First Quarter</w:t>
            </w:r>
          </w:p>
        </w:tc>
        <w:tc>
          <w:tcPr>
            <w:tcW w:w="1280" w:type="dxa"/>
            <w:vAlign w:val="bottom"/>
            <w:gridSpan w:val="3"/>
          </w:tcPr>
          <w:p>
            <w:pPr>
              <w:ind w:left="320"/>
              <w:spacing w:after="0"/>
              <w:rPr>
                <w:sz w:val="20"/>
                <w:szCs w:val="20"/>
                <w:color w:val="auto"/>
              </w:rPr>
            </w:pPr>
            <w:r>
              <w:rPr>
                <w:rFonts w:ascii="Arial" w:cs="Arial" w:eastAsia="Arial" w:hAnsi="Arial"/>
                <w:sz w:val="14"/>
                <w:szCs w:val="14"/>
                <w:color w:val="auto"/>
              </w:rPr>
              <w:t>Fourth Quarter</w:t>
            </w:r>
          </w:p>
        </w:tc>
      </w:tr>
      <w:tr>
        <w:trPr>
          <w:trHeight w:val="167"/>
        </w:trPr>
        <w:tc>
          <w:tcPr>
            <w:tcW w:w="768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22,301</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4,377</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60,532</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22,399</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4,380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28,396</w:t>
            </w:r>
          </w:p>
        </w:tc>
      </w:tr>
      <w:tr>
        <w:trPr>
          <w:trHeight w:val="216"/>
        </w:trPr>
        <w:tc>
          <w:tcPr>
            <w:tcW w:w="768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w w:val="87"/>
              </w:rPr>
              <w:t>19,702</w:t>
            </w:r>
          </w:p>
        </w:tc>
        <w:tc>
          <w:tcPr>
            <w:tcW w:w="32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15,097</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19,271</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35,531</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21,961</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35,580</w:t>
            </w:r>
          </w:p>
        </w:tc>
      </w:tr>
      <w:tr>
        <w:trPr>
          <w:trHeight w:val="223"/>
        </w:trPr>
        <w:tc>
          <w:tcPr>
            <w:tcW w:w="7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99,933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143,779</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80" w:firstLine="450"/>
        <w:spacing w:after="0" w:line="279" w:lineRule="auto"/>
        <w:rPr>
          <w:sz w:val="20"/>
          <w:szCs w:val="20"/>
          <w:color w:val="auto"/>
        </w:rPr>
      </w:pPr>
      <w:r>
        <w:rPr>
          <w:rFonts w:ascii="Arial" w:cs="Arial" w:eastAsia="Arial" w:hAnsi="Arial"/>
          <w:sz w:val="17"/>
          <w:szCs w:val="17"/>
          <w:color w:val="auto"/>
        </w:rPr>
        <w:t>Commercial loan net charge-offs included charge-offs of loans to automobile dealers of $9 million and $11 million during the first quarter of 2009 and the fourth quarter of 2008, respectively, compared with net recoveries of charged-off automobile dealer loans of $1 million in 2008’s first quarter. Included in net charge-offs of commercial real estate loans were charge-offs of loans to residential homebuilders and developers of $22 million, $3 million and $25 million for the quarters ended March 31, 2009, March 31, 2008 and December 31, 2008, respectively.</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Reflected in net charge-offs of residential real estate loans were net charge-offs of Alt-A first mortgage loans of $13 million in the initial 2009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quarter, compared with $12 million and $10 million in the first and fourth quarters of 2008, respectively. Included in net charge-offs of consumer loans and leases were net charge-offs during the quarters ended March 31, 2009, March 31, 2008 and December 31, 2008, respectively, of: indirect automobile loans of $17 million, $10 million and $18 million; recreational vehicle loans of $7 million, $3 million and $7 million; and home equity loans and lines of credit, including Alt-A second lien loans, of $9 million, $6 million and $8 million. Including both first and second lien mortgages, net charge-offs of Alt-A loans totaled $16 million for each of the quarters ended March 31, 2009 and 2008, respectively, compared with $12 million in the final quarter of 2008.</w:t>
      </w:r>
    </w:p>
    <w:p>
      <w:pPr>
        <w:spacing w:after="0" w:line="50" w:lineRule="exact"/>
        <w:rPr>
          <w:sz w:val="20"/>
          <w:szCs w:val="20"/>
          <w:color w:val="auto"/>
        </w:rPr>
      </w:pPr>
    </w:p>
    <w:p>
      <w:pPr>
        <w:ind w:right="60" w:firstLine="450"/>
        <w:spacing w:after="0" w:line="270" w:lineRule="auto"/>
        <w:rPr>
          <w:sz w:val="20"/>
          <w:szCs w:val="20"/>
          <w:color w:val="auto"/>
        </w:rPr>
      </w:pPr>
      <w:r>
        <w:rPr>
          <w:rFonts w:ascii="Arial" w:cs="Arial" w:eastAsia="Arial" w:hAnsi="Arial"/>
          <w:sz w:val="17"/>
          <w:szCs w:val="17"/>
          <w:color w:val="auto"/>
        </w:rPr>
        <w:t>Nonaccrual loans totaled $1.0 billion or 2.05% of total loans and leases outstanding at March 31, 2009, compared with $477 million or .97% a year earlier and $755 million or 1.54% at December 31, 2008. Major factors contributing to the rise in nonaccrual loans from March 31, 2008 were a $100 million increase in residential real estate loans, a $176 million rise in loans to residential builders and developers, and a $151 million increase in commercial loans and leases, including the first quarter 2009 addition to this category of a $95 million unsecured commercial loan to a single customer in the commercial real estate sector. The continuing turbulence in the residential real estate market place has resulted in deteriorating real estate values and increased delinquencies, both for loans to consumers and loans to builders and developers of residential real estate. Additionally, the recessionary state of the U.S. economy has resulted in generally higher levels of nonaccrual loans. The rise in nonaccrual loans from December 31, 2008 to the recent quarter-end was largely due to a $41 million increase in residential real estate loans, a $62 million increase in loans to residential real estate builders and developers, and the addition of the $95 million commercial loan noted above.</w:t>
      </w:r>
    </w:p>
    <w:p>
      <w:pPr>
        <w:spacing w:after="0" w:line="74"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Accruing loans past due 90 days or more were $143 million or .29% of total loans and leases at March 31, 2009, compared with $81 million or .17% at March 31, 2008 and $159 million or .32% at December 31, 2008. Those loans included $127 million, $77 million and $114 million at March 31, 2009, March 31, 2008 and December 31, 2008, respectively, of loans guaranteed by government-related entities.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$122 million and $72 million as of March 31, 2009 and 2008, respectively, and $108 million at December 31, 2008. Loans past due 90 days or more and accruing interest that were guaranteed by government-related entities also included foreign commercial and industrial loans supported by the Export-Import Bank of the United States that totaled $3 million at March 31, 2009, $4 million at March 31, 2008 and $5 million at December 31, 2008.</w:t>
      </w:r>
    </w:p>
    <w:p>
      <w:pPr>
        <w:spacing w:after="0" w:line="70"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In an effort to assist borrowers, the Company modified the terms of select loans secured by residential real estate. The modified loans were largely from the Company’s portfolio of Alt-A loans and aggregated $216 million at March 31, 2009. Of that total, $106 million of such loans were included in nonaccrual loans at March 31, 2009. After a period of demonstrated performance, those loans may begin to accrue interest. The remaining $110 million of modified residential real estate loans have demonstrated payment capability consistent with the modified terms, were classified as renegotiated loans and were accruing interest at March 31, 2009. Loan modifications included such actions as the extension of loan maturity dates (generally from thirty to forty years) and the lowering of interest rates and monthly payments. The objective of the modifications was to increase loan repayments by customers and thereby reduce net charge-offs. In accordance with GAAP, the modified loans are included in impaired loans for purposes of</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applying Statement of Financial Accounting Standards (“SFAS”) No. 114, “Accounting by Creditors for Impairment of a Loan.” Modified residential real estate loans totaled $162 million as of December 31, 2008, of which $93 million were in nonaccrual status and $69 million were classified as renegotiated loans and were accruing interest at that date.</w:t>
      </w:r>
    </w:p>
    <w:p>
      <w:pPr>
        <w:spacing w:after="0" w:line="73"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Commercial loans and leases classified as nonaccrual aggregated $236 million at March 31, 2009, $85 million at March 31, 2008 and $114 million at December 31, 2008. The rise in such loans at the recent quarter-end as compared with March 31 and December 31, 2008 was primarily due to the addition of the $95 million loan previously noted.</w:t>
      </w:r>
    </w:p>
    <w:p>
      <w:pPr>
        <w:spacing w:after="0" w:line="73" w:lineRule="exact"/>
        <w:rPr>
          <w:sz w:val="20"/>
          <w:szCs w:val="20"/>
          <w:color w:val="auto"/>
        </w:rPr>
      </w:pPr>
    </w:p>
    <w:p>
      <w:pPr>
        <w:ind w:right="160" w:firstLine="450"/>
        <w:spacing w:after="0" w:line="255" w:lineRule="auto"/>
        <w:rPr>
          <w:sz w:val="20"/>
          <w:szCs w:val="20"/>
          <w:color w:val="auto"/>
        </w:rPr>
      </w:pPr>
      <w:r>
        <w:rPr>
          <w:rFonts w:ascii="Arial" w:cs="Arial" w:eastAsia="Arial" w:hAnsi="Arial"/>
          <w:sz w:val="18"/>
          <w:szCs w:val="18"/>
          <w:color w:val="auto"/>
        </w:rPr>
        <w:t>Nonaccruing commercial real estate loans totaled $396 million at March 31, 2009, $141 million at March 31, 2008 and $319 million at December 31, 2008. The rise in such loans at March 31, 2009 as compared with the end of the first quarter of 2008 was largely the result of the addition of $176 million of loans to residential homebuilders and developers, reflecting the impact of the downturn in the residential real estate market, including declining real estate values. The increase from the 2008 year-end was due, in part, to the net addition of $61 million of loans to residential homebuilders and developers. Information about the location of nonaccrual and charged-off loans to residential real estate builders and developers as of and for the three-month period ended March 31, 2009 is presented in the accompanying 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760"/>
              <w:spacing w:after="0"/>
              <w:rPr>
                <w:sz w:val="20"/>
                <w:szCs w:val="20"/>
                <w:color w:val="auto"/>
              </w:rPr>
            </w:pPr>
            <w:r>
              <w:rPr>
                <w:rFonts w:ascii="Arial" w:cs="Arial" w:eastAsia="Arial" w:hAnsi="Arial"/>
                <w:sz w:val="14"/>
                <w:szCs w:val="14"/>
                <w:color w:val="auto"/>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4"/>
          </w:tcPr>
          <w:p>
            <w:pPr>
              <w:ind w:left="220"/>
              <w:spacing w:after="0"/>
              <w:rPr>
                <w:sz w:val="20"/>
                <w:szCs w:val="20"/>
                <w:color w:val="auto"/>
              </w:rPr>
            </w:pPr>
            <w:r>
              <w:rPr>
                <w:rFonts w:ascii="Arial" w:cs="Arial" w:eastAsia="Arial" w:hAnsi="Arial"/>
                <w:sz w:val="14"/>
                <w:szCs w:val="14"/>
                <w:color w:val="auto"/>
              </w:rPr>
              <w:t>March 31, 2009</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720"/>
              <w:spacing w:after="0"/>
              <w:rPr>
                <w:sz w:val="20"/>
                <w:szCs w:val="20"/>
                <w:color w:val="auto"/>
              </w:rPr>
            </w:pPr>
            <w:r>
              <w:rPr>
                <w:rFonts w:ascii="Arial" w:cs="Arial" w:eastAsia="Arial" w:hAnsi="Arial"/>
                <w:sz w:val="14"/>
                <w:szCs w:val="14"/>
                <w:color w:val="auto"/>
              </w:rPr>
              <w:t>March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60" w:type="dxa"/>
            <w:vAlign w:val="bottom"/>
            <w:tcBorders>
              <w:top w:val="single" w:sz="8" w:color="auto"/>
              <w:bottom w:val="single" w:sz="8" w:color="auto"/>
            </w:tcBorders>
            <w:gridSpan w:val="4"/>
          </w:tcPr>
          <w:p>
            <w:pPr>
              <w:jc w:val="right"/>
              <w:ind w:right="628"/>
              <w:spacing w:after="0" w:line="142" w:lineRule="exact"/>
              <w:rPr>
                <w:sz w:val="20"/>
                <w:szCs w:val="20"/>
                <w:color w:val="auto"/>
              </w:rPr>
            </w:pPr>
            <w:r>
              <w:rPr>
                <w:rFonts w:ascii="Arial" w:cs="Arial" w:eastAsia="Arial" w:hAnsi="Arial"/>
                <w:sz w:val="14"/>
                <w:szCs w:val="14"/>
                <w:color w:val="auto"/>
              </w:rPr>
              <w:t>Nonaccrual</w:t>
            </w:r>
          </w:p>
        </w:tc>
        <w:tc>
          <w:tcPr>
            <w:tcW w:w="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3"/>
          </w:tcPr>
          <w:p>
            <w:pPr>
              <w:jc w:val="right"/>
              <w:ind w:right="479"/>
              <w:spacing w:after="0" w:line="142" w:lineRule="exact"/>
              <w:rPr>
                <w:sz w:val="20"/>
                <w:szCs w:val="20"/>
                <w:color w:val="auto"/>
              </w:rPr>
            </w:pPr>
            <w:r>
              <w:rPr>
                <w:rFonts w:ascii="Arial" w:cs="Arial" w:eastAsia="Arial" w:hAnsi="Arial"/>
                <w:sz w:val="14"/>
                <w:szCs w:val="14"/>
                <w:color w:val="auto"/>
              </w:rPr>
              <w:t>Net Charge-offs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Percent of</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Outstanding</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outstanding</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96"/>
              </w:rPr>
              <w:t>balances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86"/>
              </w:rPr>
              <w:t>Balances</w:t>
            </w: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(dollars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720" w:type="dxa"/>
            <w:vAlign w:val="bottom"/>
          </w:tcPr>
          <w:p>
            <w:pPr>
              <w:spacing w:after="0"/>
              <w:rPr>
                <w:sz w:val="14"/>
                <w:szCs w:val="1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7"/>
              </w:rPr>
              <w:t>Balances</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629,707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1,385</w:t>
            </w:r>
          </w:p>
        </w:tc>
        <w:tc>
          <w:tcPr>
            <w:tcW w:w="1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Pennsylvania</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257,525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7,867</w:t>
            </w: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663,549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207,520</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31.27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20,909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298,742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53,611</w:t>
            </w: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1,051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1,849,523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270,383</w:t>
            </w:r>
          </w:p>
        </w:tc>
        <w:tc>
          <w:tcPr>
            <w:tcW w:w="1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21,960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Residential real estate loans classified as nonaccrual were $298 million at March 31, 2009, compared with $198 million at March 31, 2008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$256 million at December 31, 2008. Declining real estate values and higher levels of delinquencies have also contributed to the rise in residential real estate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classified as nonaccrual and to the level of charge-offs, largely in the Company’s Alt-A portfolio. Included in residential real estate loans classified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nonaccrual were Alt-A loans, which totaled $138 million, $107 million and $125 million at March 31, 2009, March 31, 2008 and December 31, 2008,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respectively. As already noted, loans secured by residential real estate aggregating $216 million (including $11 million of junior lien home equity loans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classified as consumer loans) at March 31, 2009, largely comprised of Alt-A loans, were modified to assist borrowers. Of those loans, $106 million were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nonaccrual status at March 31, 2009. Residential real estate loans past due 90 days or more and accruing interest totaled $122 million at March 31, 2009,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compared with $72 million a year earlier and $108 million at December 31, 2008. A substantial portion of such amounts relate to guaranteed loans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repurchased from government-related entities. Information about the location of nonaccrual and charged-off residential real estate loans as of and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 ended March 31, 2009 is presented in the accompanying table.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center"/>
              <w:ind w:right="28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ind w:left="440"/>
              <w:spacing w:after="0"/>
              <w:rPr>
                <w:sz w:val="20"/>
                <w:szCs w:val="20"/>
                <w:color w:val="auto"/>
              </w:rPr>
            </w:pPr>
            <w:r>
              <w:rPr>
                <w:rFonts w:ascii="Arial" w:cs="Arial" w:eastAsia="Arial" w:hAnsi="Arial"/>
                <w:sz w:val="14"/>
                <w:szCs w:val="14"/>
                <w:color w:val="auto"/>
              </w:rPr>
              <w:t>March 31, 2009</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center"/>
              <w:ind w:right="300"/>
              <w:spacing w:after="0"/>
              <w:rPr>
                <w:sz w:val="20"/>
                <w:szCs w:val="20"/>
                <w:color w:val="auto"/>
              </w:rPr>
            </w:pPr>
            <w:r>
              <w:rPr>
                <w:rFonts w:ascii="Arial" w:cs="Arial" w:eastAsia="Arial" w:hAnsi="Arial"/>
                <w:sz w:val="14"/>
                <w:szCs w:val="14"/>
                <w:color w:val="auto"/>
                <w:w w:val="94"/>
              </w:rPr>
              <w:t>March 31, 2009</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60" w:type="dxa"/>
            <w:vAlign w:val="bottom"/>
            <w:tcBorders>
              <w:top w:val="single" w:sz="8" w:color="auto"/>
              <w:bottom w:val="single" w:sz="8" w:color="auto"/>
            </w:tcBorders>
            <w:gridSpan w:val="4"/>
          </w:tcPr>
          <w:p>
            <w:pPr>
              <w:jc w:val="right"/>
              <w:ind w:right="613"/>
              <w:spacing w:after="0" w:line="142" w:lineRule="exact"/>
              <w:rPr>
                <w:sz w:val="20"/>
                <w:szCs w:val="20"/>
                <w:color w:val="auto"/>
              </w:rPr>
            </w:pPr>
            <w:r>
              <w:rPr>
                <w:rFonts w:ascii="Arial" w:cs="Arial" w:eastAsia="Arial" w:hAnsi="Arial"/>
                <w:sz w:val="14"/>
                <w:szCs w:val="14"/>
                <w:color w:val="auto"/>
              </w:rPr>
              <w:t>Nonaccrual</w:t>
            </w:r>
          </w:p>
        </w:tc>
        <w:tc>
          <w:tcPr>
            <w:tcW w:w="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3"/>
          </w:tcPr>
          <w:p>
            <w:pPr>
              <w:jc w:val="center"/>
              <w:ind w:right="32"/>
              <w:spacing w:after="0" w:line="142" w:lineRule="exact"/>
              <w:rPr>
                <w:sz w:val="20"/>
                <w:szCs w:val="20"/>
                <w:color w:val="auto"/>
              </w:rPr>
            </w:pPr>
            <w:r>
              <w:rPr>
                <w:rFonts w:ascii="Arial" w:cs="Arial" w:eastAsia="Arial" w:hAnsi="Arial"/>
                <w:sz w:val="14"/>
                <w:szCs w:val="14"/>
                <w:color w:val="auto"/>
                <w:w w:val="93"/>
              </w:rPr>
              <w:t>Net charge-offs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Percent of</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Outstanding</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outstanding</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4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96"/>
              </w:rPr>
              <w:t>balances</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6"/>
              </w:rPr>
              <w:t>Balances</w:t>
            </w: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(dollars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7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Balances</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1,618,477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31,287</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1.93%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1,020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572,950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11,137</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773,298</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31,415</w:t>
            </w: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1,788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1,132,449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2,772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4,097,174</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118,190</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5,627</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36,019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2,073</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5.76%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23,465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6,795</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15,401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1,399</w:t>
            </w: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195,871</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41,747</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21.31%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869</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120,430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12,048</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10.00%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939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33,910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2,929</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153,555</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20,058</w:t>
            </w: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1,499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571,013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102,620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10,765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878,908</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137,655</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15.66%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13,206</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12.00%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257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6,203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452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1,605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37,456</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5,530</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14.76%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2,316</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57,113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314,480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1,866</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92,650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466,396</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2,253</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635,966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1,663</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0.26%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397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428,797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295,961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1,369,380</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2,438</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397</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153,359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0.33%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188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159,823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76,867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397,011</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2,073</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480</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1,849,994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10,023</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0.54%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3,886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589,631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2,325</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937,514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6,663</w:t>
            </w: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1,537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3,447,308</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19,727</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5,515</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Nonaccruing consumer loans and leases aggregated $74 million at March 31, 2009, compared with $54 million at March 31, 2008 and $66 million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As a percentage of consumer loan balances outstanding, nonaccrual consumer loans and leases were .68% at March 31, 2009, compared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.48% and .60% at March 31, 2008 and December 31, 2008, respectively. Included in nonaccrual consumer loans and leases at March 31, 2009,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2008 and December 31, 2008 were indirect automobile loans of $26 million, $18 million and $21 million, respectively; recreational vehicle loans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$14 million, $12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23"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million and $14 million, respectively; and outstanding balances of home equity lines of credit of $22 million, $13 million and $19 million, respectively. Information about the location of nonaccrual and charged-off home equity loans and lines of credit as of and for the quarter-ended March 31, 2009 is presented in the accompanying table.</w:t>
      </w:r>
    </w:p>
    <w:p>
      <w:pPr>
        <w:spacing w:after="0" w:line="73" w:lineRule="exact"/>
        <w:rPr>
          <w:sz w:val="20"/>
          <w:szCs w:val="20"/>
          <w:color w:val="auto"/>
        </w:rPr>
      </w:pPr>
    </w:p>
    <w:p>
      <w:pPr>
        <w:ind w:firstLine="450"/>
        <w:spacing w:after="0" w:line="312" w:lineRule="auto"/>
        <w:rPr>
          <w:sz w:val="20"/>
          <w:szCs w:val="20"/>
          <w:color w:val="auto"/>
        </w:rPr>
      </w:pPr>
      <w:r>
        <w:rPr>
          <w:rFonts w:ascii="Arial" w:cs="Arial" w:eastAsia="Arial" w:hAnsi="Arial"/>
          <w:sz w:val="16"/>
          <w:szCs w:val="16"/>
          <w:color w:val="auto"/>
        </w:rPr>
        <w:t>Real estate and other foreclosed assets were $100 million at March 31, 2009 and December 31, 2008, compared with $53 million at March 31, 2008. The increases from March 31, 2008 to the two most recent quarter-ends resulted from higher residential real estate loan defaults and additions from residential real estate development projects. At March 31, 2009, the Company’s holding of residential real estate-related properties comprised 84% of foreclosed assets.</w:t>
      </w:r>
    </w:p>
    <w:p>
      <w:pPr>
        <w:spacing w:after="0" w:line="39"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NONPERFORMING ASSET AND PAST DUE LOAN DATA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color w:val="auto"/>
              </w:rPr>
              <w:t>2009</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3"/>
          </w:tcPr>
          <w:p>
            <w:pPr>
              <w:ind w:left="660"/>
              <w:spacing w:after="0"/>
              <w:rPr>
                <w:sz w:val="20"/>
                <w:szCs w:val="20"/>
                <w:color w:val="auto"/>
              </w:rPr>
            </w:pPr>
            <w:r>
              <w:rPr>
                <w:rFonts w:ascii="Arial" w:cs="Arial" w:eastAsia="Arial" w:hAnsi="Arial"/>
                <w:sz w:val="14"/>
                <w:szCs w:val="14"/>
                <w:color w:val="auto"/>
                <w:w w:val="91"/>
              </w:rPr>
              <w:t>2008 Quarters</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9"/>
              </w:rPr>
              <w:t>First Quarter</w:t>
            </w:r>
          </w:p>
        </w:tc>
        <w:tc>
          <w:tcPr>
            <w:tcW w:w="700" w:type="dxa"/>
            <w:vAlign w:val="bottom"/>
          </w:tcPr>
          <w:p>
            <w:pPr>
              <w:spacing w:after="0"/>
              <w:rPr>
                <w:sz w:val="14"/>
                <w:szCs w:val="14"/>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Fourth</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Third</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6"/>
              </w:rPr>
              <w:t>Second</w:t>
            </w:r>
          </w:p>
        </w:tc>
        <w:tc>
          <w:tcPr>
            <w:tcW w:w="70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1,003,987</w:t>
            </w: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755,397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688,214</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568,460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100,270</w:t>
            </w: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99,617</w:t>
            </w:r>
          </w:p>
        </w:tc>
        <w:tc>
          <w:tcPr>
            <w:tcW w:w="680" w:type="dxa"/>
            <w:vAlign w:val="bottom"/>
          </w:tcPr>
          <w:p>
            <w:pPr>
              <w:spacing w:after="0"/>
              <w:rPr>
                <w:sz w:val="19"/>
                <w:szCs w:val="19"/>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85,305</w:t>
            </w:r>
          </w:p>
        </w:tc>
        <w:tc>
          <w:tcPr>
            <w:tcW w:w="80" w:type="dxa"/>
            <w:vAlign w:val="bottom"/>
          </w:tcPr>
          <w:p>
            <w:pPr>
              <w:spacing w:after="0"/>
              <w:rPr>
                <w:sz w:val="19"/>
                <w:szCs w:val="19"/>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52,606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1,104,257</w:t>
            </w:r>
          </w:p>
        </w:tc>
        <w:tc>
          <w:tcPr>
            <w:tcW w:w="7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855,014</w:t>
            </w: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773,519</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621,066</w:t>
            </w:r>
          </w:p>
        </w:tc>
        <w:tc>
          <w:tcPr>
            <w:tcW w:w="7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142,842</w:t>
            </w:r>
          </w:p>
        </w:tc>
        <w:tc>
          <w:tcPr>
            <w:tcW w:w="700" w:type="dxa"/>
            <w:vAlign w:val="bottom"/>
          </w:tcPr>
          <w:p>
            <w:pPr>
              <w:spacing w:after="0"/>
              <w:rPr>
                <w:sz w:val="24"/>
                <w:szCs w:val="2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158,991</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96,206</w:t>
            </w:r>
          </w:p>
        </w:tc>
        <w:tc>
          <w:tcPr>
            <w:tcW w:w="8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93,894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81,316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Renegotiated loans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130,932</w:t>
            </w: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91,575</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21,804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18,905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17,084</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w w:val="99"/>
              </w:rPr>
              <w:t>Government guaranteed loans included in totals above:</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Nonaccrual loans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38,460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32,506</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30,075</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24,658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Accruing loans past due 90 days or more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127,237</w:t>
            </w:r>
          </w:p>
        </w:tc>
        <w:tc>
          <w:tcPr>
            <w:tcW w:w="70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114,183</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89,945</w:t>
            </w:r>
          </w:p>
        </w:tc>
        <w:tc>
          <w:tcPr>
            <w:tcW w:w="8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89,163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76,511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discount</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1.54%</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1.41%</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Nonperforming assets to total net loans and leases and real</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estate and other foreclosed assets</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2.25%</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1.74%</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1.59%</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1.26%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Accruing loans past due 90 days or more to total loans and</w:t>
            </w: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leases, net of unearned discount</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0"/>
        </w:trPr>
        <w:tc>
          <w:tcPr>
            <w:tcW w:w="4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Predominately residential mortgage loans.</w:t>
      </w:r>
    </w:p>
    <w:p>
      <w:pPr>
        <w:spacing w:after="0" w:line="117" w:lineRule="exact"/>
        <w:rPr>
          <w:sz w:val="20"/>
          <w:szCs w:val="20"/>
          <w:color w:val="auto"/>
        </w:rPr>
      </w:pPr>
    </w:p>
    <w:p>
      <w:pPr>
        <w:ind w:right="240" w:firstLine="450"/>
        <w:spacing w:after="0" w:line="257" w:lineRule="auto"/>
        <w:rPr>
          <w:sz w:val="20"/>
          <w:szCs w:val="20"/>
          <w:color w:val="auto"/>
        </w:rPr>
      </w:pPr>
      <w:r>
        <w:rPr>
          <w:rFonts w:ascii="Arial" w:cs="Arial" w:eastAsia="Arial" w:hAnsi="Arial"/>
          <w:sz w:val="18"/>
          <w:szCs w:val="18"/>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 (iii) 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59" w:lineRule="exact"/>
        <w:rPr>
          <w:sz w:val="20"/>
          <w:szCs w:val="20"/>
          <w:color w:val="auto"/>
        </w:rPr>
      </w:pPr>
    </w:p>
    <w:p>
      <w:pPr>
        <w:ind w:firstLine="450"/>
        <w:spacing w:after="0" w:line="267" w:lineRule="auto"/>
        <w:rPr>
          <w:sz w:val="20"/>
          <w:szCs w:val="20"/>
          <w:color w:val="auto"/>
        </w:rPr>
      </w:pPr>
      <w:r>
        <w:rPr>
          <w:rFonts w:ascii="Arial" w:cs="Arial" w:eastAsia="Arial" w:hAnsi="Arial"/>
          <w:sz w:val="17"/>
          <w:szCs w:val="17"/>
          <w:color w:val="auto"/>
        </w:rPr>
        <w:t>Management cautiously and conservatively evaluated the allowance for credit losses as of March 31, 2009 in light of (i) lower residential real estate values and higher levels of delinquencies of residential real estate loans; (ii) the declining pace of economic growth in many of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exist about the economic downturn in both national and international markets; the level and volatility of energy prices; a weakened housing market; the troubled state of financial and credit markets; Federal Reserve positioning of monetary policy; rising private sector layoffs and unemployment, which has caused consumer spending to slow; the underlying impact on businesses’ operations and abilities to repay loans as consumer spending slowed; continued stagnant population growth in the upstate New York and central Pennsylvania regions; and reduced domestic automobile sales. The U.S. economy has been in recession since late-2007, however, as compared with other areas of the country, the impact of deteriorating national market conditions was not as pronounced on borrowers in the traditionally slower growth or stagnant regions of upstate New York and central Pennsylvania. Approximately 70% of the Company’s loans are to customers in New York State and Pennsylvania, including a large portion to customers in upstate New York and central Pennsylvania. Home prices in upstate New York and central Pennsylvania increased in 2008, in sharp contrast to steep declines in values in other regions of the country. Therefore, despite the conditions, as previously described, the most severe credit issues experienced by the Company have been centered around residential real estate, including loans to builders and developers of residential real estate in areas other than New York State and Pennsylvania. In response, throughout 2008 and 2009 the Company has conducted detailed reviews of all loans to residential real estate builders and developers that exceeded $2.5 million. Those credit reviews often resulted in adjustments to loan grades and, if appropriate, commencement of intensified collection efforts, including foreclosure. With regard to residential real estate loans, with special emphasis on the portfolio of Alt-A mortgage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0"/>
        <w:spacing w:after="0" w:line="290" w:lineRule="auto"/>
        <w:rPr>
          <w:sz w:val="20"/>
          <w:szCs w:val="20"/>
          <w:color w:val="auto"/>
        </w:rPr>
      </w:pPr>
      <w:r>
        <w:rPr>
          <w:rFonts w:ascii="Arial" w:cs="Arial" w:eastAsia="Arial" w:hAnsi="Arial"/>
          <w:sz w:val="16"/>
          <w:szCs w:val="16"/>
          <w:color w:val="auto"/>
        </w:rPr>
        <w:t>Factors that influence the Company’s credit loss experience include overall economic conditions affecting businesses and consumers generally, such as those described above, but also residential and commercial real estate valuations, in particular, given the size of the real estate loan portfolios. Although concerns exist about the factors and conditions as described herein, through March 31, 2009 the increases in nonperforming loans and net charge-offs of real estate-related loans have largely been centered on the Company’s portfolios of residential real estate loans, including second lien Alt-A mortgage loans, and loans to builders and developers of residential real estate.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58"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Management believes that the allowance for credit losses at March 31, 2009 was adequate to absorb credit losses inherent in the portfolio as of that date. The allowance for credit losses was $846 million, or 1.73% of total loans and leases at March 31, 2009, compared with $774 million or 1.57% at the end of the initial quarter of 2008 and $788 million or 1.61% at December 31, 2008. The level of the allowance reflects management’s evaluation of the loan and lease portfolio as described herein, including the impact of lower residential real estate values and higher levels of delinquencies and charge-offs in the Company’s portfolio of Alt-A loans and lower residential real estate valuations related to loans to residential builders and developers.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84% at March 31, 2009, compared with 162% a year earlier and 104% at December 31, 2008.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Other income totaled $232 million in the first quarter of 2009, compared with $313 million in the corresponding 2008 quarter and $241 million in the fourth quarter of 2008. The decline in the level of such income in the recent quarter as compared with the first quarter of 2008 was due predominantly to losses on bank investment securities (including other-than-temporary impairment losses), which aggregated $32 million in the recent quarter, compared with gains on investment securities of $33 million in the first quarter of 2008. The recent quarter’s losses reflect other-than-temporary impairment charges of $32 million related to certain of the Company’s holdings of privately issued CMOs. The gain on investment securities in 2008’s first quarter related to a mandatory redemption of a portion of M&amp;T Bank’s common stockholdings of Visa. Other income in the fourth quarter of 2008 reflected $24 million of other-than-temporary impairment losses recorded on certain CDOs and CMOs. Excluding gains and losses from bank investment securities (including other-than-temporary impairment losses), other income aggregated $264 million, $279 million and $265 million in the three-month periods ended March 31, 2009, March 31, 2008 and December 31, 2008, respectively. Contributing to the lower level of such income in the recent quarter as compared with the year-earlier period were declines in credit-related fees, trust income, fees for providing consumer deposit account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services, and trading account and foreign exchange gains. Partially offsetting those declines were significantly higher residential mortgage banking revenues. As compared with the fourth quarter of 2008, a substantial rise in residential mortgage banking revenues in the recent quarter was largely offset by a decline in consumer deposit account service fees, bank owned life insurance and other miscellaneous revenues.</w:t>
      </w:r>
    </w:p>
    <w:p>
      <w:pPr>
        <w:spacing w:after="0" w:line="57"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Mortgage banking revenues totaled $56 million in the recently completed quarter, up from $40 million in each of the year-earlier quarter and the fourth quarter of 2008. Mortgage banking revenues are comprised of both residential and commercial mortgage banking activities. The Company’s involvement in commercial mortgage banking activities includes the origination, sales and servicing of loans under the multifamily loan programs of Fannie Mae, the Federal Home Loan Mortgage Corporation (“Freddie Mac”) and the U.S. Department of Housing and Urban Development.</w:t>
      </w:r>
    </w:p>
    <w:p>
      <w:pPr>
        <w:spacing w:after="0" w:line="63"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$48 million in the first quarter of 2009, compared with $32 million in 2008’s initial quarter and $29 million in the final quarter of 2008. The sharp rise in residential mortgage banking revenues in the recent quarter as compared with the first and fourth quarters of 2008 was attributable to significantly higher origination activity, due predominantly to refinancing of loans by consumers in response to relatively low interest rates, and wider margins associated with that activity.</w:t>
      </w:r>
    </w:p>
    <w:p>
      <w:pPr>
        <w:spacing w:after="0" w:line="85"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Residential mortgage loans originated for sale to other investors were approximately $1.7 billion in the recent quarter, compared with $1.4 billion and $840 million during the three-month periods ended March 31, 2008 and December 31, 2008, respectively. Residential mortgage loans sold to investors totaled $1.3 billion in the recently completed quarter, compared with $1.1 billion and $900 million in the first and fourth quarters of 2008, respectively. Realized gains from sales of residential mortgage loans and loan servicing rights and recognized net unrealized gains and losses attributable to residential mortgage loans held for sale, commitments to originate loans for sale and commitments to sell loans totaled to a gain of $27 million in the first quarter of 2009, compared with gains of $10 million in the first quarter of 2008 and $8 million in the fourth quarter of 2008. Revenues from servicing residential mortgage loans for others were $20 million during each of the quarters ended March 31, 2009 and March 31, 2008, compared with $21 million in the fourth quarter of 2008. Included in servicing revenues were amounts related to purchased servicing rights associated with small balance commercial mortgage loans which totaled $7 million in each of the first quarters of 2009 and 2008, and in the final 2008 quarter.</w:t>
      </w:r>
    </w:p>
    <w:p>
      <w:pPr>
        <w:spacing w:after="0" w:line="74" w:lineRule="exact"/>
        <w:rPr>
          <w:sz w:val="20"/>
          <w:szCs w:val="20"/>
          <w:color w:val="auto"/>
        </w:rPr>
      </w:pPr>
    </w:p>
    <w:p>
      <w:pPr>
        <w:ind w:right="100" w:firstLine="450"/>
        <w:spacing w:after="0" w:line="254" w:lineRule="auto"/>
        <w:rPr>
          <w:sz w:val="20"/>
          <w:szCs w:val="20"/>
          <w:color w:val="auto"/>
        </w:rPr>
      </w:pPr>
      <w:r>
        <w:rPr>
          <w:rFonts w:ascii="Arial" w:cs="Arial" w:eastAsia="Arial" w:hAnsi="Arial"/>
          <w:sz w:val="18"/>
          <w:szCs w:val="18"/>
          <w:color w:val="auto"/>
        </w:rPr>
        <w:t>Residential mortgage loans serviced for others totaled $21.0 billion at March 31, 2009, compared with $19.7 billion a year earlier and $21.3 billion at December 31, 2008, including the small balance commercial mortgage loans noted above of approximately $5.9 billion at each of March 31, 2009 and December 31, 2008, and $5.1 billion at March 31, 2008. Capitalized residential mortgage servicing assets, net of a valuation allowance for impairment, were $139 million at March 31, 2009, compared with $163 million at March 31, 2008 and $143 million at December 31, 2008. The valuation allowance for possible impairment of capitalized residential mortgage servicing assets totaled $17 million, $11 million and $22 million at March 31, 2009, March 31, 2008 and December 31, 2008, respectively. Included in capitalized residential mortgage servicing assets were $53 million at March 31, 2009, $63 million at March 31, 2008 and $58 million at December 31, 2008 of purchased servicing rights associated with the small balance commercial mortgage loans noted above. Servicing rights for the small balance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commercial mortgage loans were purchased from BLG or its affiliates. In addition, at March 31, 2009, capitalized servicing rights included $25 million for servicing rights for $4.4 billion of residential real estate loans that were purchased from affiliates of BLG. Additional information about the Company’s relationship with BLG and its affiliates is provided in note 12 of Notes to Financial Statements.</w:t>
      </w:r>
    </w:p>
    <w:p>
      <w:pPr>
        <w:spacing w:after="0" w:line="73" w:lineRule="exact"/>
        <w:rPr>
          <w:sz w:val="20"/>
          <w:szCs w:val="20"/>
          <w:color w:val="auto"/>
        </w:rPr>
      </w:pPr>
    </w:p>
    <w:p>
      <w:pPr>
        <w:ind w:right="100" w:firstLine="450"/>
        <w:spacing w:after="0" w:line="291" w:lineRule="auto"/>
        <w:rPr>
          <w:sz w:val="20"/>
          <w:szCs w:val="20"/>
          <w:color w:val="auto"/>
        </w:rPr>
      </w:pPr>
      <w:r>
        <w:rPr>
          <w:rFonts w:ascii="Arial" w:cs="Arial" w:eastAsia="Arial" w:hAnsi="Arial"/>
          <w:sz w:val="16"/>
          <w:szCs w:val="16"/>
          <w:color w:val="auto"/>
        </w:rPr>
        <w:t>Loans held for sale that are secured by residential real estate aggregated $763 million and $803 million at March 31, 2009 and 2008, respectively, and $352 million at December 31, 2008. Commitments to sell loans and commitments to originate loans for sale at pre-determined rates were each $1.5 billion at March 31, 2009, compared with $966 million and $835 million, respectively, at March 31, 2008, and $898 million and $871 million, respectively, at December 31, 2008. Net unrealized gains on residential mortgage loans held for sale, commitments to sell loans, and commitments to originate loans for sale were $21 million and $6 million at March 31, 2009 and December 31, 2008, respectively, compared with net unrealized losses of $2 million at March 31, 2008. Changes in such net unrealized gains and losses are recorded in mortgage banking revenues and resulted in net increases in revenue of $15 million in the first quarter of 2009 and $5 million in the first quarter of 2008. The impact on revenues of such changes was not significant in the fourth quarter of 2008.</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Commercial mortgage banking revenues were $8 million in each of the first quarters of 2009 and 2008, compared with $10 million in the fourth quarter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2008. Included in such amounts were revenues from loan origination and sales activities of $5 million in the quarters ended March 31, 2009 and 2008,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$7 million in the final 2008 quarter. Commercial mortgage loan servicing revenues were $3 million in each of those quarters. Capitalized commercial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mortgage servicing assets totaled $27 million at March 31, 2009, compared with $21 million and $26 million at March 31 and December 31, 2008,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Commercial mortgage loans serviced for other investors totaled $6.7 billion, $5.5 billion and $6.4 billion at March 31, 2009, March 31, 2008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respectively, and included $1.2 billion, $1.0 billion and $1.2 billion, respectively, of loan balances for which investors had recourse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if such balances are ultimately uncollectible. Commitments to sell commercial mortgage loans and commitments to originate commercial mortgage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loans for sale were $179 million and $138 million, respectively, at March 31, 2009, $333 million and $179 million, respectively, at March 31, 2008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$408 million and $252 million, respectively, at December 31, 2008. Commercial mortgage loans held for sale at March 31, 2009 and 2008 were $40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$154 million, respectively, and were $156 million at December 31, 2008.</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Service charges on deposit accounts aggregated $101 million in the first quarter of 2009, compared with $103 million in the year-earlier quarter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$106 million in the final 2008 quarter. The lower recent quarter revenues as compared with 2008’s fourth quarter were due in part to traditional fourth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seasonality, as well as from the general slowdown in consumer spending. Trust income aggregated $35 million in the initial 2009 quarter,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$40 million and $37 million in the first and fourth quarters of 2008, respectively. The declines in trust income in the recent quarter as compared with last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year’s initial quarter and the fourth quarter of 2008 are largely attributable to lower fees for providing services that are priced based on market values of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administration. Brokerage services income, which includes revenues from the sale of mutual funds and annuities and securities brokerage fees,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in each of the first quarters of 2009 and 2008 and in the fourth quarter of 2008. Trading account and foreign exchange activity resulted in gains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 million during the quarter ended March 31, 2009, $5 million in the first quarter of 2008 and $2 million in 2008’s fourth quarter. The decline in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revenues in the two most recent quarters as compared with the first quarter of 2008 was due, in part, to lower revenues from interest rate swap agreements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resulted from decreased volumes of transactions executed on behalf of commercial customers.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Including other-than-temporary impairment losses, during the first quarter of 2009, the Company recognized losses on investment securities of</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$32 million, compared with gains of $33 million in the year-earlier quarter and losses of $24 million in the fourth quarter of 2008. As previously described, other-than-temporary impairment charges of $32 million and $24 million were recorded in the two most recent quarters. A $33 million gain from the mandatory redemption of common shares of Visa was recognized in the first quarter of 2008. Each reporting period, the Company reviews its investment securities for other-than-temporary impairment. For equity securities, such as the Company’s investment in the preferred stock of Fannie Mae and Freddie Mac,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loan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Company does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by the amount of loss being recognized in the consolidated statement of income.</w:t>
      </w:r>
    </w:p>
    <w:p>
      <w:pPr>
        <w:spacing w:after="0" w:line="74" w:lineRule="exact"/>
        <w:rPr>
          <w:sz w:val="20"/>
          <w:szCs w:val="20"/>
          <w:color w:val="auto"/>
        </w:rPr>
      </w:pPr>
    </w:p>
    <w:p>
      <w:pPr>
        <w:ind w:right="40" w:firstLine="450"/>
        <w:spacing w:after="0" w:line="287" w:lineRule="auto"/>
        <w:rPr>
          <w:sz w:val="20"/>
          <w:szCs w:val="20"/>
          <w:color w:val="auto"/>
        </w:rPr>
      </w:pPr>
      <w:r>
        <w:rPr>
          <w:rFonts w:ascii="Arial" w:cs="Arial" w:eastAsia="Arial" w:hAnsi="Arial"/>
          <w:sz w:val="16"/>
          <w:szCs w:val="16"/>
          <w:color w:val="auto"/>
        </w:rPr>
        <w:t>M&amp;T’s pro-rata share of the operating results of BLG in the recent quarter was a loss of $4 million, compared with losses of $1 million in the first quarter of 2008 and $9 million in the final 2008 quarter. The operating losses of BLG in the respective quarters resulted from the disruptions in the commercial mortgage-backed securities market and reflected losses from loan securitization and sales activities, lower values ascribed to loans held for sale, and costs associated with severance and certain lease terminations incurred by BLG as it downsized its operations. Despite the credit and liquidity disruptions that began in 2007, BLG had been successfully securitizing and selling significant volumes of small-balance commercial real estate loans until the first quarter of 2008. In response to the illiquidity in the marketplace since that time, BLG reduced its originations activities, scaled back its workforce and made use of its contingent liquidity sources. In addition to BLG’s mortgage origination and sales activities, BLG also is entitled to cash flows from mortgage assets that it owns or that are owned by its affiliates and from asset management and other services provided by its affiliates. Accordingly, the Company believes that BLG is capable of realizing positive cash flows that could be available for distribution to its owners, including M&amp;T, despite a lack of positive GAAP-earnings. Nevertheless, if BLG is not able to realize sufficient cash flows for the benefit of M&amp;T, the Company may be required to recognize an other-than-temporary impairment charge in a future period for some portion of the $267 million book value of its investment in BLG.</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revenues from operations totaled $59 million in the first quarter of 2009, compared with $76 million in the corresponding 2008 quarter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$74 million in the fourth quarter of 2008. Included in other revenues from operations were the following significant components. Letter of credit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credit-related fees totaled $21 million in the recent quarter, $28 million in the first quarter of 2008 and $20 million in 2008’s final quarter. The higher fees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recognized during 2008’s initial quarter resulted from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increased loan syndication fees. Tax-exempt income from bank owned life insurance, which includes increases in the cash surrender value of life insurance policies and benefits received, totaled $10 million during the first quarter of 2009, compared with $12 million and $14 million in the first and fourth quarters of 2008, respectively. Revenues from merchant discount and credit card fees were $10 million in each of the quarters ended March 31, 2009, March 31, 2008 and December 31, 2008. Insurance-related sales commissions and other revenues totaled $6 million in each of the last two quarters and $9 million in the year-earlier quarter. No other revenue source contributed more than $5 million to “other revenues from operations” in any of the quarterly periods discussed herein.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Other expense totaled $438 million in the first quarter of 2009, 3% higher than $426 million in the corresponding quarter of 2008, but 2% below $447 million in the final 2008 quarter. Included in the amounts noted above are expenses considered by management to be “nonoperating” in nature consisting of amortization of core deposit and other intangible assets of $15 million and $18 million in the first quarters of 2009 and 2008, respectively, and $16 million in the fourth quarter of 2008, and merger-related expenses of $2 million and $4 million in the three-month periods ended March 31, 2009 and 2008, respectively. There were no similar merger-related expenses in the final 2008 quarter. Exclusive of these nonoperating expenses, noninterest operating expenses totaled $421 million in the first three months of 2009, compared with $404 million and $431 million in the first and fourth quarters of 2008, respectively. Table 2 provides a reconciliation of other expense to noninterest operating expense.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Salaries and employee benefits expense aggregated $249 million in the recently completed quarter, compared with $252 million in the first quarter of</w:t>
      </w:r>
    </w:p>
    <w:p>
      <w:pPr>
        <w:spacing w:after="0" w:line="4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2008 and $232 million in 2008’s fourth quarter. The decline in such expense in the first quarter of 2009 as compared with the year-earlier quarter was attributable to lower costs for incentive compensation. Contributing to the increase in salaries and employee benefits expense in the recent quarter as compared with the fourth quarter of 2008 were higher stock-based compensation and payroll-related taxes and the Company’s contributions for retirement savings plan benefits related to annual incentive compensation payments. The Company accounts for stock-based compensation in accordance with SFAS No. 123 (revised 2004), “Shared-Based Payment,” (“SFAS No. 123R”). As required, the Company has accelerated the recognition of compensation costs for stock-based awards granted to retirement-eligible employees and employees who will become retirement-eligible prior to full vesting of the award. As a result, stock-based compensation expense during the first quarters of 2009 and 2008 included $9 million and $8 million, respectively, that would have been recognized over the normal four-year vesting period if not for the accelerated expense recognition provisions of SFAS No. 123R. That acceleration had no effect on the value of stock-based compensation awarded to employees. Salaries and benefits expense included stock-based compensation of $22 million, $18 million and $10 million in the quarters ended March 31, 2009, March 31, 2008 and December 31, 2008, respectively. The number of full-time equivalent employees was 12,944 at March 31, 2009, compared with 12,854 and 12,978 at March 31, 2008 and December 31, 2008, respectively.</w:t>
      </w:r>
    </w:p>
    <w:p>
      <w:pPr>
        <w:spacing w:after="0" w:line="59" w:lineRule="exact"/>
        <w:rPr>
          <w:sz w:val="20"/>
          <w:szCs w:val="20"/>
          <w:color w:val="auto"/>
        </w:rPr>
      </w:pPr>
    </w:p>
    <w:p>
      <w:pPr>
        <w:ind w:right="140" w:firstLine="450"/>
        <w:spacing w:after="0" w:line="279" w:lineRule="auto"/>
        <w:rPr>
          <w:sz w:val="20"/>
          <w:szCs w:val="20"/>
          <w:color w:val="auto"/>
        </w:rPr>
      </w:pPr>
      <w:r>
        <w:rPr>
          <w:rFonts w:ascii="Arial" w:cs="Arial" w:eastAsia="Arial" w:hAnsi="Arial"/>
          <w:sz w:val="17"/>
          <w:szCs w:val="17"/>
          <w:color w:val="auto"/>
        </w:rPr>
        <w:t>Excluding the nonoperating expenses described earlier from each quarter, nonpersonnel operating expenses were $171 million and $152 million in the quarters ended March 31, 2009 and 2008, respectively, and $199 million in the final quarter of 2008. The rise in nonpersonnel operating expenses in 2009’s initial quarter as compared with the year-earlier quarter was largely due to the first quarter 2008 reversal of $15 million of the Visa litigation accrual established in the fourth quarter of 2007 and higher costs in the first 2009 quarter for professional services and deposit insurance.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Partially offsetting those increased costs was a $5 million reversal of the valuation allowance for capitalized residential mortgage servicing rights in the recent quarter, compared with a $5 million addition to that valuation allowance in the year-earlier period. Reflected in nonpersonnel operating expenses in the fourth quarter of 2008 was a $19 million addition to the valuation allowance for capitalized residential mortgage servicing rights. Lower costs for professional services, advertising and promotion also contributed to the lower nonpersonnel operating expenses in the recent quarter as compared with the immediately preceding quarter.</w:t>
      </w:r>
    </w:p>
    <w:p>
      <w:pPr>
        <w:spacing w:after="0" w:line="80" w:lineRule="exact"/>
        <w:rPr>
          <w:sz w:val="20"/>
          <w:szCs w:val="20"/>
          <w:color w:val="auto"/>
        </w:rPr>
      </w:pPr>
    </w:p>
    <w:p>
      <w:pPr>
        <w:ind w:right="60" w:firstLine="447"/>
        <w:spacing w:after="0" w:line="293" w:lineRule="auto"/>
        <w:rPr>
          <w:sz w:val="20"/>
          <w:szCs w:val="20"/>
          <w:color w:val="auto"/>
        </w:rPr>
      </w:pPr>
      <w:r>
        <w:rPr>
          <w:rFonts w:ascii="Arial" w:cs="Arial" w:eastAsia="Arial" w:hAnsi="Arial"/>
          <w:sz w:val="16"/>
          <w:szCs w:val="16"/>
          <w:color w:val="auto"/>
        </w:rPr>
        <w:t>The efficiency ratio, or noninterest operating expenses (as defined above) divided by the sum of taxable-equivalent net interest income and noninterest income (exclusive of gains and losses from bank investment securities, inclusive of other-than-temporary impairment losses) measures the relationship of noninterest operating expenses to revenues. The Company’s efficiency ratio was 58.7% in the first quarter of 2009, compared with 52.8% in the year-earlier period and 57.0% in the fourth quarter of 2008. Noninterest operating expenses used in calculating the efficiency ratio do not include the amortization of core deposit and other intangible assets, as noted earlier. If charges for amortization of core deposit and other intangible assets were included, the efficiency ratio for the three-month periods ended March 31, 2009, March 31, 2008 and December 31, 2008 would have been 60.8%, 55.3% and 59.1%,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provision for income taxes for the quarter ended March 31, 2009 was $20 million, compared with $104 million and $27 million in the first and fourth quarters of 2008, respectively. The effective tax rates were 23.4%, 33.9% and 21.2% for the quarters ended March 31, 2009, March 31, 2008 and December 31, 2008, respectively. The effective tax rate is impacted by the level of income earned that is exempt from tax relative to the overall level of pre-tax income and by the level of income allocated to the various state and local jurisdictions where the Company operates, because tax rates differ among such jurisdictions. For example, although the other-than-temporary impairment charges in the most recent quarters are fully deductible for purposes of computing income tax expense, those charges had an impact on the effective tax rate because they lowered pre-tax income relative to the amounts of tax-exempt income and other permanent differences that impact the effective tax rate.</w:t>
      </w:r>
    </w:p>
    <w:p>
      <w:pPr>
        <w:spacing w:after="0" w:line="70" w:lineRule="exact"/>
        <w:rPr>
          <w:sz w:val="20"/>
          <w:szCs w:val="20"/>
          <w:color w:val="auto"/>
        </w:rPr>
      </w:pPr>
    </w:p>
    <w:p>
      <w:pPr>
        <w:ind w:firstLine="447"/>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regulations within those jurisdictions, or interpretations of income tax regulations that differ from the Company’s interpretations by any of various tax authorities that may examine tax returns filed by M&amp;T or any of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Stockholders’ equity was $6.9 billion at March 31, 2009, representing 10.64% of total assets, compared with $6.5 billion or 9.82% at March 31, 2008 and $6.8 billion or 10.31% at December 31, 2008. Included in stockholders’ equity at March 31, 2009 and December 31, 2008 was $600 million of Series A Preferred Stock and warrants to purchase M&amp;T common stock issued on December 23, 2008 as part of the U.S. Treasury Capital Purchase Program. The holder of the preferred stock is entitled to cumulative cash dividends of 5% per annum until February 14, 2014 and 9% per annum thereafter, payable quarterly in arrears. The Series A Preferred Stock is redeemable, subject to regulatory approval. If the preferred stock is redeemed, the Company would be required to repurchase from the U.S. Treasury the warrants to purchase M&amp;T common stock at their then fair value.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0"/>
        <w:spacing w:after="0" w:line="302" w:lineRule="auto"/>
        <w:rPr>
          <w:sz w:val="20"/>
          <w:szCs w:val="20"/>
          <w:color w:val="auto"/>
        </w:rPr>
      </w:pPr>
      <w:r>
        <w:rPr>
          <w:rFonts w:ascii="Arial" w:cs="Arial" w:eastAsia="Arial" w:hAnsi="Arial"/>
          <w:sz w:val="16"/>
          <w:szCs w:val="16"/>
          <w:color w:val="auto"/>
        </w:rPr>
        <w:t>Common stockholders’ equity was $6.3 billion, or $56.95 per share, at March 31, 2009, compared with $6.5 billion, or $58.92 per share, at March 31, 2008 and $6.2 billion, or $56.29 per share, at December 31, 2008. Tangible equity per common share, which excludes goodwill and core deposit and other intangible assets and applicable deferred tax balances, was $26.90 at March 31, 2009, $28.14 at March 31, 2008 and $25.94 at December 31, 2008. A reconciliation of total common stockholders’ equity and tangible common equity as of each of those respective dates is presented in table 2.</w:t>
      </w:r>
    </w:p>
    <w:p>
      <w:pPr>
        <w:spacing w:after="0" w:line="46" w:lineRule="exact"/>
        <w:rPr>
          <w:sz w:val="20"/>
          <w:szCs w:val="20"/>
          <w:color w:val="auto"/>
        </w:rPr>
      </w:pPr>
    </w:p>
    <w:p>
      <w:pPr>
        <w:ind w:right="100" w:firstLine="450"/>
        <w:spacing w:after="0" w:line="272" w:lineRule="auto"/>
        <w:rPr>
          <w:sz w:val="20"/>
          <w:szCs w:val="20"/>
          <w:color w:val="auto"/>
        </w:rPr>
      </w:pPr>
      <w:r>
        <w:rPr>
          <w:rFonts w:ascii="Arial" w:cs="Arial" w:eastAsia="Arial" w:hAnsi="Arial"/>
          <w:sz w:val="17"/>
          <w:szCs w:val="17"/>
          <w:color w:val="auto"/>
        </w:rPr>
        <w:t>Stockholders’ equity reflects accumulated other comprehensive income or loss, which includes the net after-tax impact of unrealized gains or losses on available-for-sale investment securities, gains or losses associated with interest rate swap agreements designated as cash flow hedges, and adjustments to reflect the funded status of defined benefit pension and other postretirement plans. Net unrealized losses on available-for-sale investment securities, net of applicable tax effect, were $446 million, or $4.01 per common share, at March 31, 2009, compared with similar losses of $194 million, or $1.76 per share, at March 31, 2008 and $557 million, or $5.04 per share at December 31, 2008. Such unrealized losses represent the difference, net of applicable income tax effect, between the estimated fair value and amortized cost of investment securities classified as available for sale and the remaining unamortized losses on investment securities that have been transferred to held to maturity.</w:t>
      </w:r>
    </w:p>
    <w:p>
      <w:pPr>
        <w:spacing w:after="0" w:line="70" w:lineRule="exact"/>
        <w:rPr>
          <w:sz w:val="20"/>
          <w:szCs w:val="20"/>
          <w:color w:val="auto"/>
        </w:rPr>
      </w:pPr>
    </w:p>
    <w:p>
      <w:pPr>
        <w:ind w:right="260" w:firstLine="450"/>
        <w:spacing w:after="0" w:line="288" w:lineRule="auto"/>
        <w:rPr>
          <w:sz w:val="20"/>
          <w:szCs w:val="20"/>
          <w:color w:val="auto"/>
        </w:rPr>
      </w:pPr>
      <w:r>
        <w:rPr>
          <w:rFonts w:ascii="Arial" w:cs="Arial" w:eastAsia="Arial" w:hAnsi="Arial"/>
          <w:sz w:val="16"/>
          <w:szCs w:val="16"/>
          <w:color w:val="auto"/>
        </w:rPr>
        <w:t>Reflected in net unrealized losses at March 31, 2009 were pre-tax effect unrealized losses of $768 million on available-for-sale investment securities with an amortized cost of $3.5 billion and pre-tax effect unrealized gains of $141 million on securities with an amortized cost of $3.8 billion. The pre-tax effect unrealized losses reflect $610 million of losses on $3 billion of privately issued mortgage-backed securities considered Level 3 valuations and</w:t>
      </w:r>
    </w:p>
    <w:p>
      <w:pPr>
        <w:ind w:right="80"/>
        <w:spacing w:after="0" w:line="323" w:lineRule="auto"/>
        <w:rPr>
          <w:sz w:val="20"/>
          <w:szCs w:val="20"/>
          <w:color w:val="auto"/>
        </w:rPr>
      </w:pPr>
      <w:r>
        <w:rPr>
          <w:rFonts w:ascii="Arial" w:cs="Arial" w:eastAsia="Arial" w:hAnsi="Arial"/>
          <w:sz w:val="16"/>
          <w:szCs w:val="16"/>
          <w:color w:val="auto"/>
        </w:rPr>
        <w:t>$116 million of losses on $240 million of trust preferred securities issued by financial institutions and securities backed by trust preferred securities issued by financial institutions ($13 million of losses on $16 million of securities using a Level 3 valuation, with the remainder classified as Level 2 valuations).</w:t>
      </w:r>
    </w:p>
    <w:p>
      <w:pPr>
        <w:spacing w:after="0" w:line="31" w:lineRule="exact"/>
        <w:rPr>
          <w:sz w:val="20"/>
          <w:szCs w:val="20"/>
          <w:color w:val="auto"/>
        </w:rPr>
      </w:pPr>
    </w:p>
    <w:p>
      <w:pPr>
        <w:ind w:right="180" w:firstLine="447"/>
        <w:spacing w:after="0" w:line="264" w:lineRule="auto"/>
        <w:rPr>
          <w:sz w:val="20"/>
          <w:szCs w:val="20"/>
          <w:color w:val="auto"/>
        </w:rPr>
      </w:pPr>
      <w:r>
        <w:rPr>
          <w:rFonts w:ascii="Arial" w:cs="Arial" w:eastAsia="Arial" w:hAnsi="Arial"/>
          <w:sz w:val="18"/>
          <w:szCs w:val="18"/>
          <w:color w:val="auto"/>
        </w:rPr>
        <w:t>The Company’s privately issued mortgage-backed securities classified as available for sale are generally collateralized by prime and Alt-A residential mortgage loans as depicted in the accompanying table. Information in the table is as of March 31, 2009. As with any accounting estimate or other data, changes in fair values and investment ratings may occur at any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PRIVATELY ISSUED MORTGAGE-BACKED SECURITIES CLASSIFIED AS AVAILABLE FOR SALE (a)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center"/>
              <w:ind w:right="320"/>
              <w:spacing w:after="0"/>
              <w:rPr>
                <w:sz w:val="20"/>
                <w:szCs w:val="20"/>
                <w:color w:val="auto"/>
              </w:rPr>
            </w:pPr>
            <w:r>
              <w:rPr>
                <w:rFonts w:ascii="Arial" w:cs="Arial" w:eastAsia="Arial" w:hAnsi="Arial"/>
                <w:sz w:val="14"/>
                <w:szCs w:val="14"/>
                <w:color w:val="auto"/>
                <w:w w:val="90"/>
              </w:rPr>
              <w:t>As a percentage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color w:val="auto"/>
              </w:rPr>
              <w:t>Net</w:t>
            </w: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color w:val="auto"/>
                <w:w w:val="94"/>
              </w:rPr>
              <w:t>carrying value</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740"/>
              <w:spacing w:after="0" w:line="123" w:lineRule="exact"/>
              <w:rPr>
                <w:sz w:val="20"/>
                <w:szCs w:val="20"/>
                <w:color w:val="auto"/>
              </w:rPr>
            </w:pPr>
            <w:r>
              <w:rPr>
                <w:rFonts w:ascii="Arial" w:cs="Arial" w:eastAsia="Arial" w:hAnsi="Arial"/>
                <w:sz w:val="14"/>
                <w:szCs w:val="14"/>
                <w:color w:val="auto"/>
                <w:w w:val="95"/>
              </w:rPr>
              <w:t>Amortized</w:t>
            </w:r>
          </w:p>
        </w:tc>
        <w:tc>
          <w:tcPr>
            <w:tcW w:w="1500" w:type="dxa"/>
            <w:vAlign w:val="bottom"/>
            <w:gridSpan w:val="2"/>
          </w:tcPr>
          <w:p>
            <w:pPr>
              <w:jc w:val="center"/>
              <w:ind w:right="660"/>
              <w:spacing w:after="0" w:line="123" w:lineRule="exact"/>
              <w:rPr>
                <w:sz w:val="20"/>
                <w:szCs w:val="20"/>
                <w:color w:val="auto"/>
              </w:rPr>
            </w:pPr>
            <w:r>
              <w:rPr>
                <w:rFonts w:ascii="Arial" w:cs="Arial" w:eastAsia="Arial" w:hAnsi="Arial"/>
                <w:sz w:val="14"/>
                <w:szCs w:val="14"/>
                <w:color w:val="auto"/>
                <w:w w:val="99"/>
              </w:rPr>
              <w:t>Fair</w:t>
            </w:r>
          </w:p>
        </w:tc>
        <w:tc>
          <w:tcPr>
            <w:tcW w:w="1380" w:type="dxa"/>
            <w:vAlign w:val="bottom"/>
            <w:gridSpan w:val="2"/>
          </w:tcPr>
          <w:p>
            <w:pPr>
              <w:jc w:val="center"/>
              <w:ind w:right="660"/>
              <w:spacing w:after="0" w:line="123" w:lineRule="exact"/>
              <w:rPr>
                <w:sz w:val="20"/>
                <w:szCs w:val="20"/>
                <w:color w:val="auto"/>
              </w:rPr>
            </w:pPr>
            <w:r>
              <w:rPr>
                <w:rFonts w:ascii="Arial" w:cs="Arial" w:eastAsia="Arial" w:hAnsi="Arial"/>
                <w:sz w:val="14"/>
                <w:szCs w:val="14"/>
                <w:color w:val="auto"/>
                <w:w w:val="92"/>
              </w:rPr>
              <w:t>unrealized</w:t>
            </w:r>
          </w:p>
        </w:tc>
        <w:tc>
          <w:tcPr>
            <w:tcW w:w="980" w:type="dxa"/>
            <w:vAlign w:val="bottom"/>
            <w:gridSpan w:val="2"/>
          </w:tcPr>
          <w:p>
            <w:pPr>
              <w:jc w:val="right"/>
              <w:ind w:right="500"/>
              <w:spacing w:after="0" w:line="123" w:lineRule="exact"/>
              <w:rPr>
                <w:sz w:val="20"/>
                <w:szCs w:val="20"/>
                <w:color w:val="auto"/>
              </w:rPr>
            </w:pPr>
            <w:r>
              <w:rPr>
                <w:rFonts w:ascii="Arial" w:cs="Arial" w:eastAsia="Arial" w:hAnsi="Arial"/>
                <w:sz w:val="14"/>
                <w:szCs w:val="14"/>
                <w:color w:val="auto"/>
              </w:rPr>
              <w:t>AAA</w:t>
            </w:r>
          </w:p>
        </w:tc>
        <w:tc>
          <w:tcPr>
            <w:tcW w:w="380" w:type="dxa"/>
            <w:vAlign w:val="bottom"/>
          </w:tcPr>
          <w:p>
            <w:pPr>
              <w:spacing w:after="0"/>
              <w:rPr>
                <w:sz w:val="10"/>
                <w:szCs w:val="10"/>
                <w:color w:val="auto"/>
              </w:rPr>
            </w:pPr>
          </w:p>
        </w:tc>
        <w:tc>
          <w:tcPr>
            <w:tcW w:w="1360" w:type="dxa"/>
            <w:vAlign w:val="bottom"/>
            <w:gridSpan w:val="2"/>
          </w:tcPr>
          <w:p>
            <w:pPr>
              <w:jc w:val="center"/>
              <w:ind w:right="700"/>
              <w:spacing w:after="0" w:line="123" w:lineRule="exact"/>
              <w:rPr>
                <w:sz w:val="20"/>
                <w:szCs w:val="20"/>
                <w:color w:val="auto"/>
              </w:rPr>
            </w:pPr>
            <w:r>
              <w:rPr>
                <w:rFonts w:ascii="Arial" w:cs="Arial" w:eastAsia="Arial" w:hAnsi="Arial"/>
                <w:sz w:val="14"/>
                <w:szCs w:val="14"/>
                <w:color w:val="auto"/>
                <w:w w:val="90"/>
              </w:rPr>
              <w:t>Investment</w:t>
            </w:r>
          </w:p>
        </w:tc>
        <w:tc>
          <w:tcPr>
            <w:tcW w:w="660" w:type="dxa"/>
            <w:vAlign w:val="bottom"/>
          </w:tcPr>
          <w:p>
            <w:pPr>
              <w:jc w:val="right"/>
              <w:ind w:right="53"/>
              <w:spacing w:after="0" w:line="123" w:lineRule="exact"/>
              <w:rPr>
                <w:sz w:val="20"/>
                <w:szCs w:val="20"/>
                <w:color w:val="auto"/>
              </w:rPr>
            </w:pPr>
            <w:r>
              <w:rPr>
                <w:rFonts w:ascii="Arial" w:cs="Arial" w:eastAsia="Arial" w:hAnsi="Arial"/>
                <w:sz w:val="14"/>
                <w:szCs w:val="14"/>
                <w:color w:val="auto"/>
              </w:rPr>
              <w:t>Senior</w:t>
            </w:r>
          </w:p>
        </w:tc>
        <w:tc>
          <w:tcPr>
            <w:tcW w:w="160" w:type="dxa"/>
            <w:vAlign w:val="bottom"/>
          </w:tcPr>
          <w:p>
            <w:pPr>
              <w:spacing w:after="0"/>
              <w:rPr>
                <w:sz w:val="10"/>
                <w:szCs w:val="10"/>
                <w:color w:val="auto"/>
              </w:rPr>
            </w:pPr>
          </w:p>
        </w:tc>
      </w:tr>
      <w:tr>
        <w:trPr>
          <w:trHeight w:val="167"/>
        </w:trPr>
        <w:tc>
          <w:tcPr>
            <w:tcW w:w="3000" w:type="dxa"/>
            <w:vAlign w:val="bottom"/>
            <w:gridSpan w:val="3"/>
          </w:tcPr>
          <w:p>
            <w:pPr>
              <w:spacing w:after="0"/>
              <w:rPr>
                <w:sz w:val="20"/>
                <w:szCs w:val="20"/>
                <w:color w:val="auto"/>
              </w:rPr>
            </w:pPr>
            <w:r>
              <w:rPr>
                <w:rFonts w:ascii="Arial" w:cs="Arial" w:eastAsia="Arial" w:hAnsi="Arial"/>
                <w:sz w:val="14"/>
                <w:szCs w:val="14"/>
                <w:color w:val="auto"/>
              </w:rPr>
              <w:t>Collateral type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40"/>
              <w:spacing w:after="0"/>
              <w:rPr>
                <w:sz w:val="20"/>
                <w:szCs w:val="20"/>
                <w:color w:val="auto"/>
              </w:rPr>
            </w:pPr>
            <w:r>
              <w:rPr>
                <w:rFonts w:ascii="Arial" w:cs="Arial" w:eastAsia="Arial" w:hAnsi="Arial"/>
                <w:sz w:val="14"/>
                <w:szCs w:val="14"/>
                <w:color w:val="auto"/>
                <w:w w:val="93"/>
              </w:rPr>
              <w:t>cost</w:t>
            </w: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color w:val="auto"/>
                <w:w w:val="95"/>
              </w:rPr>
              <w:t>value</w:t>
            </w: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color w:val="auto"/>
                <w:w w:val="85"/>
              </w:rPr>
              <w:t>losses</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color w:val="auto"/>
              </w:rPr>
              <w:t>rated</w:t>
            </w:r>
          </w:p>
        </w:tc>
        <w:tc>
          <w:tcPr>
            <w:tcW w:w="380" w:type="dxa"/>
            <w:vAlign w:val="bottom"/>
          </w:tcPr>
          <w:p>
            <w:pPr>
              <w:spacing w:after="0"/>
              <w:rPr>
                <w:sz w:val="14"/>
                <w:szCs w:val="14"/>
                <w:color w:val="auto"/>
              </w:rPr>
            </w:pPr>
          </w:p>
        </w:tc>
        <w:tc>
          <w:tcPr>
            <w:tcW w:w="1360" w:type="dxa"/>
            <w:vAlign w:val="bottom"/>
            <w:gridSpan w:val="2"/>
          </w:tcPr>
          <w:p>
            <w:pPr>
              <w:jc w:val="center"/>
              <w:ind w:right="700"/>
              <w:spacing w:after="0"/>
              <w:rPr>
                <w:sz w:val="20"/>
                <w:szCs w:val="20"/>
                <w:color w:val="auto"/>
              </w:rPr>
            </w:pPr>
            <w:r>
              <w:rPr>
                <w:rFonts w:ascii="Arial" w:cs="Arial" w:eastAsia="Arial" w:hAnsi="Arial"/>
                <w:sz w:val="14"/>
                <w:szCs w:val="14"/>
                <w:color w:val="auto"/>
                <w:w w:val="83"/>
              </w:rPr>
              <w:t>grade</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tranche</w:t>
            </w:r>
          </w:p>
        </w:tc>
      </w:tr>
      <w:tr>
        <w:trPr>
          <w:trHeight w:val="142"/>
        </w:trPr>
        <w:tc>
          <w:tcPr>
            <w:tcW w:w="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6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Residential mortgage loans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Prime — Fixed</w:t>
            </w:r>
          </w:p>
        </w:tc>
        <w:tc>
          <w:tcPr>
            <w:tcW w:w="10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tcBorders>
            <w:gridSpan w:val="2"/>
          </w:tcPr>
          <w:p>
            <w:pPr>
              <w:jc w:val="right"/>
              <w:ind w:right="640"/>
              <w:spacing w:after="0"/>
              <w:rPr>
                <w:sz w:val="20"/>
                <w:szCs w:val="20"/>
                <w:color w:val="auto"/>
              </w:rPr>
            </w:pPr>
            <w:r>
              <w:rPr>
                <w:rFonts w:ascii="Arial" w:cs="Arial" w:eastAsia="Arial" w:hAnsi="Arial"/>
                <w:sz w:val="18"/>
                <w:szCs w:val="18"/>
                <w:color w:val="auto"/>
              </w:rPr>
              <w:t>450,223</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441,914</w:t>
            </w:r>
          </w:p>
        </w:tc>
        <w:tc>
          <w:tcPr>
            <w:tcW w:w="6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(8,309)</w:t>
            </w:r>
          </w:p>
        </w:tc>
        <w:tc>
          <w:tcPr>
            <w:tcW w:w="9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100%</w:t>
            </w:r>
          </w:p>
        </w:tc>
        <w:tc>
          <w:tcPr>
            <w:tcW w:w="1740" w:type="dxa"/>
            <w:vAlign w:val="bottom"/>
            <w:tcBorders>
              <w:top w:val="single" w:sz="8" w:color="CCEEFF"/>
            </w:tcBorders>
            <w:gridSpan w:val="3"/>
          </w:tcPr>
          <w:p>
            <w:pPr>
              <w:jc w:val="right"/>
              <w:ind w:right="540"/>
              <w:spacing w:after="0"/>
              <w:rPr>
                <w:sz w:val="20"/>
                <w:szCs w:val="20"/>
                <w:color w:val="auto"/>
              </w:rPr>
            </w:pPr>
            <w:r>
              <w:rPr>
                <w:rFonts w:ascii="Arial" w:cs="Arial" w:eastAsia="Arial" w:hAnsi="Arial"/>
                <w:sz w:val="18"/>
                <w:szCs w:val="18"/>
                <w:color w:val="auto"/>
              </w:rPr>
              <w:t>100%</w:t>
            </w:r>
          </w:p>
        </w:tc>
        <w:tc>
          <w:tcPr>
            <w:tcW w:w="8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 Hybrid ARMs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2,064,327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1,608,801</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(455,526)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1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76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Prime — Other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119,289</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111,392</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(7,897)</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95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 Fixed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2,425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Alt-A — Hybrid ARMs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301,951</w:t>
            </w:r>
          </w:p>
        </w:tc>
        <w:tc>
          <w:tcPr>
            <w:tcW w:w="860" w:type="dxa"/>
            <w:vAlign w:val="bottom"/>
          </w:tcPr>
          <w:p>
            <w:pPr>
              <w:jc w:val="right"/>
              <w:spacing w:after="0"/>
              <w:rPr>
                <w:sz w:val="20"/>
                <w:szCs w:val="20"/>
                <w:color w:val="auto"/>
              </w:rPr>
            </w:pPr>
            <w:r>
              <w:rPr>
                <w:rFonts w:ascii="Arial" w:cs="Arial" w:eastAsia="Arial" w:hAnsi="Arial"/>
                <w:sz w:val="18"/>
                <w:szCs w:val="18"/>
                <w:color w:val="auto"/>
              </w:rPr>
              <w:t>177,642</w:t>
            </w:r>
          </w:p>
        </w:tc>
        <w:tc>
          <w:tcPr>
            <w:tcW w:w="64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(124,309)</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76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 Option ARMs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6,568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(2,510)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5,326</w:t>
            </w:r>
          </w:p>
        </w:tc>
        <w:tc>
          <w:tcPr>
            <w:tcW w:w="860" w:type="dxa"/>
            <w:vAlign w:val="bottom"/>
          </w:tcPr>
          <w:p>
            <w:pPr>
              <w:jc w:val="right"/>
              <w:spacing w:after="0"/>
              <w:rPr>
                <w:sz w:val="20"/>
                <w:szCs w:val="20"/>
                <w:color w:val="auto"/>
              </w:rPr>
            </w:pPr>
            <w:r>
              <w:rPr>
                <w:rFonts w:ascii="Arial" w:cs="Arial" w:eastAsia="Arial" w:hAnsi="Arial"/>
                <w:sz w:val="18"/>
                <w:szCs w:val="18"/>
                <w:color w:val="auto"/>
              </w:rPr>
              <w:t>3,177</w:t>
            </w:r>
          </w:p>
        </w:tc>
        <w:tc>
          <w:tcPr>
            <w:tcW w:w="64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(2,149)</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2,950,109</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2,349,403</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(600,706)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1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81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r>
      <w:tr>
        <w:trPr>
          <w:trHeight w:val="20"/>
        </w:trPr>
        <w:tc>
          <w:tcPr>
            <w:tcW w:w="19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439"/>
        </w:trPr>
        <w:tc>
          <w:tcPr>
            <w:tcW w:w="3000" w:type="dxa"/>
            <w:vAlign w:val="bottom"/>
            <w:gridSpan w:val="3"/>
          </w:tcPr>
          <w:p>
            <w:pPr>
              <w:spacing w:after="0"/>
              <w:rPr>
                <w:sz w:val="20"/>
                <w:szCs w:val="20"/>
                <w:color w:val="auto"/>
              </w:rPr>
            </w:pPr>
            <w:r>
              <w:rPr>
                <w:rFonts w:ascii="Arial" w:cs="Arial" w:eastAsia="Arial" w:hAnsi="Arial"/>
                <w:sz w:val="18"/>
                <w:szCs w:val="18"/>
                <w:color w:val="auto"/>
              </w:rPr>
              <w:t>Commercial mortgage loans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41,914</w:t>
            </w: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32,215</w:t>
            </w:r>
          </w:p>
        </w:tc>
        <w:tc>
          <w:tcPr>
            <w:tcW w:w="64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(9,699)</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2,992,023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2,381,618</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(610,405)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March 31, 2009.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0"/>
        <w:spacing w:after="0" w:line="284" w:lineRule="auto"/>
        <w:rPr>
          <w:sz w:val="20"/>
          <w:szCs w:val="20"/>
          <w:color w:val="auto"/>
        </w:rPr>
      </w:pPr>
      <w:r>
        <w:rPr>
          <w:rFonts w:ascii="Arial" w:cs="Arial" w:eastAsia="Arial" w:hAnsi="Arial"/>
          <w:sz w:val="16"/>
          <w:szCs w:val="16"/>
          <w:color w:val="auto"/>
        </w:rPr>
        <w:t>Due to the severe disruption in the credit markets during the second half of 2008 and continuing into 2009, trading activity for privately issued mortgage-backed securities was dramatically reduced. In estimating values for such securities, the Company was significantly restricted in the level of market observable assumptions used in the valuation of its privately issued mortgage-backed securities portfolio. Because of the inactivity and the lack of observable valuation inputs, the Company transferred $2.2 billion of its privately issued mortgage-backed securities portfolio from Level 2 to Level 3 valuations in 2008. The remaining portion of its portfolio of privately issued mortgage-backed securities had already been classified as Level 3. To assist in the determination of fair value for its privately issued mortgage-backed securities, the Company engaged two independent pricing sources at March 31, 2009 and December 31, 2008. In determining fair value of those securities at December 31, 2008, in general, the Company averaged the results obtained from the independent sources. In April 2009, the FASB issued FASB Staff Position No. 157-4, “Determining Fair Value When the Volume and Level of Activity for the Asset or Liability Have Significantly Decreased and Identifying Transactions That Are Not Orderly” (“FSP 157-4”). FSP 157-4 provided additional guidance for estimating fair value when the volume and level of trading activity for the asset or liability have significantly decreased. In consideration of the new FASB guidance, the Company performed internal modeling to estimate the cash flows and fair value of 121 of its privately issued residential mortgage-backed securities with an amortized cost basis of $2.3 billion at March 31, 2009. The Company’s internal modeling techniques included discounting estimated bond-specific cash flows using assumptions about cash flows associated with loans underlying each of the bonds. In estimating those cash flows, the Company used conservative assumptions as to future delinquency,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each of the 121 bonds under current market conditions, M&amp;T computed prices based on judgmentally applied weightings of the internal model valuations and the prices obtained from the average of the two independent pricing sources. Weightings applied to internal model valuations were generally dependent on bond structure and collateral type, with prices for bonds in non-senior tranches generally receiving lower weightings on the internal model results and greater weightings of the valuation data provided by the independent pricing sources. As a result, certain other valuations of privately issued residential mortgage-backed securities were determined by reference to independent pricing sources without adjustment. The average weight placed on internal model valuations was 37%, compared with a 63% weighting on valuations provided by the independent sources. The highest and lowest weights placed on internal valuations were 40% and 0%. The impact of adopting FSP 157-4 and using an internal valuation modeling technique was to increase accumulated other comprehensive income at March 31, 2009 by $142 million ($233 million pre-tax). Further information concerning the Company’s valuations of privately issued mortgage-backed securities can be found in note 9 of Notes to Financial Statements.</w:t>
      </w:r>
    </w:p>
    <w:p>
      <w:pPr>
        <w:spacing w:after="0" w:line="285" w:lineRule="exact"/>
        <w:rPr>
          <w:sz w:val="20"/>
          <w:szCs w:val="20"/>
          <w:color w:val="auto"/>
        </w:rPr>
      </w:pPr>
    </w:p>
    <w:p>
      <w:pPr>
        <w:ind w:right="180" w:firstLine="450"/>
        <w:spacing w:after="0" w:line="255" w:lineRule="auto"/>
        <w:rPr>
          <w:sz w:val="20"/>
          <w:szCs w:val="20"/>
          <w:color w:val="auto"/>
        </w:rPr>
      </w:pPr>
      <w:r>
        <w:rPr>
          <w:rFonts w:ascii="Arial" w:cs="Arial" w:eastAsia="Arial" w:hAnsi="Arial"/>
          <w:sz w:val="18"/>
          <w:szCs w:val="18"/>
          <w:color w:val="auto"/>
        </w:rPr>
        <w:t>For the quarter ended March 31, 2009 the Company recognized $32 million (pre-tax) of other-than-temporary impairment losses related to privately issued residential mortgage-backed securities with an amortized cost basis (before impairment charge) of $90 million. Those other-than-temporary impairment losses were determined in accordance with the newly issued FASB Staff Position No. FAS 115-2 and FAS 124-2 (“FSP 115-2”) and, therefore, represent the estimated credit losses on the impaired securities. The other-than-temporary impairment losses recognized in the income statement were net of $31 million of unrealized losses for the same securities resulting from other factors that have been reflected in accumulated other comprehensive income. Despite rising levels of delinquencies and losses in the underlying residential mortgage loan collateral, given credit enhancements resulting from the structures of</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individual bonds the Company expects that as of March 31, 2009 it will recover the amortized cost basis of its remaining privately issued mortgage-backed securities and has therefore concluded that such securities were not other-than-temporarily impaired as of that date. Nevertheless, given recent market conditions, it is possible that adverse changes in repayment performance and fair value could occur in the remainder of 2009 and later years that could impact the Company’s conclusions. Management has modeled cash flows from privately issued mortgage-backed securities under various scenarios and has concluded that even if home price depreciation and current delinquency trends persist for an extended period of time, the Company’s principal losses, if any, on its privately issued mortgage-backed securities would be substantially less than their current fair valuation losses.</w:t>
      </w:r>
    </w:p>
    <w:p>
      <w:pPr>
        <w:spacing w:after="0" w:line="57"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During 2008, the Company reconsidered its intention to hold certain collateralized mortgage obligations securitized by Bayview Financial Holdings, L.P. (together with its affiliates, “Bayview Financial”). Bayview Financial is a privately-held company and is the majority investor of BLG. Concluding that it had the intent and ability to hold those securities to maturity, the Company transferred collateralized mortgage obligations with a cost basis of $385 million and a fair value of $298 million from its available-for-sale investment securities portfolio to its held-to-maturity investment securities portfolio. As a result, at March 31, 2009 the Company had in its held-to-maturity portfolio collateralized mortgage obligations securitized by Bayview Financial with an amortized cost basis of $397 million (excluding $78 million of unamortized fair value adjustment (pre-tax) residing in accumulated other comprehensive income from the time of transfer) and a fair value of $201 million. At March 31, 2009, the amortized cost and fair value of collateralized mortgage obligations securitized by Bayview Financial in the Company’s available-for-sale investment securities portfolio were $38 million and $29 million, respectively, and at December 31, 2008 were $40 million and $32 million, respectively. The Company has determined that it expects to fully recover its amortized cost basis of the private collateralized mortgage obligations securitized by Bayview Financial and therefore believes such securities were not other-than-temporarily impaired at March 31, 2009.</w:t>
      </w:r>
    </w:p>
    <w:p>
      <w:pPr>
        <w:spacing w:after="0" w:line="7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As of March 31, 2009, based on a review of each of the remaining securities in the investment securities portfolio, the Company concluded that it expects to recover its amortized cost basis for such securities. Accordingly, the Company concluded that the declines in the values of those securities were temporary and that any additional other-than-temporary impairment charges were not appropriate at March 31, 2009. As of that date, the Company did not intend to sell nor is it anticipated that it would be required to sell any of its impaired securities, that is where fair value is less than the cost basis of the security. The Company intends to closely monitor the performance of the privately issued mortgage-backed securities and other securities to assess if changes in their underlying credit performance or other events cause the cost basis of those securities to become other-than-temporarily impaired. However, because the unrealized losses on available-for-sale investment securities have generally already been reflected in the financial statement values for investment securities and stockholders’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stockholders’ equity.</w:t>
      </w:r>
    </w:p>
    <w:p>
      <w:pPr>
        <w:spacing w:after="0" w:line="70" w:lineRule="exact"/>
        <w:rPr>
          <w:sz w:val="20"/>
          <w:szCs w:val="20"/>
          <w:color w:val="auto"/>
        </w:rPr>
      </w:pPr>
    </w:p>
    <w:p>
      <w:pPr>
        <w:ind w:right="260" w:firstLine="440"/>
        <w:spacing w:after="0" w:line="264" w:lineRule="auto"/>
        <w:rPr>
          <w:sz w:val="20"/>
          <w:szCs w:val="20"/>
          <w:color w:val="auto"/>
        </w:rPr>
      </w:pPr>
      <w:r>
        <w:rPr>
          <w:rFonts w:ascii="Arial" w:cs="Arial" w:eastAsia="Arial" w:hAnsi="Arial"/>
          <w:sz w:val="18"/>
          <w:szCs w:val="18"/>
          <w:color w:val="auto"/>
        </w:rPr>
        <w:t>Also reflected in accumulated other comprehensive income were net losses of $3 million, or $.02 per share, representing the remaining unrealized losses related to the termination of interest rate swap agreements designated as cash flow hedges. There were no outstanding interest rate swap agreements designated as cash flow hedges at March 31, 2009, March 31, 2008 or December 31, 2008.</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as required under SFAS No. 158, net of applicable tax effect, reduced accumulated other comprehensive income by $174 million at each of March 31, 2009 and December 31, 2008, or $1.56 and $1.58 per common share at those respective dates, and $47 million, or $.42 per common share, at March 31, 2008. The increase in such adjustment at the two most recent quarter-ends as compared with March 31, 2008 was predominantly the result of actual investment performance of assets held by the Company’s qualified pension plan being significantly worse than that assumed for actuarial purposes.</w:t>
      </w:r>
    </w:p>
    <w:p>
      <w:pPr>
        <w:spacing w:after="0" w:line="80" w:lineRule="exact"/>
        <w:rPr>
          <w:sz w:val="20"/>
          <w:szCs w:val="20"/>
          <w:color w:val="auto"/>
        </w:rPr>
      </w:pPr>
    </w:p>
    <w:p>
      <w:pPr>
        <w:ind w:right="120" w:firstLine="450"/>
        <w:spacing w:after="0" w:line="259" w:lineRule="auto"/>
        <w:rPr>
          <w:sz w:val="20"/>
          <w:szCs w:val="20"/>
          <w:color w:val="auto"/>
        </w:rPr>
      </w:pPr>
      <w:r>
        <w:rPr>
          <w:rFonts w:ascii="Arial" w:cs="Arial" w:eastAsia="Arial" w:hAnsi="Arial"/>
          <w:sz w:val="18"/>
          <w:szCs w:val="18"/>
          <w:color w:val="auto"/>
        </w:rPr>
        <w:t>Cash dividends paid on M&amp;T’s common stock during the quarter ended March 31, 2009 totaled $78 million, compared with $77 million in each of the quarters ended March 31, 2008 and December 31, 2008, and represented a quarterly dividend payment of $.70 per common share in each of those three quarters. A cash dividend of $4 million, or $7.22 per share, was paid in the first quarter of 2009 to the U.S. Treasury on M&amp;T’s Series A Preferred Stock, issued on December 23, 2008.</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repurchase any shares of its common stock during 2008 or the first quarter of 2009.</w:t>
      </w:r>
    </w:p>
    <w:p>
      <w:pPr>
        <w:spacing w:after="0" w:line="117"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Federal regulators generally require banking institutions to maintain “core capital” and “total capital” ratios of at least 4% and 8%, respectively, of risk-adjusted total assets. In addition to the risk-based measures, Federal bank regulators have also implemented a minimum “leverage” ratio guideline of 3% of the quarterly average of total assets. As of March 31, 2009, core capital included $1.1 billion of trust preferred securities described in note 4 of Notes to Financial Statements and $600 million of Series A Preferred Stock and warrants to purchase M&amp;T’s common stock issued to the U.S. Treasury. Total capital further included $1.6 billion of subordinated capital notes.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regulatory capital ratios of the Company, M&amp;T Bank and M&amp;T Bank, N.A. as of March 31, 2009 are presented in the accompanying table.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2009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20" w:type="dxa"/>
            <w:vAlign w:val="bottom"/>
          </w:tcPr>
          <w:p>
            <w:pPr>
              <w:jc w:val="right"/>
              <w:ind w:right="317"/>
              <w:spacing w:after="0"/>
              <w:rPr>
                <w:sz w:val="20"/>
                <w:szCs w:val="20"/>
                <w:color w:val="auto"/>
              </w:rPr>
            </w:pPr>
            <w:r>
              <w:rPr>
                <w:rFonts w:ascii="Arial" w:cs="Arial" w:eastAsia="Arial" w:hAnsi="Arial"/>
                <w:sz w:val="14"/>
                <w:szCs w:val="14"/>
                <w:color w:val="auto"/>
              </w:rPr>
              <w:t>M&amp;T</w:t>
            </w:r>
          </w:p>
        </w:tc>
        <w:tc>
          <w:tcPr>
            <w:tcW w:w="54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M&amp;T</w:t>
            </w:r>
          </w:p>
        </w:tc>
      </w:tr>
      <w:tr>
        <w:trPr>
          <w:trHeight w:val="167"/>
        </w:trPr>
        <w:tc>
          <w:tcPr>
            <w:tcW w:w="7120" w:type="dxa"/>
            <w:vAlign w:val="bottom"/>
          </w:tcPr>
          <w:p>
            <w:pPr>
              <w:spacing w:after="0"/>
              <w:rPr>
                <w:sz w:val="14"/>
                <w:szCs w:val="14"/>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(Consolidated)</w:t>
            </w: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Bank</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Bank, N.A.</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Core capital</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8.76%</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7.52%</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15.49%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Total capital</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12.74%</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11.55%</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15.73%</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Leverage</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8.39%</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7.19%</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13.59%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accordance with the provisions of SFAS No. 131, “Disclosures About Segments of an Enterprise and Related Information,” the Company’s reportable segments have been determined based upon its internal profitability reporting system, which is organized by strategic business unit. Financial information about the Company’s segments is presented in note 11 of Notes to Financial Statements.</w:t>
      </w:r>
    </w:p>
    <w:p>
      <w:pPr>
        <w:spacing w:after="0" w:line="73" w:lineRule="exact"/>
        <w:rPr>
          <w:sz w:val="20"/>
          <w:szCs w:val="20"/>
          <w:color w:val="auto"/>
        </w:rPr>
      </w:pPr>
    </w:p>
    <w:p>
      <w:pPr>
        <w:ind w:right="80" w:firstLine="447"/>
        <w:spacing w:after="0" w:line="279" w:lineRule="auto"/>
        <w:rPr>
          <w:sz w:val="20"/>
          <w:szCs w:val="20"/>
          <w:color w:val="auto"/>
        </w:rPr>
      </w:pPr>
      <w:r>
        <w:rPr>
          <w:rFonts w:ascii="Arial" w:cs="Arial" w:eastAsia="Arial" w:hAnsi="Arial"/>
          <w:sz w:val="17"/>
          <w:szCs w:val="17"/>
          <w:color w:val="auto"/>
        </w:rPr>
        <w:t>The Business Banking segment’s net income totaled $30 million in the first quarter of 2009, compared with $33 million in the first quarter of 2008 and $28 million in the fourth quarter of 2008. The decrease in net income from the year-earlier quarter was mainly due to lower net interest income of $2 million, resulting largely from a narrowing of the net interest margin on deposits and loans, offset, in part, by the impact of higher average deposit balances of $393 million. Also contributing to the lower net income were increases in the provision for credit losses and deposit insurance expense.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improvement in net income as compared with 2008’s fourth quarter was the result of a $4 million decline in the provision for credit losses, due to lower net charge-offs of loans, partially offset by higher deposit insurance expense.</w:t>
      </w:r>
    </w:p>
    <w:p>
      <w:pPr>
        <w:spacing w:after="0" w:line="62" w:lineRule="exact"/>
        <w:rPr>
          <w:sz w:val="20"/>
          <w:szCs w:val="20"/>
          <w:color w:val="auto"/>
        </w:rPr>
      </w:pPr>
    </w:p>
    <w:p>
      <w:pPr>
        <w:ind w:right="20" w:firstLine="450"/>
        <w:spacing w:after="0" w:line="271" w:lineRule="auto"/>
        <w:rPr>
          <w:sz w:val="20"/>
          <w:szCs w:val="20"/>
          <w:color w:val="auto"/>
        </w:rPr>
      </w:pPr>
      <w:r>
        <w:rPr>
          <w:rFonts w:ascii="Arial" w:cs="Arial" w:eastAsia="Arial" w:hAnsi="Arial"/>
          <w:sz w:val="17"/>
          <w:szCs w:val="17"/>
          <w:color w:val="auto"/>
        </w:rPr>
        <w:t>Net income earned by the Commercial Banking segment aggregated $57 million in the recent quarter, 14% below the $67 million earned in the first quarter of 2008, but 73% higher than the $33 million total in 2008’s fourth quarter. The decline in net income in the first three months of 2009 as compared with the year-earlier period resulted from a $17 million increase in the provision for credit losses, due to a rise in net loan charge-offs, lower fees for providing loan syndication services of $9 million, and an increase in deposit insurance expense, partially offset by a $9 million increase in net interest income and higher deposit account service fees. Contributing to the higher net interest income were increases in average deposit and loan balances of $2.1 billion and $942 million, respectively. The main factors contributing to the favorable performance as compared with the fourth quarter of 2008 was a $37 million decrease in the provision for credit losses, primarily the result of lower net charge-offs of loans, and a $3 million increase in net interest income, largely due to a 10 basis point widening of the loan net interest margin.</w:t>
      </w:r>
    </w:p>
    <w:p>
      <w:pPr>
        <w:spacing w:after="0" w:line="71" w:lineRule="exact"/>
        <w:rPr>
          <w:sz w:val="20"/>
          <w:szCs w:val="20"/>
          <w:color w:val="auto"/>
        </w:rPr>
      </w:pPr>
    </w:p>
    <w:p>
      <w:pPr>
        <w:ind w:right="80" w:firstLine="447"/>
        <w:spacing w:after="0" w:line="276" w:lineRule="auto"/>
        <w:rPr>
          <w:sz w:val="20"/>
          <w:szCs w:val="20"/>
          <w:color w:val="auto"/>
        </w:rPr>
      </w:pPr>
      <w:r>
        <w:rPr>
          <w:rFonts w:ascii="Arial" w:cs="Arial" w:eastAsia="Arial" w:hAnsi="Arial"/>
          <w:sz w:val="17"/>
          <w:szCs w:val="17"/>
          <w:color w:val="auto"/>
        </w:rPr>
        <w:t>The Commercial Real Estate segment contributed net income of $43 million in each of the quarters ended March 31, 2009, March 31, 2008 and December 31, 2008. When comparing the results of the first three months of 2009 with the similar 2008 period, a $3 million improvement in net interest income, primarily the result of a $666 million increase in average loan balances outstanding, was offset by a $3 million increase in the provision for credit losses, largely attributable to that loan growth and higher net charge-offs. As compared with the immediately preceding quarter, a decrease in personnel costs and a lower provision for credit losses were offset by a decline in commercial mortgage banking revenues.</w:t>
      </w:r>
    </w:p>
    <w:p>
      <w:pPr>
        <w:spacing w:after="0" w:line="64"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The Discretionary Portfolio segment incurred a net loss of $5 million for the first three months of 2009, compared with net income of $16 million in the first quarter of 2008 and $9 million in the final quarter of 2008. Included in the results of the two most recent quarters were other-than-temporary impairment charges of $32 million and $24 million, respectively, related to investment securities held in the Company’s available-for-sale portfolio. There were no impairment charges recorded in the first quarter of 2008. The impairment charges recorded in the current quarter were on certain private CMOs, while the impairment charges in the fourth quarter of 2008 related to certain private CMOs and CDOs backed by bank trust preferred securities. The leading factor for the recent quarter’s decline in net income as compared with the corresponding quarter of 2008 was the impairment charge recorded in the current quarter. Factors contributing to the decline in net income in 2009’s initial quarter as compared with the fourth quarter of 2008 include the impact of higher other-than-temporary impairment charges as described above; lower net interest income of $16 million, the result of a 18 basis point narrowing of this segment’s net interest margin; and a $3 million decrease in revenues from bank owned life insurance. Partially offsetting those items was a $7 million decline in expenses related to changes in the valuation allowance for capitalized mortgage servicing rights.</w:t>
      </w:r>
    </w:p>
    <w:p>
      <w:pPr>
        <w:spacing w:after="0" w:line="70" w:lineRule="exact"/>
        <w:rPr>
          <w:sz w:val="20"/>
          <w:szCs w:val="20"/>
          <w:color w:val="auto"/>
        </w:rPr>
      </w:pPr>
    </w:p>
    <w:p>
      <w:pPr>
        <w:ind w:right="80" w:firstLine="447"/>
        <w:spacing w:after="0" w:line="279" w:lineRule="auto"/>
        <w:rPr>
          <w:sz w:val="20"/>
          <w:szCs w:val="20"/>
          <w:color w:val="auto"/>
        </w:rPr>
      </w:pPr>
      <w:r>
        <w:rPr>
          <w:rFonts w:ascii="Arial" w:cs="Arial" w:eastAsia="Arial" w:hAnsi="Arial"/>
          <w:sz w:val="17"/>
          <w:szCs w:val="17"/>
          <w:color w:val="auto"/>
        </w:rPr>
        <w:t>The Residential Mortgage Banking segment recorded net income of $6 million and $5 million in the first quarters of 2009 and 2008, respectively, compared with a net loss of $25 million in the final quarter of 2008. Contributing to the slight increase in net income in 2009 as compared with the first three months of 2008 was a $14 million increase in noninterest revenues from residential mortgage loan origination activities, primarily resulting from increased volume, and a $4 million partial reversal of the capitalized mortgage servicing rights valuation allowance in the current quarter,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compared with a $5 million addition to such allowance in the first quarter of 2008. Those factors were mostly offset by a $20 million increase in the provision for credit losses to $24 million, due to higher net charge offs of loans to builders and developers of residential real estate properties. The main factors contributing to the net loss recorded in the final quarter of 2008 were a $27 million provision for credit losses resulting predominantly from net charge-offs of loans to builders and developers of residential real estate properties and a $13 million addition to the capitalized mortgage servicing rights valuation allowance. The recent quarter’s improvement in net income as compared with the fourth quarter of 2008 also reflects the higher noninterest revenues from residential mortgage origination activities.</w:t>
      </w:r>
    </w:p>
    <w:p>
      <w:pPr>
        <w:spacing w:after="0" w:line="85"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Net income for the Retail Banking segment totaled $52 million in 2009’s first quarter, 31% lower than the $75 million earned in the year-earlier quarter, and slightly below the $53 million earned in the fourth quarter of 2008. The decrease in net income as compared with the corresponding quarter of 2008 was largely the result of a $17 million increase in the provision for credit losses, driven by higher net charge-offs of loans, and an $11 million decline in net interest income. That drop in net interest income was mainly due to a 36 basis point narrowing of the net interest margin on deposit products, net of an increase in average deposit balances of $1.6 billion. As compared with the final 2008 quarter, an $8 million decrease in fees earned for providing deposit account services and a $5 million increase in deposit insurance expense were offset by lower costs for advertising, promotion and personnel costs, and an increase in net interest income, due in part to an $844 million increase in average deposit balances.</w:t>
      </w:r>
    </w:p>
    <w:p>
      <w:pPr>
        <w:spacing w:after="0" w:line="70" w:lineRule="exact"/>
        <w:rPr>
          <w:sz w:val="20"/>
          <w:szCs w:val="20"/>
          <w:color w:val="auto"/>
        </w:rPr>
      </w:pPr>
    </w:p>
    <w:p>
      <w:pPr>
        <w:ind w:firstLine="447"/>
        <w:spacing w:after="0" w:line="286"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as determined in accordance with SFAS No. 131, such as the Company’s trust, brokerage and insurance businesses. Also reflected in this category are the amortization of core deposit and other intangible assets resulting from the acquisitions of financial institutions, M&amp;T’s equity in the earnings of BLG, merger-related expenses resulting from acquisitions of financial institutions and the net impact of the Company’s allocation methodologies for internal funds transfer pricing and the provision for credit losses. The various components of the “All Other” category resulted in net losses of $119 million in the first quarter of 2009, $37 million in the year-earlier quarter, and $39 million in the fourth quarter of 2008. Several factors contributed to the recent quarter’s higher net loss as compared with the year-earlier quarter including: Visa-related transactions that were recorded in the first quarter of 2008, including the previously mentioned $33 million gain realized from the mandatory partial redemption of Visa stock owned by M&amp;T Bank and $15 million related to the reversal of Visa litigation-related accruals initially made in 2007’s fourth quarter; the unfavorable impact from the Company’s allocation methodologies for internal transfers for funding charges and credits associated with the earning assets and interest-bearing liabilities of the Company’s reportable segments and the provision for credit losses; and increases of $5 million in each of personnel costs and professional service expenses associated with the business and support units included in the “All Other” category. The main factors contributing to the higher net loss in 2009’s first quarter as compared with the fourth quarter of 2008 were: a $29 million rise in noninterest expenses, largely related to personnel costs, including stock-based compensation expense, payroll-related taxes and other employee benefits, and the impact from the Company’s allocation methodologies for internal transfers for funding charges and credits associated with the earning assets and interest-bearing liabilities of the Company’s reportable segments and the provision for credit losses.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April 2009, the Financial Accounting Standards Board (“FASB”) issued FASB Staff Position FAS 157-4, “Determining Fair Value When the Volume and Level of Activity for the Asset or Liability Have Significantly Decreased and Identifying Transactions That Are Not Orderly” (“FSP 157-4”). FSP 157-4 retains the objective of fair value measurement under SFAS No. 157, “Fair Value Measurements,” that is, fair value is the price that would be received to sell an asset or paid to transfer a liability in an orderly transaction (that is, not a forced or distressed sale) between market participants at the measurement date under current market conditions. FSP 157-4 provides guidance on determining fair value when the volume and level of activity for the asset or liability have significantly decreased. If a reporting entity concludes there has been a significant decrease in the volume and level of activity for the asset or liability in relation to normal market activity for the asset or liability (or similar assets or liabilities), transactions or quoted prices may not be determinative of fair value (for example, there may be increased instances of transactions that are not orderly) and a significant adjustment to the transactions or quoted prices may be necessary to estimate fair value. FSP 157-4 also provides guidance on identifying circumstances that indicate a transaction is not orderly. A reporting entity should place little, if any, weight on a transaction price if the transaction is determined to not be orderly. In those instances other valuation techniques may be considered in the determination of fair value. FSP 157-4 is effective for interim and annual periods ending after June 15, 2009 and should be applied prospectively. Early adoption is permitted for periods ending after March 15, 2009. The Company has elected to early adopt the provisions of FSP 157-4 and has considered the guidance in its determination of the fair value for certain investments in privately issued mortgage-backed securities at March 31, 2009. Information concerning fair value measurements and the Company’s approach to and classification of such measurements is included herein under “Capital” and in note 9 of Notes to Financial Statements.</w:t>
      </w:r>
    </w:p>
    <w:p>
      <w:pPr>
        <w:spacing w:after="0" w:line="75"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In April 2009, the FASB also issued FASB Staff Position FAS 115-2 and FAS 124-2, “Recognition and Presentation of Other-Than-Temporary Impairments” (“FSP 115-2”). FSP 115-2 was issued to amend other-than-temporary impairment guidance for debt securities classified as available for sale and held to maturity. Under the new guidance, if the fair value of a debt security is less than its amortized cost basis, an entity shall assess whether the impairment is other than temporary. If an entity intends to sell the debt security, it is more likely than not to be required to sell the security before recovery of its amortized cost basis, or the entity does not expect to recover the entire amortized cost basis of the security, an other-than-temporary impairment shall be considered to have occurred. If an entity intends to sell the security or more likely than not will be required to sell the security before recovery of its amortized cost basis less any current-period credit loss, the other-than-temporary impairment should be recognized in earnings equal to the entire difference between the debt security’s amortized cost basis and its fair value at the balance sheet date. If an entity does not expect to recover the entire amortized cost basis of the security, the entity does not intend to sell the security and it is not more likely than not that the entity will be required to sell the security before recovery of its amortized cost basis less any current-period credit loss, the other-than-temporary impairment should be separated into (a) the amount representing the credit loss and (b) the amount related to all other factors. The amount of the other-than-temporary impairment related to the credit loss should be recognized in earnings while the amount related to other factors should be recognized in other comprehensive income, net of applicable taxes. Subsequently, an entity should account for the other-than- temporarily impaired debt security as if the security had been purchased on the measurement date of the other-than-temporary impairment at an amortized cost basis equal to the previous amortized cost basis less the other-than-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temporary impairment recognized in earnings. For debt securities for which other-than-temporary impairments were recognized in earnings, the excess of the cash flows expected to be collected over the new amortized cost basis should be accreted to interest income. Other-than-temporary impairment recognized in other comprehensive income for debt securities classified as a held-to-maturity should be accreted from other comprehensive income to the amortized cost basis of the debt security over the remaining life of the debt security in a prospective manner on the basis of the amount and timing of future estimated cash flows. Total impairment should be presented in the statement of earnings with an offset for the amount of impairment that is recognized in other comprehensive income. FSP 115-2 is effective for interim and annual reporting periods ending after June 15, 2009, with early adoption permitted for periods ending after March 15, 2009. The Company has elected to early adopt the provisions of FSP 115-2 at March 31, 2009. Information concerning the Company’s assessment of debt securities for other-than-temporary impairment is included herein under “Capital” and in note 3 of Notes to Financial Statements.</w:t>
      </w:r>
    </w:p>
    <w:p>
      <w:pPr>
        <w:spacing w:after="0" w:line="5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Also in April 2009, the FASB issued FASB Staff Position FAS 107-1 and APB 28-1, “Interim Disclosures about Fair Value of Financial Instruments” (“FSP 107-1”). FSP 107-1 requires a publicly traded company to provide disclosures about the fair value of its financial instruments whenever it issues summarized financial information for interim reporting periods. FSP 107-1 is effective for interim reporting periods ending after June 15, 2009, with early adoption permitted for periods ending after March 15, 2009. An entity may early adopt FSP 107-1 only if it also elects to early adopt FSP 157-4 and FSP 115-2 &amp; 124-2. FSP 107-1 requires comparative disclosures only for periods ending after initial adoption. The Company intends to comply with the disclosure requirements of FSP 107-1 in the second quarter of 2009.</w:t>
      </w:r>
    </w:p>
    <w:p>
      <w:pPr>
        <w:spacing w:after="0" w:line="85"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In June 2008, the FASB issued FASB Staff Position EITF 03-6-1, “Determining Whether Instruments Granted in Share-Based Payment Transactions Are Participating Securities” (“FSP 03-6-1”). FSP 03-6-1 was issued to specify that unvested share-based payment awards that contain nonforfeitable rights to dividends or dividend equivalents (whether paid or unpaid) are participating securities and shall be included in the computation of earnings per share pursuant to the two-class method. FSP 03-6-1 is effective for financial statements issued for fiscal years beginning after December 15, 2008 and interim periods within those years and requires retrospective adjustment of all prior-period earnings per share amounts presented. In January 2009, the Company issued a significant portion of its annual stock-based compensation awards in the form of restricted stock and restricted stock units, which are considered participating securities under FSP 03-6-1. Beginning in the quarter ended March 31, 2009, the Company’s earnings per share is calculated using the two-class method. The effects of the application of the provisions of FSP 03-6-1 to previously reported earnings per common share amounts were not material. Adoption of this FSP did not have a material impact on earnings per common share. The computations of earnings per common share are included in note 6 of Notes to Financial Statements.</w:t>
      </w:r>
    </w:p>
    <w:p>
      <w:pPr>
        <w:spacing w:after="0" w:line="70" w:lineRule="exact"/>
        <w:rPr>
          <w:sz w:val="20"/>
          <w:szCs w:val="20"/>
          <w:color w:val="auto"/>
        </w:rPr>
      </w:pPr>
    </w:p>
    <w:p>
      <w:pPr>
        <w:ind w:right="140" w:firstLine="450"/>
        <w:spacing w:after="0" w:line="255" w:lineRule="auto"/>
        <w:rPr>
          <w:sz w:val="20"/>
          <w:szCs w:val="20"/>
          <w:color w:val="auto"/>
        </w:rPr>
      </w:pPr>
      <w:r>
        <w:rPr>
          <w:rFonts w:ascii="Arial" w:cs="Arial" w:eastAsia="Arial" w:hAnsi="Arial"/>
          <w:sz w:val="18"/>
          <w:szCs w:val="18"/>
          <w:color w:val="auto"/>
        </w:rPr>
        <w:t>In December 2007, the FASB issued a revised SFAS No. 141, “Business Combinations” (“SFAS No. 141R”). SFAS No. 141R retains the fundamental requirements of SFAS No. 141 that the acquisition method of accounting be used for all business combinations and for an acquirer to be identified for each business combination. SFAS No. 141R defines the acquirer as the entity that obtains control of one or more businesses in the business combination and establishes the acquisition date as the date the acquirer achieves control. SFAS No. 141R retains the guidance in SFAS No. 141 for identifying and recognizing intangible assets separately from goodwill. With limited exceptions, the statement requires an acquirer to recognize the assets acquired, the liabilities assumed and any noncontrolling interest in the acquiree at the acquisition date, measured at their fair value as of that date. That replaces SFAS No. 141’s cost-allocation process, which required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cost of an acquisition to be allocated to the individual assets acquired and liabilities assumed based on their estimated fair values. As a result, certain acquisition-related costs previously included in the cost of an acquisition will be required to be expensed as incurred. In addition, certain restructuring costs previously recognized as if they were an assumed liability from an acquisition will be required to be expensed. SFAS No. 141R also requires the acquirer in a business combination achieved in stages (sometimes referred to as a step acquisition) to recognize the identifiable assets and liabilities, as well as the noncontrolling interest in the acquiree, at the full amounts of their fair values. SFAS No. 141R requires an acquirer to recognize goodwill as of the acquisition date measured as a residual, which in most types of business combinations will result in measuring goodwill as the excess of the consideration transferred plus the fair value of any noncontrolling interest in the acquiree at the acquisition date over the fair value of the identifiable net assets acquired. SFAS</w:t>
      </w:r>
    </w:p>
    <w:p>
      <w:pPr>
        <w:spacing w:after="0" w:line="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No. 141R also eliminates the recognition of a separate valuation allowance, such as an allowance for credit losses, as of the acquisition date for assets acquired in a business combination that are measured at their acquisition-date fair values because the effects of uncertainty about future cash flows should be included in the fair value measurement of those assets. SFAS No. 141R should be applied prospectively to business combinations for which the acquisition date is on or after the beginning of the first annual reporting period beginning on or after December 15, 2008. Earlier adoption is prohibited. The Company believes that the adoption of SFAS No. 141R will significantly impact its accounting for any acquisitions it may consummate in 2009 and beyond, including its announced transaction to acquire Provident in a stock-for-stock transaction, which is expected to close during the second quarter of 2009.</w:t>
      </w:r>
    </w:p>
    <w:p>
      <w:pPr>
        <w:spacing w:after="0" w:line="56"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In April 2009, the FASB issued FASB Staff Position FAS 141(R)-1, “Accounting for Assets Acquired and Liabilities Assumed in a Business Combination That Arise from Contingencies” (“FSP 141R-1”). FSP 141R-1 amends and clarifies SFAS No. 141R to address application issues with respect to initial recognition and measurement, subsequent measurement and accounting, and disclosure of assets and liabilities arising from contingencies in a business combination. FSP 141R-1 applies to all assets acquired and liabilities assumed in a business combination that arise from contingencies that would be within the scope of SFAS No. 5, “Accounting for Contingencies” (“SFAS No. 5”), if not acquired or assumed in a business combination, except for assets or liabilities arising from contingencies that are subject to specific guidance in SFAS No. 141R. FSP 141R-1 requires an acquirer to recognize at fair value, at the acquisition date, an asset acquired or a liability assumed in a business combination that arises from a contingency if the acquisition-date fair value of that asset or liability can be determined during the measurement period. If the acquisition-date fair value of an asset acquired or a liability assumed in a business combination that arises from a contingency cannot be determined during the measurement period, an asset or liability shall be recognized at the acquisition date if both of the following criteria are met: (1) information available before the end of the measurement period indicates that it is probable that an asset existed or that a liability had been incurred at the acquisition date and (2) the amount of the asset or liability can be reasonably estimated. An acquirer shall develop a rational basis for subsequently measuring and accounting for assets and liabilities arising from contingencies depending on their nature. FSP 141R-1 is effective for assets or liabilities arising from contingencies in business combinations for which the acquisition date is on or after the beginning of the first annual reporting period beginning on or after December 15, 2008. The Company will consider the guidance of FSP 141R-1 in accounting for the aforementioned Provident transaction expected to close during the second quarter of 2009.</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In December 2008, the FASB issued FASB Staff Position FAS 132(R)-1, “Employers’ Disclosures about Postretirement Benefit Plan Assets” (“FSP 132R-1”). FSP 132R-1 was issued to provide guidance on an employer’s disclosures about plan assets of a defined benefit pension or other postretirement plan. FSP 132R-1 requires an employer to disclose information about how investment allocation decisions are made, including factors that are pertinent to an understanding of investment policies and strategies. An employer will also need to disclose separately for pension plans and other postretirement benefit plans the fair value of each major category of plan assets based on the nature and risks of the assets as of each annual reporting date for which a statement of financial position is presented. FSP 132R-1 also requires the disclosure of information that enables financial statement users to assess the inputs and valuation techniques used to develop fair value measurements of plan assets at the annual reporting date. For fair value measurements using significant unobservable inputs (Level 3), an employer will be required to disclose the effect of the measurements on changes in plan assets for the period. Furthermore, an employer is required to provide financial statement users with an understanding of significant concentrations of risk in plan assets. FSP 132R-1 should be applied for fiscal years ending after December 15, 2009. Upon initial application, the provisions of FSP 132R-1 are not required for earlier periods that are presented for comparative purposes. The Company is still evaluating the provisions of FSP 132R-1 and intends to comply with its disclosure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46" w:lineRule="exact"/>
        <w:rPr>
          <w:sz w:val="20"/>
          <w:szCs w:val="20"/>
          <w:color w:val="auto"/>
        </w:rPr>
      </w:pPr>
    </w:p>
    <w:p>
      <w:pPr>
        <w:ind w:right="60" w:firstLine="450"/>
        <w:spacing w:after="0" w:line="287"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required capital levels;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47"/>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72" w:name="page73"/>
    <w:bookmarkEnd w:id="72"/>
    <w:p>
      <w:pPr>
        <w:spacing w:after="0" w:line="2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w w:val="89"/>
              </w:rPr>
              <w:t>Table 1</w:t>
            </w:r>
          </w:p>
        </w:tc>
      </w:tr>
      <w:tr>
        <w:trPr>
          <w:trHeight w:val="432"/>
        </w:trPr>
        <w:tc>
          <w:tcPr>
            <w:tcW w:w="386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color w:val="auto"/>
              </w:rPr>
              <w:t>2009</w:t>
            </w:r>
          </w:p>
        </w:tc>
        <w:tc>
          <w:tcPr>
            <w:tcW w:w="1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 Quarters</w:t>
            </w:r>
          </w:p>
        </w:tc>
        <w:tc>
          <w:tcPr>
            <w:tcW w:w="1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jc w:val="right"/>
              <w:ind w:right="390"/>
              <w:spacing w:after="0" w:line="142" w:lineRule="exact"/>
              <w:rPr>
                <w:sz w:val="20"/>
                <w:szCs w:val="20"/>
                <w:color w:val="auto"/>
              </w:rPr>
            </w:pPr>
            <w:r>
              <w:rPr>
                <w:rFonts w:ascii="Arial" w:cs="Arial" w:eastAsia="Arial" w:hAnsi="Arial"/>
                <w:sz w:val="14"/>
                <w:szCs w:val="14"/>
                <w:color w:val="auto"/>
              </w:rPr>
              <w:t>First Quarter</w:t>
            </w:r>
          </w:p>
        </w:tc>
        <w:tc>
          <w:tcPr>
            <w:tcW w:w="1560" w:type="dxa"/>
            <w:vAlign w:val="bottom"/>
            <w:tcBorders>
              <w:bottom w:val="single" w:sz="8" w:color="auto"/>
            </w:tcBorders>
          </w:tcPr>
          <w:p>
            <w:pPr>
              <w:jc w:val="right"/>
              <w:ind w:right="550"/>
              <w:spacing w:after="0" w:line="142" w:lineRule="exact"/>
              <w:rPr>
                <w:sz w:val="20"/>
                <w:szCs w:val="20"/>
                <w:color w:val="auto"/>
              </w:rPr>
            </w:pPr>
            <w:r>
              <w:rPr>
                <w:rFonts w:ascii="Arial" w:cs="Arial" w:eastAsia="Arial" w:hAnsi="Arial"/>
                <w:sz w:val="14"/>
                <w:szCs w:val="14"/>
                <w:color w:val="auto"/>
              </w:rPr>
              <w:t>Fourth</w:t>
            </w:r>
          </w:p>
        </w:tc>
        <w:tc>
          <w:tcPr>
            <w:tcW w:w="1960" w:type="dxa"/>
            <w:vAlign w:val="bottom"/>
            <w:tcBorders>
              <w:bottom w:val="single" w:sz="8" w:color="auto"/>
            </w:tcBorders>
          </w:tcPr>
          <w:p>
            <w:pPr>
              <w:jc w:val="right"/>
              <w:ind w:right="971"/>
              <w:spacing w:after="0" w:line="142" w:lineRule="exact"/>
              <w:rPr>
                <w:sz w:val="20"/>
                <w:szCs w:val="20"/>
                <w:color w:val="auto"/>
              </w:rPr>
            </w:pPr>
            <w:r>
              <w:rPr>
                <w:rFonts w:ascii="Arial" w:cs="Arial" w:eastAsia="Arial" w:hAnsi="Arial"/>
                <w:sz w:val="14"/>
                <w:szCs w:val="14"/>
                <w:color w:val="auto"/>
              </w:rPr>
              <w:t>Third</w:t>
            </w:r>
          </w:p>
        </w:tc>
        <w:tc>
          <w:tcPr>
            <w:tcW w:w="1180" w:type="dxa"/>
            <w:vAlign w:val="bottom"/>
            <w:tcBorders>
              <w:bottom w:val="single" w:sz="8" w:color="auto"/>
            </w:tcBorders>
          </w:tcPr>
          <w:p>
            <w:pPr>
              <w:jc w:val="right"/>
              <w:ind w:right="530"/>
              <w:spacing w:after="0" w:line="142" w:lineRule="exact"/>
              <w:rPr>
                <w:sz w:val="20"/>
                <w:szCs w:val="20"/>
                <w:color w:val="auto"/>
              </w:rPr>
            </w:pPr>
            <w:r>
              <w:rPr>
                <w:rFonts w:ascii="Arial" w:cs="Arial" w:eastAsia="Arial" w:hAnsi="Arial"/>
                <w:sz w:val="14"/>
                <w:szCs w:val="14"/>
                <w:color w:val="auto"/>
              </w:rPr>
              <w:t>Second</w:t>
            </w:r>
          </w:p>
        </w:tc>
        <w:tc>
          <w:tcPr>
            <w:tcW w:w="1300" w:type="dxa"/>
            <w:vAlign w:val="bottom"/>
            <w:tcBorders>
              <w:bottom w:val="single" w:sz="8" w:color="auto"/>
            </w:tcBorders>
          </w:tcPr>
          <w:p>
            <w:pPr>
              <w:jc w:val="right"/>
              <w:ind w:right="35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and dividends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659,445</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779,468</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806,614</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823,425</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889,945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206,705</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288,426</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313,115</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2"/>
              </w:rPr>
              <w:t>330,942</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405,312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452,740</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491,042</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493,499</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492,483</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484,633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w w:val="89"/>
              </w:rPr>
              <w:t>158,000</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151,000</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101,000</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w w:val="92"/>
              </w:rPr>
              <w:t>100,000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232,341</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241,417</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113,717</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271,182</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312,663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other expense</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438,346</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446,819</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434,763</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2"/>
              </w:rPr>
              <w:t>419,710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425,704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88,735</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134,640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71,453</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243,955</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311,592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Applicable income taxes (benefit)</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19,581</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27,432</w:t>
            </w:r>
          </w:p>
        </w:tc>
        <w:tc>
          <w:tcPr>
            <w:tcW w:w="1960" w:type="dxa"/>
            <w:vAlign w:val="bottom"/>
          </w:tcPr>
          <w:p>
            <w:pPr>
              <w:jc w:val="right"/>
              <w:ind w:right="811"/>
              <w:spacing w:after="0"/>
              <w:rPr>
                <w:sz w:val="20"/>
                <w:szCs w:val="20"/>
                <w:color w:val="auto"/>
              </w:rPr>
            </w:pPr>
            <w:r>
              <w:rPr>
                <w:rFonts w:ascii="Arial" w:cs="Arial" w:eastAsia="Arial" w:hAnsi="Arial"/>
                <w:sz w:val="18"/>
                <w:szCs w:val="18"/>
                <w:color w:val="auto"/>
              </w:rPr>
              <w:t>(24,992)</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77,839</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103,613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4,933</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4,967</w:t>
            </w:r>
          </w:p>
        </w:tc>
        <w:tc>
          <w:tcPr>
            <w:tcW w:w="19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5,260</w:t>
            </w: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5,851</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5,783</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64,221</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102,241</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91,185</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2"/>
              </w:rPr>
              <w:t>160,265</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202,196</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Per common share data</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Basic earnings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.49</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.92</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.83</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1.45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.49</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.92</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.82</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.70</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.70</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.70</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.70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shares outstanding</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w w:val="89"/>
              </w:rPr>
              <w:t>110,439</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110,370</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110,265</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w w:val="92"/>
              </w:rPr>
              <w:t>110,191</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110,017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89"/>
              </w:rPr>
              <w:t>110,439</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110,620</w:t>
            </w:r>
          </w:p>
        </w:tc>
        <w:tc>
          <w:tcPr>
            <w:tcW w:w="19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110,807</w:t>
            </w: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2"/>
              </w:rPr>
              <w:t>111,227</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110,967</w:t>
            </w:r>
          </w:p>
        </w:tc>
        <w:tc>
          <w:tcPr>
            <w:tcW w:w="20" w:type="dxa"/>
            <w:vAlign w:val="bottom"/>
          </w:tcPr>
          <w:p>
            <w:pPr>
              <w:spacing w:after="0"/>
              <w:rPr>
                <w:sz w:val="18"/>
                <w:szCs w:val="18"/>
                <w:color w:val="auto"/>
              </w:rPr>
            </w:pPr>
          </w:p>
        </w:tc>
      </w:tr>
      <w:tr>
        <w:trPr>
          <w:trHeight w:val="20"/>
        </w:trPr>
        <w:tc>
          <w:tcPr>
            <w:tcW w:w="3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Performance ratios, annualized</w:t>
            </w:r>
          </w:p>
        </w:tc>
        <w:tc>
          <w:tcPr>
            <w:tcW w:w="4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Return on</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Average assets</w:t>
            </w:r>
          </w:p>
        </w:tc>
        <w:tc>
          <w:tcPr>
            <w:tcW w:w="4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.40%</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.63%</w:t>
            </w:r>
          </w:p>
        </w:tc>
        <w:tc>
          <w:tcPr>
            <w:tcW w:w="1960" w:type="dxa"/>
            <w:vAlign w:val="bottom"/>
          </w:tcPr>
          <w:p>
            <w:pPr>
              <w:jc w:val="right"/>
              <w:ind w:right="711"/>
              <w:spacing w:after="0"/>
              <w:rPr>
                <w:sz w:val="20"/>
                <w:szCs w:val="20"/>
                <w:color w:val="auto"/>
              </w:rPr>
            </w:pPr>
            <w:r>
              <w:rPr>
                <w:rFonts w:ascii="Arial" w:cs="Arial" w:eastAsia="Arial" w:hAnsi="Arial"/>
                <w:sz w:val="18"/>
                <w:szCs w:val="18"/>
                <w:color w:val="auto"/>
              </w:rPr>
              <w:t>.56%</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.98%</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common stockholders’ equity</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3.61%</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6.41%</w:t>
            </w:r>
          </w:p>
        </w:tc>
        <w:tc>
          <w:tcPr>
            <w:tcW w:w="19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5.66%</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9.96%</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Net interest margin on average earning assets</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(taxable-equivalent basis)</w:t>
            </w:r>
          </w:p>
        </w:tc>
        <w:tc>
          <w:tcPr>
            <w:tcW w:w="4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3.19%</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3.37%</w:t>
            </w:r>
          </w:p>
        </w:tc>
        <w:tc>
          <w:tcPr>
            <w:tcW w:w="1960" w:type="dxa"/>
            <w:vAlign w:val="bottom"/>
          </w:tcPr>
          <w:p>
            <w:pPr>
              <w:jc w:val="right"/>
              <w:ind w:right="711"/>
              <w:spacing w:after="0"/>
              <w:rPr>
                <w:sz w:val="20"/>
                <w:szCs w:val="20"/>
                <w:color w:val="auto"/>
              </w:rPr>
            </w:pPr>
            <w:r>
              <w:rPr>
                <w:rFonts w:ascii="Arial" w:cs="Arial" w:eastAsia="Arial" w:hAnsi="Arial"/>
                <w:sz w:val="18"/>
                <w:szCs w:val="18"/>
                <w:color w:val="auto"/>
              </w:rPr>
              <w:t>3.39%</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3.39%</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Nonaccrual loans to total loans and leases, net of</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discount</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2.05%</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1.54%</w:t>
            </w:r>
          </w:p>
        </w:tc>
        <w:tc>
          <w:tcPr>
            <w:tcW w:w="19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1.41%</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1.16%</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Efficiency ratio (a)</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60.82%</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59.11%</w:t>
            </w:r>
          </w:p>
        </w:tc>
        <w:tc>
          <w:tcPr>
            <w:tcW w:w="196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57.24%</w:t>
            </w: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54.57%</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55.27%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(tangible) results (b)</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operating income (in thousands)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75,034</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111,784</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100,809</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w w:val="92"/>
              </w:rPr>
              <w:t>170,361</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215,597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9"/>
              </w:rPr>
              <w:t>Diluted net operating income per common share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.59</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.91</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1.53</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Annualized return on</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.72%</w:t>
            </w:r>
          </w:p>
        </w:tc>
        <w:tc>
          <w:tcPr>
            <w:tcW w:w="19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.65%</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1.10%</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840" w:type="dxa"/>
            <w:vAlign w:val="bottom"/>
          </w:tcPr>
          <w:p>
            <w:pPr>
              <w:ind w:left="200"/>
              <w:spacing w:after="0" w:line="201" w:lineRule="exact"/>
              <w:rPr>
                <w:sz w:val="20"/>
                <w:szCs w:val="20"/>
                <w:color w:val="auto"/>
              </w:rPr>
            </w:pPr>
            <w:r>
              <w:rPr>
                <w:rFonts w:ascii="Arial" w:cs="Arial" w:eastAsia="Arial" w:hAnsi="Arial"/>
                <w:sz w:val="18"/>
                <w:szCs w:val="18"/>
                <w:color w:val="auto"/>
              </w:rPr>
              <w:t>Average tangible common stockholders’</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400"/>
              <w:spacing w:after="0"/>
              <w:rPr>
                <w:sz w:val="20"/>
                <w:szCs w:val="20"/>
                <w:color w:val="auto"/>
              </w:rPr>
            </w:pPr>
            <w:r>
              <w:rPr>
                <w:rFonts w:ascii="Arial" w:cs="Arial" w:eastAsia="Arial" w:hAnsi="Arial"/>
                <w:sz w:val="18"/>
                <w:szCs w:val="18"/>
                <w:color w:val="auto"/>
              </w:rPr>
              <w:t>equity</w:t>
            </w:r>
          </w:p>
        </w:tc>
        <w:tc>
          <w:tcPr>
            <w:tcW w:w="4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9.36%</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15.01%</w:t>
            </w:r>
          </w:p>
        </w:tc>
        <w:tc>
          <w:tcPr>
            <w:tcW w:w="1960" w:type="dxa"/>
            <w:vAlign w:val="bottom"/>
          </w:tcPr>
          <w:p>
            <w:pPr>
              <w:jc w:val="right"/>
              <w:ind w:right="711"/>
              <w:spacing w:after="0"/>
              <w:rPr>
                <w:sz w:val="20"/>
                <w:szCs w:val="20"/>
                <w:color w:val="auto"/>
              </w:rPr>
            </w:pPr>
            <w:r>
              <w:rPr>
                <w:rFonts w:ascii="Arial" w:cs="Arial" w:eastAsia="Arial" w:hAnsi="Arial"/>
                <w:sz w:val="18"/>
                <w:szCs w:val="18"/>
                <w:color w:val="auto"/>
              </w:rPr>
              <w:t>13.17%</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22.20%</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27.86%</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Efficiency ratio (a)</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58.68%</w:t>
            </w:r>
          </w:p>
        </w:tc>
        <w:tc>
          <w:tcPr>
            <w:tcW w:w="1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57.03%</w:t>
            </w:r>
          </w:p>
        </w:tc>
        <w:tc>
          <w:tcPr>
            <w:tcW w:w="196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55.16%</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52.41%</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52.85%</w:t>
            </w:r>
          </w:p>
        </w:tc>
        <w:tc>
          <w:tcPr>
            <w:tcW w:w="20" w:type="dxa"/>
            <w:vAlign w:val="bottom"/>
          </w:tcPr>
          <w:p>
            <w:pPr>
              <w:spacing w:after="0"/>
              <w:rPr>
                <w:sz w:val="18"/>
                <w:szCs w:val="18"/>
                <w:color w:val="auto"/>
              </w:rPr>
            </w:pPr>
          </w:p>
        </w:tc>
      </w:tr>
      <w:tr>
        <w:trPr>
          <w:trHeight w:val="20"/>
        </w:trPr>
        <w:tc>
          <w:tcPr>
            <w:tcW w:w="3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Average balances</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(c)</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64,766</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64,942</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64,997</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65,584</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65,015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Total tangible assets (c)</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61,420</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61,584</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61,627</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62,201</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61,614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57,509</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57,919</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57,971</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58,465</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57,713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8,490</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8,894</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9,303</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8,770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8,924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 net of unearned discount</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48,824</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48,810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48,477</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49,522</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48,575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Deposits</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41,487</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40,447</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39,503</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39,711</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39,999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stockholders’ equity (c)</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6,212</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6,299</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6,415</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6,469</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6,513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Tangible common stockholders’ equity (c)</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2,866</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2,941</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3,045</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3,086</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3,112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Total assets (c)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64,883</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65,816</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65,247</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65,893</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66,086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tangible assets (c)</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61,544</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62,464</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61,883</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62,517</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62,696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56,823</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57,107</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57,430</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57,949</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58,030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7,687</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7,919</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8,433</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8,659</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8,676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Loans and leases, net of unearned discount</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48,918</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49,000</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48,694</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49,115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49,279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42,477</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42,581</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42,501</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41,926</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41,533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Common stockholders’ equity (c)</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6,329</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6,217</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6,417</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6,519</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6,488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Tangible common stockholders’ equity (c)</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2,990</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2,865</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3,053</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3,143</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Equity per common share</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56.95</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56.29</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58.17</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59.12</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58.92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Tangible equity per common share</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26.90</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25.94</w:t>
            </w:r>
          </w:p>
        </w:tc>
        <w:tc>
          <w:tcPr>
            <w:tcW w:w="19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27.67</w:t>
            </w: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28.50</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28.14</w:t>
            </w:r>
          </w:p>
        </w:tc>
        <w:tc>
          <w:tcPr>
            <w:tcW w:w="20" w:type="dxa"/>
            <w:vAlign w:val="bottom"/>
          </w:tcPr>
          <w:p>
            <w:pPr>
              <w:spacing w:after="0"/>
              <w:rPr>
                <w:sz w:val="18"/>
                <w:szCs w:val="18"/>
                <w:color w:val="auto"/>
              </w:rPr>
            </w:pPr>
          </w:p>
        </w:tc>
      </w:tr>
      <w:tr>
        <w:trPr>
          <w:trHeight w:val="20"/>
        </w:trPr>
        <w:tc>
          <w:tcPr>
            <w:tcW w:w="3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Market price per common share</w:t>
            </w:r>
          </w:p>
        </w:tc>
        <w:tc>
          <w:tcPr>
            <w:tcW w:w="4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High</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59.08</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99.50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108.53</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98.38</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94.03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Low</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29.11</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52.20</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53.61</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69.90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70.49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Closing</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45.24</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57.41</w:t>
            </w:r>
          </w:p>
        </w:tc>
        <w:tc>
          <w:tcPr>
            <w:tcW w:w="19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89.25</w:t>
            </w: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70.54</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80.48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impact of merger-related expenses and net securities transactions.</w:t>
      </w:r>
    </w:p>
    <w:p>
      <w:pPr>
        <w:sectPr>
          <w:pgSz w:w="11900" w:h="16860" w:orient="portrait"/>
          <w:cols w:equalWidth="0" w:num="1">
            <w:col w:w="11420"/>
          </w:cols>
          <w:pgMar w:left="240" w:top="419" w:right="239" w:bottom="0" w:gutter="0" w:footer="0" w:header="0"/>
        </w:sectPr>
      </w:pPr>
    </w:p>
    <w:bookmarkStart w:id="73" w:name="page74"/>
    <w:bookmarkEnd w:id="73"/>
    <w:p>
      <w:pPr>
        <w:jc w:val="both"/>
        <w:ind w:left="452" w:hanging="452"/>
        <w:spacing w:after="0" w:line="325"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spacing w:after="0" w:line="1" w:lineRule="exact"/>
        <w:rPr>
          <w:rFonts w:ascii="Arial" w:cs="Arial" w:eastAsia="Arial" w:hAnsi="Arial"/>
          <w:sz w:val="16"/>
          <w:szCs w:val="16"/>
          <w:color w:val="auto"/>
        </w:rPr>
      </w:pPr>
    </w:p>
    <w:p>
      <w:pPr>
        <w:ind w:left="452" w:right="320" w:hanging="452"/>
        <w:spacing w:after="0" w:line="342"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difference between total assets and total tangible assets, and stockholders’ equity and tangible stockholders’ equity, represents goodwill, core deposit and other intangible assets, net of applicable deferred tax balances. A reconciliation of such balances appears in table 2.</w:t>
      </w:r>
    </w:p>
    <w:p>
      <w:pPr>
        <w:spacing w:after="0" w:line="96" w:lineRule="exact"/>
        <w:rPr>
          <w:rFonts w:ascii="Arial" w:cs="Arial" w:eastAsia="Arial" w:hAnsi="Arial"/>
          <w:sz w:val="16"/>
          <w:szCs w:val="16"/>
          <w:color w:val="auto"/>
        </w:rPr>
      </w:pPr>
    </w:p>
    <w:p>
      <w:pPr>
        <w:ind w:left="5612" w:hanging="101"/>
        <w:spacing w:after="0"/>
        <w:tabs>
          <w:tab w:leader="none" w:pos="56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2"/>
          </w:cols>
          <w:pgMar w:left="248" w:top="193"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w w:val="89"/>
              </w:rPr>
              <w:t>Table 2</w:t>
            </w:r>
          </w:p>
        </w:tc>
      </w:tr>
      <w:tr>
        <w:trPr>
          <w:trHeight w:val="432"/>
        </w:trPr>
        <w:tc>
          <w:tcPr>
            <w:tcW w:w="5780" w:type="dxa"/>
            <w:vAlign w:val="bottom"/>
            <w:gridSpan w:val="4"/>
          </w:tcPr>
          <w:p>
            <w:pPr>
              <w:spacing w:after="0"/>
              <w:rPr>
                <w:sz w:val="20"/>
                <w:szCs w:val="20"/>
                <w:color w:val="auto"/>
              </w:rPr>
            </w:pPr>
            <w:r>
              <w:rPr>
                <w:rFonts w:ascii="Arial" w:cs="Arial" w:eastAsia="Arial" w:hAnsi="Arial"/>
                <w:sz w:val="18"/>
                <w:szCs w:val="18"/>
                <w:color w:val="auto"/>
                <w:w w:val="97"/>
              </w:rPr>
              <w:t>RECONCILIATION OF QUARTERLY GAAP TO NON-GAAP MEASURES</w:t>
            </w: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950"/>
              <w:spacing w:after="0"/>
              <w:rPr>
                <w:sz w:val="20"/>
                <w:szCs w:val="20"/>
                <w:color w:val="auto"/>
              </w:rPr>
            </w:pPr>
            <w:r>
              <w:rPr>
                <w:rFonts w:ascii="Arial" w:cs="Arial" w:eastAsia="Arial" w:hAnsi="Arial"/>
                <w:sz w:val="14"/>
                <w:szCs w:val="14"/>
                <w:color w:val="auto"/>
              </w:rPr>
              <w:t>2009</w:t>
            </w:r>
          </w:p>
        </w:tc>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091"/>
              <w:spacing w:after="0"/>
              <w:rPr>
                <w:sz w:val="20"/>
                <w:szCs w:val="20"/>
                <w:color w:val="auto"/>
              </w:rPr>
            </w:pPr>
            <w:r>
              <w:rPr>
                <w:rFonts w:ascii="Arial" w:cs="Arial" w:eastAsia="Arial" w:hAnsi="Arial"/>
                <w:sz w:val="14"/>
                <w:szCs w:val="14"/>
                <w:color w:val="auto"/>
                <w:w w:val="91"/>
              </w:rPr>
              <w:t>2008 Quarters</w:t>
            </w: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2"/>
          </w:tcPr>
          <w:p>
            <w:pPr>
              <w:ind w:left="340"/>
              <w:spacing w:after="0" w:line="142" w:lineRule="exact"/>
              <w:rPr>
                <w:sz w:val="20"/>
                <w:szCs w:val="20"/>
                <w:color w:val="auto"/>
              </w:rPr>
            </w:pPr>
            <w:r>
              <w:rPr>
                <w:rFonts w:ascii="Arial" w:cs="Arial" w:eastAsia="Arial" w:hAnsi="Arial"/>
                <w:sz w:val="14"/>
                <w:szCs w:val="14"/>
                <w:color w:val="auto"/>
              </w:rPr>
              <w:t>First Quarter</w:t>
            </w:r>
          </w:p>
        </w:tc>
        <w:tc>
          <w:tcPr>
            <w:tcW w:w="1200" w:type="dxa"/>
            <w:vAlign w:val="bottom"/>
            <w:tcBorders>
              <w:bottom w:val="single" w:sz="8" w:color="auto"/>
            </w:tcBorders>
          </w:tcPr>
          <w:p>
            <w:pPr>
              <w:jc w:val="right"/>
              <w:ind w:right="550"/>
              <w:spacing w:after="0" w:line="142" w:lineRule="exact"/>
              <w:rPr>
                <w:sz w:val="20"/>
                <w:szCs w:val="20"/>
                <w:color w:val="auto"/>
              </w:rPr>
            </w:pPr>
            <w:r>
              <w:rPr>
                <w:rFonts w:ascii="Arial" w:cs="Arial" w:eastAsia="Arial" w:hAnsi="Arial"/>
                <w:sz w:val="14"/>
                <w:szCs w:val="14"/>
                <w:color w:val="auto"/>
              </w:rPr>
              <w:t>Fourth</w:t>
            </w:r>
          </w:p>
        </w:tc>
        <w:tc>
          <w:tcPr>
            <w:tcW w:w="110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Third</w:t>
            </w:r>
          </w:p>
        </w:tc>
        <w:tc>
          <w:tcPr>
            <w:tcW w:w="202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color w:val="auto"/>
              </w:rPr>
              <w:t>Second</w:t>
            </w:r>
          </w:p>
        </w:tc>
        <w:tc>
          <w:tcPr>
            <w:tcW w:w="1320" w:type="dxa"/>
            <w:vAlign w:val="bottom"/>
            <w:tcBorders>
              <w:bottom w:val="single" w:sz="8" w:color="auto"/>
            </w:tcBorders>
          </w:tcPr>
          <w:p>
            <w:pPr>
              <w:jc w:val="right"/>
              <w:ind w:right="35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64,221</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102,241</w:t>
            </w:r>
          </w:p>
        </w:tc>
        <w:tc>
          <w:tcPr>
            <w:tcW w:w="1100" w:type="dxa"/>
            <w:vAlign w:val="bottom"/>
          </w:tcPr>
          <w:p>
            <w:pPr>
              <w:jc w:val="right"/>
              <w:spacing w:after="0"/>
              <w:rPr>
                <w:sz w:val="20"/>
                <w:szCs w:val="20"/>
                <w:color w:val="auto"/>
              </w:rPr>
            </w:pPr>
            <w:r>
              <w:rPr>
                <w:rFonts w:ascii="Arial" w:cs="Arial" w:eastAsia="Arial" w:hAnsi="Arial"/>
                <w:sz w:val="18"/>
                <w:szCs w:val="18"/>
                <w:color w:val="auto"/>
              </w:rPr>
              <w:t>91,185</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160,265</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202,196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Amortization of core deposit and other intangible</w:t>
            </w: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w:t>
            </w:r>
          </w:p>
        </w:tc>
        <w:tc>
          <w:tcPr>
            <w:tcW w:w="4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9,337</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9,543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10,096</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11,241</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 (a)</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1,476</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operating income</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75,034</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111,784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100,809</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170,361</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215,597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.49</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1.44</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w w:val="99"/>
              </w:rPr>
              <w:t>Amortization of core deposit and other intangible</w:t>
            </w: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assets (a)</w:t>
            </w:r>
          </w:p>
        </w:tc>
        <w:tc>
          <w:tcPr>
            <w:tcW w:w="420" w:type="dxa"/>
            <w:vAlign w:val="bottom"/>
          </w:tcPr>
          <w:p>
            <w:pPr>
              <w:spacing w:after="0"/>
              <w:rPr>
                <w:sz w:val="20"/>
                <w:szCs w:val="20"/>
                <w:color w:val="auto"/>
              </w:rPr>
            </w:pP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.09</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.09</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.01</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Diluted net operating earnings per common</w:t>
            </w: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share</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.59</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1.53</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expense</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w w:val="86"/>
              </w:rPr>
              <w:t>438,346</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446,819</w:t>
            </w:r>
          </w:p>
        </w:tc>
        <w:tc>
          <w:tcPr>
            <w:tcW w:w="1100" w:type="dxa"/>
            <w:vAlign w:val="bottom"/>
          </w:tcPr>
          <w:p>
            <w:pPr>
              <w:jc w:val="right"/>
              <w:spacing w:after="0"/>
              <w:rPr>
                <w:sz w:val="20"/>
                <w:szCs w:val="20"/>
                <w:color w:val="auto"/>
              </w:rPr>
            </w:pPr>
            <w:r>
              <w:rPr>
                <w:rFonts w:ascii="Arial" w:cs="Arial" w:eastAsia="Arial" w:hAnsi="Arial"/>
                <w:sz w:val="18"/>
                <w:szCs w:val="18"/>
                <w:color w:val="auto"/>
              </w:rPr>
              <w:t>434,763</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419,710</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425,704</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Amortization of core deposit and other intangible</w:t>
            </w: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2"/>
              </w:rPr>
              <w:t>(15,370)</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(15,708)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(16,615)</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(18,483)</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(2,426)</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(3,547)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Noninterest operating expense</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86"/>
              </w:rPr>
              <w:t>420,550</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431,111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418,923</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403,095</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403,674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Merger-related expenses</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11</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420" w:type="dxa"/>
            <w:vAlign w:val="bottom"/>
          </w:tcPr>
          <w:p>
            <w:pPr>
              <w:spacing w:after="0"/>
              <w:rPr>
                <w:sz w:val="18"/>
                <w:szCs w:val="18"/>
                <w:color w:val="auto"/>
              </w:rPr>
            </w:pP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4</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301</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costs of operations</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2,110</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3,069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2,426</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3,547</w:t>
            </w:r>
          </w:p>
        </w:tc>
        <w:tc>
          <w:tcPr>
            <w:tcW w:w="20" w:type="dxa"/>
            <w:vAlign w:val="bottom"/>
          </w:tcPr>
          <w:p>
            <w:pPr>
              <w:spacing w:after="0"/>
              <w:rPr>
                <w:sz w:val="18"/>
                <w:szCs w:val="18"/>
                <w:color w:val="auto"/>
              </w:rPr>
            </w:pPr>
          </w:p>
        </w:tc>
      </w:tr>
      <w:tr>
        <w:trPr>
          <w:trHeight w:val="20"/>
        </w:trPr>
        <w:tc>
          <w:tcPr>
            <w:tcW w:w="3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64,766</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64,942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64,997</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65,584</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65,015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(3,192)</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(3,192)</w:t>
            </w:r>
          </w:p>
        </w:tc>
        <w:tc>
          <w:tcPr>
            <w:tcW w:w="1100" w:type="dxa"/>
            <w:vAlign w:val="bottom"/>
          </w:tcPr>
          <w:p>
            <w:pPr>
              <w:jc w:val="right"/>
              <w:spacing w:after="0"/>
              <w:rPr>
                <w:sz w:val="20"/>
                <w:szCs w:val="20"/>
                <w:color w:val="auto"/>
              </w:rPr>
            </w:pPr>
            <w:r>
              <w:rPr>
                <w:rFonts w:ascii="Arial" w:cs="Arial" w:eastAsia="Arial" w:hAnsi="Arial"/>
                <w:sz w:val="18"/>
                <w:szCs w:val="18"/>
                <w:color w:val="auto"/>
              </w:rPr>
              <w:t>(3,192)</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(3,192)</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(3,196)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(176)</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(222)</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22</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31</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61,420</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61,584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61,627</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62,201</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61,614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Average common equity</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equity</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6,212</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6,299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6,469</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(3,192)</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(3,192)</w:t>
            </w:r>
          </w:p>
        </w:tc>
        <w:tc>
          <w:tcPr>
            <w:tcW w:w="1100" w:type="dxa"/>
            <w:vAlign w:val="bottom"/>
          </w:tcPr>
          <w:p>
            <w:pPr>
              <w:jc w:val="right"/>
              <w:spacing w:after="0"/>
              <w:rPr>
                <w:sz w:val="20"/>
                <w:szCs w:val="20"/>
                <w:color w:val="auto"/>
              </w:rPr>
            </w:pPr>
            <w:r>
              <w:rPr>
                <w:rFonts w:ascii="Arial" w:cs="Arial" w:eastAsia="Arial" w:hAnsi="Arial"/>
                <w:sz w:val="18"/>
                <w:szCs w:val="18"/>
                <w:color w:val="auto"/>
              </w:rPr>
              <w:t>(3,192)</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(3,192)</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(3,196)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(176)</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(222)</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22</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31</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common equity</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2,866</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2,941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3,086</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3,112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At end of quarter</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64,883</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65,816</w:t>
            </w:r>
          </w:p>
        </w:tc>
        <w:tc>
          <w:tcPr>
            <w:tcW w:w="1100" w:type="dxa"/>
            <w:vAlign w:val="bottom"/>
          </w:tcPr>
          <w:p>
            <w:pPr>
              <w:jc w:val="right"/>
              <w:spacing w:after="0"/>
              <w:rPr>
                <w:sz w:val="20"/>
                <w:szCs w:val="20"/>
                <w:color w:val="auto"/>
              </w:rPr>
            </w:pPr>
            <w:r>
              <w:rPr>
                <w:rFonts w:ascii="Arial" w:cs="Arial" w:eastAsia="Arial" w:hAnsi="Arial"/>
                <w:sz w:val="18"/>
                <w:szCs w:val="18"/>
                <w:color w:val="auto"/>
              </w:rPr>
              <w:t>65,247</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65,893</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66,086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(3,192)</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(3,192)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(3,192)</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420" w:type="dxa"/>
            <w:vAlign w:val="bottom"/>
          </w:tcPr>
          <w:p>
            <w:pPr>
              <w:spacing w:after="0"/>
              <w:rPr>
                <w:sz w:val="18"/>
                <w:szCs w:val="18"/>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(168)</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(183)</w:t>
            </w:r>
          </w:p>
        </w:tc>
        <w:tc>
          <w:tcPr>
            <w:tcW w:w="1100" w:type="dxa"/>
            <w:vAlign w:val="bottom"/>
          </w:tcPr>
          <w:p>
            <w:pPr>
              <w:jc w:val="right"/>
              <w:spacing w:after="0"/>
              <w:rPr>
                <w:sz w:val="20"/>
                <w:szCs w:val="20"/>
                <w:color w:val="auto"/>
              </w:rPr>
            </w:pPr>
            <w:r>
              <w:rPr>
                <w:rFonts w:ascii="Arial" w:cs="Arial" w:eastAsia="Arial" w:hAnsi="Arial"/>
                <w:sz w:val="18"/>
                <w:szCs w:val="18"/>
                <w:color w:val="auto"/>
              </w:rPr>
              <w:t>(199)</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(214)</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21</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30</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assets</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61,544</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62,464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61,883</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62,517</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62,696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common equity</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6,329</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6,217</w:t>
            </w:r>
          </w:p>
        </w:tc>
        <w:tc>
          <w:tcPr>
            <w:tcW w:w="1100" w:type="dxa"/>
            <w:vAlign w:val="bottom"/>
          </w:tcPr>
          <w:p>
            <w:pPr>
              <w:jc w:val="right"/>
              <w:spacing w:after="0"/>
              <w:rPr>
                <w:sz w:val="20"/>
                <w:szCs w:val="20"/>
                <w:color w:val="auto"/>
              </w:rPr>
            </w:pPr>
            <w:r>
              <w:rPr>
                <w:rFonts w:ascii="Arial" w:cs="Arial" w:eastAsia="Arial" w:hAnsi="Arial"/>
                <w:sz w:val="18"/>
                <w:szCs w:val="18"/>
                <w:color w:val="auto"/>
              </w:rPr>
              <w:t>6,417</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6,519</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6,488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(3,192)</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(3,192)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(3,192)</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420" w:type="dxa"/>
            <w:vAlign w:val="bottom"/>
          </w:tcPr>
          <w:p>
            <w:pPr>
              <w:spacing w:after="0"/>
              <w:rPr>
                <w:sz w:val="18"/>
                <w:szCs w:val="18"/>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(168)</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(183)</w:t>
            </w:r>
          </w:p>
        </w:tc>
        <w:tc>
          <w:tcPr>
            <w:tcW w:w="1100" w:type="dxa"/>
            <w:vAlign w:val="bottom"/>
          </w:tcPr>
          <w:p>
            <w:pPr>
              <w:jc w:val="right"/>
              <w:spacing w:after="0"/>
              <w:rPr>
                <w:sz w:val="20"/>
                <w:szCs w:val="20"/>
                <w:color w:val="auto"/>
              </w:rPr>
            </w:pPr>
            <w:r>
              <w:rPr>
                <w:rFonts w:ascii="Arial" w:cs="Arial" w:eastAsia="Arial" w:hAnsi="Arial"/>
                <w:sz w:val="18"/>
                <w:szCs w:val="18"/>
                <w:color w:val="auto"/>
              </w:rPr>
              <w:t>(199)</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(214)</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21</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30</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common equity</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2,990</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2,865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3,143</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3,098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After any related tax effect.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29"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7900" w:type="dxa"/>
            <w:vAlign w:val="bottom"/>
            <w:gridSpan w:val="8"/>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4"/>
                <w:szCs w:val="14"/>
                <w:color w:val="auto"/>
                <w:w w:val="91"/>
              </w:rPr>
              <w:t>Average</w:t>
            </w:r>
          </w:p>
        </w:tc>
        <w:tc>
          <w:tcPr>
            <w:tcW w:w="1240" w:type="dxa"/>
            <w:vAlign w:val="bottom"/>
          </w:tcPr>
          <w:p>
            <w:pPr>
              <w:jc w:val="right"/>
              <w:ind w:right="31"/>
              <w:spacing w:after="0"/>
              <w:rPr>
                <w:sz w:val="20"/>
                <w:szCs w:val="20"/>
                <w:color w:val="auto"/>
              </w:rPr>
            </w:pPr>
            <w:r>
              <w:rPr>
                <w:rFonts w:ascii="Arial" w:cs="Arial" w:eastAsia="Arial" w:hAnsi="Arial"/>
                <w:sz w:val="14"/>
                <w:szCs w:val="14"/>
                <w:color w:val="auto"/>
                <w:w w:val="96"/>
              </w:rPr>
              <w:t>2009 First Quarter</w:t>
            </w:r>
          </w:p>
        </w:tc>
        <w:tc>
          <w:tcPr>
            <w:tcW w:w="800" w:type="dxa"/>
            <w:vAlign w:val="bottom"/>
            <w:vMerge w:val="restart"/>
          </w:tcPr>
          <w:p>
            <w:pPr>
              <w:jc w:val="right"/>
              <w:ind w:right="111"/>
              <w:spacing w:after="0"/>
              <w:rPr>
                <w:sz w:val="20"/>
                <w:szCs w:val="20"/>
                <w:color w:val="auto"/>
              </w:rPr>
            </w:pPr>
            <w:r>
              <w:rPr>
                <w:rFonts w:ascii="Arial" w:cs="Arial" w:eastAsia="Arial" w:hAnsi="Arial"/>
                <w:sz w:val="14"/>
                <w:szCs w:val="14"/>
                <w:color w:val="auto"/>
              </w:rPr>
              <w:t>Average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Average</w:t>
            </w:r>
          </w:p>
        </w:tc>
        <w:tc>
          <w:tcPr>
            <w:tcW w:w="1300" w:type="dxa"/>
            <w:vAlign w:val="bottom"/>
          </w:tcPr>
          <w:p>
            <w:pPr>
              <w:jc w:val="right"/>
              <w:spacing w:after="0"/>
              <w:rPr>
                <w:sz w:val="20"/>
                <w:szCs w:val="20"/>
                <w:color w:val="auto"/>
              </w:rPr>
            </w:pPr>
            <w:r>
              <w:rPr>
                <w:rFonts w:ascii="Arial" w:cs="Arial" w:eastAsia="Arial" w:hAnsi="Arial"/>
                <w:sz w:val="14"/>
                <w:szCs w:val="14"/>
                <w:color w:val="auto"/>
                <w:w w:val="94"/>
              </w:rPr>
              <w:t>2008 Fourth Quarter</w:t>
            </w:r>
          </w:p>
        </w:tc>
        <w:tc>
          <w:tcPr>
            <w:tcW w:w="760" w:type="dxa"/>
            <w:vAlign w:val="bottom"/>
            <w:vMerge w:val="restart"/>
          </w:tcPr>
          <w:p>
            <w:pPr>
              <w:jc w:val="right"/>
              <w:ind w:right="111"/>
              <w:spacing w:after="0"/>
              <w:rPr>
                <w:sz w:val="20"/>
                <w:szCs w:val="20"/>
                <w:color w:val="auto"/>
              </w:rPr>
            </w:pPr>
            <w:r>
              <w:rPr>
                <w:rFonts w:ascii="Arial" w:cs="Arial" w:eastAsia="Arial" w:hAnsi="Arial"/>
                <w:sz w:val="14"/>
                <w:szCs w:val="14"/>
                <w:color w:val="auto"/>
              </w:rPr>
              <w:t>Average</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1280" w:type="dxa"/>
            <w:vAlign w:val="bottom"/>
          </w:tcPr>
          <w:p>
            <w:pPr>
              <w:jc w:val="right"/>
              <w:ind w:right="31"/>
              <w:spacing w:after="0"/>
              <w:rPr>
                <w:sz w:val="20"/>
                <w:szCs w:val="20"/>
                <w:color w:val="auto"/>
              </w:rPr>
            </w:pPr>
            <w:r>
              <w:rPr>
                <w:rFonts w:ascii="Arial" w:cs="Arial" w:eastAsia="Arial" w:hAnsi="Arial"/>
                <w:sz w:val="14"/>
                <w:szCs w:val="14"/>
                <w:color w:val="auto"/>
                <w:w w:val="96"/>
              </w:rPr>
              <w:t>2008 Third Quarter</w:t>
            </w:r>
          </w:p>
        </w:tc>
        <w:tc>
          <w:tcPr>
            <w:tcW w:w="68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980" w:type="dxa"/>
            <w:vAlign w:val="bottom"/>
            <w:gridSpan w:val="2"/>
          </w:tcPr>
          <w:p>
            <w:pPr>
              <w:spacing w:after="0"/>
              <w:rPr>
                <w:sz w:val="20"/>
                <w:szCs w:val="20"/>
                <w:color w:val="auto"/>
              </w:rPr>
            </w:pPr>
            <w:r>
              <w:rPr>
                <w:rFonts w:ascii="Arial" w:cs="Arial" w:eastAsia="Arial" w:hAnsi="Arial"/>
                <w:sz w:val="14"/>
                <w:szCs w:val="14"/>
                <w:i w:val="1"/>
                <w:iCs w:val="1"/>
                <w:color w:val="auto"/>
                <w:w w:val="96"/>
              </w:rPr>
              <w:t>Average balance in millions; interest in thousands</w:t>
            </w:r>
          </w:p>
        </w:tc>
        <w:tc>
          <w:tcPr>
            <w:tcW w:w="20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w w:val="90"/>
              </w:rPr>
              <w:t>Balance</w:t>
            </w:r>
          </w:p>
        </w:tc>
        <w:tc>
          <w:tcPr>
            <w:tcW w:w="1240" w:type="dxa"/>
            <w:vAlign w:val="bottom"/>
          </w:tcPr>
          <w:p>
            <w:pPr>
              <w:jc w:val="right"/>
              <w:ind w:right="291"/>
              <w:spacing w:after="0"/>
              <w:rPr>
                <w:sz w:val="20"/>
                <w:szCs w:val="20"/>
                <w:color w:val="auto"/>
              </w:rPr>
            </w:pPr>
            <w:r>
              <w:rPr>
                <w:rFonts w:ascii="Arial" w:cs="Arial" w:eastAsia="Arial" w:hAnsi="Arial"/>
                <w:sz w:val="14"/>
                <w:szCs w:val="14"/>
                <w:color w:val="auto"/>
              </w:rPr>
              <w:t>Interest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Rate</w:t>
            </w:r>
          </w:p>
        </w:tc>
        <w:tc>
          <w:tcPr>
            <w:tcW w:w="780" w:type="dxa"/>
            <w:vAlign w:val="bottom"/>
          </w:tcPr>
          <w:p>
            <w:pPr>
              <w:jc w:val="right"/>
              <w:spacing w:after="0"/>
              <w:rPr>
                <w:sz w:val="20"/>
                <w:szCs w:val="20"/>
                <w:color w:val="auto"/>
              </w:rPr>
            </w:pPr>
            <w:r>
              <w:rPr>
                <w:rFonts w:ascii="Arial" w:cs="Arial" w:eastAsia="Arial" w:hAnsi="Arial"/>
                <w:sz w:val="14"/>
                <w:szCs w:val="14"/>
                <w:color w:val="auto"/>
              </w:rPr>
              <w:t>Balance</w:t>
            </w:r>
          </w:p>
        </w:tc>
        <w:tc>
          <w:tcPr>
            <w:tcW w:w="1300" w:type="dxa"/>
            <w:vAlign w:val="bottom"/>
          </w:tcPr>
          <w:p>
            <w:pPr>
              <w:jc w:val="right"/>
              <w:ind w:right="311"/>
              <w:spacing w:after="0"/>
              <w:rPr>
                <w:sz w:val="20"/>
                <w:szCs w:val="20"/>
                <w:color w:val="auto"/>
              </w:rPr>
            </w:pPr>
            <w:r>
              <w:rPr>
                <w:rFonts w:ascii="Arial" w:cs="Arial" w:eastAsia="Arial" w:hAnsi="Arial"/>
                <w:sz w:val="14"/>
                <w:szCs w:val="14"/>
                <w:color w:val="auto"/>
              </w:rPr>
              <w:t>Interest</w:t>
            </w:r>
          </w:p>
        </w:tc>
        <w:tc>
          <w:tcPr>
            <w:tcW w:w="760" w:type="dxa"/>
            <w:vAlign w:val="bottom"/>
          </w:tcPr>
          <w:p>
            <w:pPr>
              <w:jc w:val="right"/>
              <w:ind w:right="211"/>
              <w:spacing w:after="0"/>
              <w:rPr>
                <w:sz w:val="20"/>
                <w:szCs w:val="20"/>
                <w:color w:val="auto"/>
              </w:rPr>
            </w:pPr>
            <w:r>
              <w:rPr>
                <w:rFonts w:ascii="Arial" w:cs="Arial" w:eastAsia="Arial" w:hAnsi="Arial"/>
                <w:sz w:val="14"/>
                <w:szCs w:val="14"/>
                <w:color w:val="auto"/>
              </w:rPr>
              <w:t>Rate</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Balance</w:t>
            </w:r>
          </w:p>
        </w:tc>
        <w:tc>
          <w:tcPr>
            <w:tcW w:w="1280" w:type="dxa"/>
            <w:vAlign w:val="bottom"/>
          </w:tcPr>
          <w:p>
            <w:pPr>
              <w:jc w:val="right"/>
              <w:ind w:right="311"/>
              <w:spacing w:after="0"/>
              <w:rPr>
                <w:sz w:val="20"/>
                <w:szCs w:val="20"/>
                <w:color w:val="auto"/>
              </w:rPr>
            </w:pPr>
            <w:r>
              <w:rPr>
                <w:rFonts w:ascii="Arial" w:cs="Arial" w:eastAsia="Arial" w:hAnsi="Arial"/>
                <w:sz w:val="14"/>
                <w:szCs w:val="14"/>
                <w:color w:val="auto"/>
              </w:rPr>
              <w:t>Interest</w:t>
            </w:r>
          </w:p>
        </w:tc>
        <w:tc>
          <w:tcPr>
            <w:tcW w:w="680" w:type="dxa"/>
            <w:vAlign w:val="bottom"/>
          </w:tcPr>
          <w:p>
            <w:pPr>
              <w:jc w:val="right"/>
              <w:ind w:right="131"/>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Earning assets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1"/>
              <w:spacing w:after="0"/>
              <w:rPr>
                <w:sz w:val="20"/>
                <w:szCs w:val="20"/>
                <w:color w:val="auto"/>
              </w:rPr>
            </w:pPr>
            <w:r>
              <w:rPr>
                <w:rFonts w:ascii="Arial" w:cs="Arial" w:eastAsia="Arial" w:hAnsi="Arial"/>
                <w:sz w:val="18"/>
                <w:szCs w:val="18"/>
                <w:color w:val="auto"/>
                <w:w w:val="83"/>
              </w:rPr>
              <w:t>14,031</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$129,222</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3.74%</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14,213</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169,492</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4.74%</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13,882</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177,497</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3"/>
              </w:rPr>
              <w:t>18,795</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206,967</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4.40</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18,666</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259,145</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5.55</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18,557</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260,879</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20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5,033</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70,353</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5.59</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4,904</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71,778</w:t>
            </w:r>
          </w:p>
        </w:tc>
        <w:tc>
          <w:tcPr>
            <w:tcW w:w="760" w:type="dxa"/>
            <w:vAlign w:val="bottom"/>
          </w:tcPr>
          <w:p>
            <w:pPr>
              <w:jc w:val="right"/>
              <w:ind w:right="251"/>
              <w:spacing w:after="0"/>
              <w:rPr>
                <w:sz w:val="20"/>
                <w:szCs w:val="20"/>
                <w:color w:val="auto"/>
              </w:rPr>
            </w:pPr>
            <w:r>
              <w:rPr>
                <w:rFonts w:ascii="Arial" w:cs="Arial" w:eastAsia="Arial" w:hAnsi="Arial"/>
                <w:sz w:val="18"/>
                <w:szCs w:val="18"/>
                <w:color w:val="auto"/>
              </w:rPr>
              <w:t>5.85</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4,964</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74,582</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10,965</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151,968</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5.62</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11,027</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168,584</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6.08</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11,074</w:t>
            </w: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175,558</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3"/>
              </w:rPr>
              <w:t>48,824</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558,510</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4.64</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48,810</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668,999</w:t>
            </w: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5.45</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48,477</w:t>
            </w: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688,516</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.16</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18</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.55</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25</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6"/>
              </w:rPr>
              <w:t>Federal funds sold and agreements to</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2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58</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.23</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108</w:t>
            </w:r>
          </w:p>
        </w:tc>
        <w:tc>
          <w:tcPr>
            <w:tcW w:w="760" w:type="dxa"/>
            <w:vAlign w:val="bottom"/>
          </w:tcPr>
          <w:p>
            <w:pPr>
              <w:jc w:val="right"/>
              <w:ind w:right="251"/>
              <w:spacing w:after="0"/>
              <w:rPr>
                <w:sz w:val="20"/>
                <w:szCs w:val="20"/>
                <w:color w:val="auto"/>
              </w:rPr>
            </w:pPr>
            <w:r>
              <w:rPr>
                <w:rFonts w:ascii="Arial" w:cs="Arial" w:eastAsia="Arial" w:hAnsi="Arial"/>
                <w:sz w:val="18"/>
                <w:szCs w:val="18"/>
                <w:color w:val="auto"/>
              </w:rPr>
              <w:t>.41</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515</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123</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.67</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785</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3.16</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359</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U.S. Treasury and federal agencies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3,727</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45,610</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4.96</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3,901</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48,260</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4.92</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4,067</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50,085</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2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2,170</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6.47</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2,161</w:t>
            </w:r>
          </w:p>
        </w:tc>
        <w:tc>
          <w:tcPr>
            <w:tcW w:w="760" w:type="dxa"/>
            <w:vAlign w:val="bottom"/>
          </w:tcPr>
          <w:p>
            <w:pPr>
              <w:jc w:val="right"/>
              <w:ind w:right="251"/>
              <w:spacing w:after="0"/>
              <w:rPr>
                <w:sz w:val="20"/>
                <w:szCs w:val="20"/>
                <w:color w:val="auto"/>
              </w:rPr>
            </w:pPr>
            <w:r>
              <w:rPr>
                <w:rFonts w:ascii="Arial" w:cs="Arial" w:eastAsia="Arial" w:hAnsi="Arial"/>
                <w:sz w:val="18"/>
                <w:szCs w:val="18"/>
                <w:color w:val="auto"/>
              </w:rPr>
              <w:t>6.76</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2,191</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4,627</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52,966</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4.64</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4,866</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59,137</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4.84</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5,107</w:t>
            </w: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64,923</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8,490</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100,746</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4.81</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8,894</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109,558</w:t>
            </w: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4.90</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9,303</w:t>
            </w: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117,199</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57,509</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659,445</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4.65</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57,919</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779,468</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5.35</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57,971</w:t>
            </w: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806,614</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(815)</w:t>
            </w: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(806)</w:t>
            </w:r>
          </w:p>
        </w:tc>
        <w:tc>
          <w:tcPr>
            <w:tcW w:w="1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(790)</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1,086</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1,156</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1,236</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6,986</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6,673</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6,580</w:t>
            </w:r>
          </w:p>
        </w:tc>
        <w:tc>
          <w:tcPr>
            <w:tcW w:w="1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64,766</w:t>
            </w: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64,942</w:t>
            </w:r>
          </w:p>
        </w:tc>
        <w:tc>
          <w:tcPr>
            <w:tcW w:w="1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64,997</w:t>
            </w:r>
          </w:p>
        </w:tc>
        <w:tc>
          <w:tcPr>
            <w:tcW w:w="1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7"/>
              </w:rPr>
              <w:t>Liabilities and stockholders’ equity</w:t>
            </w: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536</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327</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.25</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592</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.45</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655</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20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w w:val="83"/>
              </w:rPr>
              <w:t>21,203</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41,922</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.80</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19,540</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62,227</w:t>
            </w:r>
          </w:p>
        </w:tc>
        <w:tc>
          <w:tcPr>
            <w:tcW w:w="760" w:type="dxa"/>
            <w:vAlign w:val="bottom"/>
          </w:tcPr>
          <w:p>
            <w:pPr>
              <w:jc w:val="right"/>
              <w:ind w:right="251"/>
              <w:spacing w:after="0"/>
              <w:rPr>
                <w:sz w:val="20"/>
                <w:szCs w:val="20"/>
                <w:color w:val="auto"/>
              </w:rPr>
            </w:pPr>
            <w:r>
              <w:rPr>
                <w:rFonts w:ascii="Arial" w:cs="Arial" w:eastAsia="Arial" w:hAnsi="Arial"/>
                <w:sz w:val="18"/>
                <w:szCs w:val="18"/>
                <w:color w:val="auto"/>
              </w:rPr>
              <w:t>1.27</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18,191</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58,917</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8,720</w:t>
            </w: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60,329</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2.81</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9,388</w:t>
            </w:r>
          </w:p>
        </w:tc>
        <w:tc>
          <w:tcPr>
            <w:tcW w:w="13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72,179</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3.06</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9,318</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72,100</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2,473</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981</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.16</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2,985</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5,326</w:t>
            </w: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.71</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3,837</w:t>
            </w: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18,709</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32,932</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103,559</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1.28</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32,441</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140,324</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1.72</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31,830</w:t>
            </w: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150,381</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3,477</w:t>
            </w:r>
          </w:p>
        </w:tc>
        <w:tc>
          <w:tcPr>
            <w:tcW w:w="1240" w:type="dxa"/>
            <w:vAlign w:val="bottom"/>
          </w:tcPr>
          <w:p>
            <w:pPr>
              <w:jc w:val="right"/>
              <w:ind w:right="211"/>
              <w:spacing w:after="0"/>
              <w:rPr>
                <w:sz w:val="20"/>
                <w:szCs w:val="20"/>
                <w:color w:val="auto"/>
              </w:rPr>
            </w:pPr>
            <w:r>
              <w:rPr>
                <w:rFonts w:ascii="Arial" w:cs="Arial" w:eastAsia="Arial" w:hAnsi="Arial"/>
                <w:sz w:val="18"/>
                <w:szCs w:val="18"/>
                <w:color w:val="auto"/>
              </w:rPr>
              <w:t>2,348</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.27</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4,950</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10,239</w:t>
            </w:r>
          </w:p>
        </w:tc>
        <w:tc>
          <w:tcPr>
            <w:tcW w:w="760" w:type="dxa"/>
            <w:vAlign w:val="bottom"/>
          </w:tcPr>
          <w:p>
            <w:pPr>
              <w:jc w:val="right"/>
              <w:ind w:right="251"/>
              <w:spacing w:after="0"/>
              <w:rPr>
                <w:sz w:val="20"/>
                <w:szCs w:val="20"/>
                <w:color w:val="auto"/>
              </w:rPr>
            </w:pPr>
            <w:r>
              <w:rPr>
                <w:rFonts w:ascii="Arial" w:cs="Arial" w:eastAsia="Arial" w:hAnsi="Arial"/>
                <w:sz w:val="18"/>
                <w:szCs w:val="18"/>
                <w:color w:val="auto"/>
              </w:rPr>
              <w:t>.82</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5,392</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28,155</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11,643</w:t>
            </w: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100,798</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3.51</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12,058</w:t>
            </w:r>
          </w:p>
        </w:tc>
        <w:tc>
          <w:tcPr>
            <w:tcW w:w="13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137,863</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4.55</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12,666</w:t>
            </w: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134,579</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5"/>
              </w:rPr>
              <w:t>Total interest-bearing liabilities</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3"/>
              </w:rPr>
              <w:t>48,052</w:t>
            </w: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206,705</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1.74</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49,449</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288,426</w:t>
            </w: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2.32</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49,888</w:t>
            </w: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313,115</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8,555</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8,006</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7,673</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1,379</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1,133</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1,021</w:t>
            </w:r>
          </w:p>
        </w:tc>
        <w:tc>
          <w:tcPr>
            <w:tcW w:w="1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57,986</w:t>
            </w: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58,588</w:t>
            </w:r>
          </w:p>
        </w:tc>
        <w:tc>
          <w:tcPr>
            <w:tcW w:w="1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58,582</w:t>
            </w:r>
          </w:p>
        </w:tc>
        <w:tc>
          <w:tcPr>
            <w:tcW w:w="1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6,780</w:t>
            </w:r>
          </w:p>
        </w:tc>
        <w:tc>
          <w:tcPr>
            <w:tcW w:w="1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6,354</w:t>
            </w:r>
          </w:p>
        </w:tc>
        <w:tc>
          <w:tcPr>
            <w:tcW w:w="1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6,415</w:t>
            </w:r>
          </w:p>
        </w:tc>
        <w:tc>
          <w:tcPr>
            <w:tcW w:w="1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Total liabilities and stockholders’</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3"/>
              </w:rPr>
              <w:t>64,766</w:t>
            </w:r>
          </w:p>
        </w:tc>
        <w:tc>
          <w:tcPr>
            <w:tcW w:w="1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64,942</w:t>
            </w:r>
          </w:p>
        </w:tc>
        <w:tc>
          <w:tcPr>
            <w:tcW w:w="13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64,997</w:t>
            </w:r>
          </w:p>
        </w:tc>
        <w:tc>
          <w:tcPr>
            <w:tcW w:w="12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2.91</w:t>
            </w:r>
          </w:p>
        </w:tc>
        <w:tc>
          <w:tcPr>
            <w:tcW w:w="7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color w:val="auto"/>
              </w:rPr>
              <w:t>3.03</w:t>
            </w:r>
          </w:p>
        </w:tc>
        <w:tc>
          <w:tcPr>
            <w:tcW w:w="8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.28</w:t>
            </w:r>
          </w:p>
        </w:tc>
        <w:tc>
          <w:tcPr>
            <w:tcW w:w="7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.34</w:t>
            </w:r>
          </w:p>
        </w:tc>
        <w:tc>
          <w:tcPr>
            <w:tcW w:w="8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6"/>
              </w:rPr>
              <w:t>Net interest income/margin on earning</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$452,740</w:t>
            </w: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3.19%</w:t>
            </w:r>
          </w:p>
        </w:tc>
        <w:tc>
          <w:tcPr>
            <w:tcW w:w="7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491,042</w:t>
            </w: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3.37%</w:t>
            </w:r>
          </w:p>
        </w:tc>
        <w:tc>
          <w:tcPr>
            <w:tcW w:w="8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493,499</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Table 3 (continued)</w:t>
            </w:r>
          </w:p>
        </w:tc>
        <w:tc>
          <w:tcPr>
            <w:tcW w:w="0" w:type="dxa"/>
            <w:vAlign w:val="bottom"/>
          </w:tcPr>
          <w:p>
            <w:pPr>
              <w:spacing w:after="0"/>
              <w:rPr>
                <w:sz w:val="1"/>
                <w:szCs w:val="1"/>
                <w:color w:val="auto"/>
              </w:rPr>
            </w:pPr>
          </w:p>
        </w:tc>
      </w:tr>
      <w:tr>
        <w:trPr>
          <w:trHeight w:val="432"/>
        </w:trPr>
        <w:tc>
          <w:tcPr>
            <w:tcW w:w="7900" w:type="dxa"/>
            <w:vAlign w:val="bottom"/>
            <w:gridSpan w:val="6"/>
          </w:tcPr>
          <w:p>
            <w:pPr>
              <w:spacing w:after="0"/>
              <w:rPr>
                <w:sz w:val="20"/>
                <w:szCs w:val="20"/>
                <w:color w:val="auto"/>
              </w:rPr>
            </w:pPr>
            <w:r>
              <w:rPr>
                <w:rFonts w:ascii="Arial" w:cs="Arial" w:eastAsia="Arial" w:hAnsi="Arial"/>
                <w:sz w:val="18"/>
                <w:szCs w:val="18"/>
                <w:color w:val="auto"/>
              </w:rPr>
              <w:t>AVERAGE BALANCE SHEETS AND ANNUALIZED TAXABLE-EQUIVALENT RATES (continued)</w:t>
            </w:r>
          </w:p>
        </w:tc>
        <w:tc>
          <w:tcPr>
            <w:tcW w:w="1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vMerge w:val="restart"/>
          </w:tcPr>
          <w:p>
            <w:pPr>
              <w:jc w:val="right"/>
              <w:ind w:right="131"/>
              <w:spacing w:after="0"/>
              <w:rPr>
                <w:sz w:val="20"/>
                <w:szCs w:val="20"/>
                <w:color w:val="auto"/>
              </w:rPr>
            </w:pPr>
            <w:r>
              <w:rPr>
                <w:rFonts w:ascii="Arial" w:cs="Arial" w:eastAsia="Arial" w:hAnsi="Arial"/>
                <w:sz w:val="14"/>
                <w:szCs w:val="14"/>
                <w:color w:val="auto"/>
                <w:w w:val="88"/>
              </w:rPr>
              <w:t>Average</w:t>
            </w:r>
          </w:p>
        </w:tc>
        <w:tc>
          <w:tcPr>
            <w:tcW w:w="1600" w:type="dxa"/>
            <w:vAlign w:val="bottom"/>
          </w:tcPr>
          <w:p>
            <w:pPr>
              <w:jc w:val="right"/>
              <w:ind w:right="151"/>
              <w:spacing w:after="0"/>
              <w:rPr>
                <w:sz w:val="20"/>
                <w:szCs w:val="20"/>
                <w:color w:val="auto"/>
              </w:rPr>
            </w:pPr>
            <w:r>
              <w:rPr>
                <w:rFonts w:ascii="Arial" w:cs="Arial" w:eastAsia="Arial" w:hAnsi="Arial"/>
                <w:sz w:val="14"/>
                <w:szCs w:val="14"/>
                <w:color w:val="auto"/>
              </w:rPr>
              <w:t>2008 Second Quarter</w:t>
            </w:r>
          </w:p>
        </w:tc>
        <w:tc>
          <w:tcPr>
            <w:tcW w:w="1100" w:type="dxa"/>
            <w:vAlign w:val="bottom"/>
            <w:vMerge w:val="restart"/>
          </w:tcPr>
          <w:p>
            <w:pPr>
              <w:jc w:val="right"/>
              <w:ind w:right="311"/>
              <w:spacing w:after="0"/>
              <w:rPr>
                <w:sz w:val="20"/>
                <w:szCs w:val="20"/>
                <w:color w:val="auto"/>
              </w:rPr>
            </w:pPr>
            <w:r>
              <w:rPr>
                <w:rFonts w:ascii="Arial" w:cs="Arial" w:eastAsia="Arial" w:hAnsi="Arial"/>
                <w:sz w:val="14"/>
                <w:szCs w:val="14"/>
                <w:color w:val="auto"/>
              </w:rPr>
              <w:t>Average</w:t>
            </w:r>
          </w:p>
        </w:tc>
        <w:tc>
          <w:tcPr>
            <w:tcW w:w="1040" w:type="dxa"/>
            <w:vAlign w:val="bottom"/>
            <w:vMerge w:val="restart"/>
          </w:tcPr>
          <w:p>
            <w:pPr>
              <w:jc w:val="right"/>
              <w:ind w:right="191"/>
              <w:spacing w:after="0"/>
              <w:rPr>
                <w:sz w:val="20"/>
                <w:szCs w:val="20"/>
                <w:color w:val="auto"/>
              </w:rPr>
            </w:pPr>
            <w:r>
              <w:rPr>
                <w:rFonts w:ascii="Arial" w:cs="Arial" w:eastAsia="Arial" w:hAnsi="Arial"/>
                <w:sz w:val="14"/>
                <w:szCs w:val="14"/>
                <w:color w:val="auto"/>
              </w:rPr>
              <w:t>Average</w:t>
            </w:r>
          </w:p>
        </w:tc>
        <w:tc>
          <w:tcPr>
            <w:tcW w:w="1540" w:type="dxa"/>
            <w:vAlign w:val="bottom"/>
          </w:tcPr>
          <w:p>
            <w:pPr>
              <w:jc w:val="right"/>
              <w:ind w:right="191"/>
              <w:spacing w:after="0"/>
              <w:rPr>
                <w:sz w:val="20"/>
                <w:szCs w:val="20"/>
                <w:color w:val="auto"/>
              </w:rPr>
            </w:pPr>
            <w:r>
              <w:rPr>
                <w:rFonts w:ascii="Arial" w:cs="Arial" w:eastAsia="Arial" w:hAnsi="Arial"/>
                <w:sz w:val="14"/>
                <w:szCs w:val="14"/>
                <w:color w:val="auto"/>
              </w:rPr>
              <w:t>2008 First Quarter</w:t>
            </w:r>
          </w:p>
        </w:tc>
        <w:tc>
          <w:tcPr>
            <w:tcW w:w="940" w:type="dxa"/>
            <w:vAlign w:val="bottom"/>
            <w:vMerge w:val="restart"/>
          </w:tcPr>
          <w:p>
            <w:pPr>
              <w:jc w:val="right"/>
              <w:ind w:right="111"/>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4120" w:type="dxa"/>
            <w:vAlign w:val="bottom"/>
            <w:gridSpan w:val="2"/>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380" w:type="dxa"/>
            <w:vAlign w:val="bottom"/>
          </w:tcPr>
          <w:p>
            <w:pPr>
              <w:spacing w:after="0"/>
              <w:rPr>
                <w:sz w:val="15"/>
                <w:szCs w:val="15"/>
                <w:color w:val="auto"/>
              </w:rPr>
            </w:pPr>
          </w:p>
        </w:tc>
        <w:tc>
          <w:tcPr>
            <w:tcW w:w="700" w:type="dxa"/>
            <w:vAlign w:val="bottom"/>
          </w:tcPr>
          <w:p>
            <w:pPr>
              <w:jc w:val="right"/>
              <w:ind w:right="131"/>
              <w:spacing w:after="0"/>
              <w:rPr>
                <w:sz w:val="20"/>
                <w:szCs w:val="20"/>
                <w:color w:val="auto"/>
              </w:rPr>
            </w:pPr>
            <w:r>
              <w:rPr>
                <w:rFonts w:ascii="Arial" w:cs="Arial" w:eastAsia="Arial" w:hAnsi="Arial"/>
                <w:sz w:val="14"/>
                <w:szCs w:val="14"/>
                <w:color w:val="auto"/>
                <w:w w:val="90"/>
              </w:rPr>
              <w:t>Balance</w:t>
            </w:r>
          </w:p>
        </w:tc>
        <w:tc>
          <w:tcPr>
            <w:tcW w:w="1600" w:type="dxa"/>
            <w:vAlign w:val="bottom"/>
          </w:tcPr>
          <w:p>
            <w:pPr>
              <w:jc w:val="right"/>
              <w:ind w:right="451"/>
              <w:spacing w:after="0"/>
              <w:rPr>
                <w:sz w:val="20"/>
                <w:szCs w:val="20"/>
                <w:color w:val="auto"/>
              </w:rPr>
            </w:pPr>
            <w:r>
              <w:rPr>
                <w:rFonts w:ascii="Arial" w:cs="Arial" w:eastAsia="Arial" w:hAnsi="Arial"/>
                <w:sz w:val="14"/>
                <w:szCs w:val="14"/>
                <w:color w:val="auto"/>
              </w:rPr>
              <w:t>Interest</w:t>
            </w:r>
          </w:p>
        </w:tc>
        <w:tc>
          <w:tcPr>
            <w:tcW w:w="1100" w:type="dxa"/>
            <w:vAlign w:val="bottom"/>
          </w:tcPr>
          <w:p>
            <w:pPr>
              <w:jc w:val="right"/>
              <w:ind w:right="431"/>
              <w:spacing w:after="0"/>
              <w:rPr>
                <w:sz w:val="20"/>
                <w:szCs w:val="20"/>
                <w:color w:val="auto"/>
              </w:rPr>
            </w:pPr>
            <w:r>
              <w:rPr>
                <w:rFonts w:ascii="Arial" w:cs="Arial" w:eastAsia="Arial" w:hAnsi="Arial"/>
                <w:sz w:val="14"/>
                <w:szCs w:val="14"/>
                <w:color w:val="auto"/>
              </w:rPr>
              <w:t>Rate</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Balance</w:t>
            </w:r>
          </w:p>
        </w:tc>
        <w:tc>
          <w:tcPr>
            <w:tcW w:w="1540" w:type="dxa"/>
            <w:vAlign w:val="bottom"/>
          </w:tcPr>
          <w:p>
            <w:pPr>
              <w:jc w:val="right"/>
              <w:ind w:right="431"/>
              <w:spacing w:after="0"/>
              <w:rPr>
                <w:sz w:val="20"/>
                <w:szCs w:val="20"/>
                <w:color w:val="auto"/>
              </w:rPr>
            </w:pPr>
            <w:r>
              <w:rPr>
                <w:rFonts w:ascii="Arial" w:cs="Arial" w:eastAsia="Arial" w:hAnsi="Arial"/>
                <w:sz w:val="14"/>
                <w:szCs w:val="14"/>
                <w:color w:val="auto"/>
              </w:rPr>
              <w:t>Interest</w:t>
            </w:r>
          </w:p>
        </w:tc>
        <w:tc>
          <w:tcPr>
            <w:tcW w:w="940" w:type="dxa"/>
            <w:vAlign w:val="bottom"/>
          </w:tcPr>
          <w:p>
            <w:pPr>
              <w:jc w:val="right"/>
              <w:ind w:right="211"/>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Earning assets</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1"/>
              <w:spacing w:after="0"/>
              <w:rPr>
                <w:sz w:val="20"/>
                <w:szCs w:val="20"/>
                <w:color w:val="auto"/>
              </w:rPr>
            </w:pPr>
            <w:r>
              <w:rPr>
                <w:rFonts w:ascii="Arial" w:cs="Arial" w:eastAsia="Arial" w:hAnsi="Arial"/>
                <w:sz w:val="18"/>
                <w:szCs w:val="18"/>
                <w:color w:val="auto"/>
                <w:w w:val="87"/>
              </w:rPr>
              <w:t>13,800</w:t>
            </w:r>
          </w:p>
        </w:tc>
        <w:tc>
          <w:tcPr>
            <w:tcW w:w="1600" w:type="dxa"/>
            <w:vAlign w:val="bottom"/>
          </w:tcPr>
          <w:p>
            <w:pPr>
              <w:jc w:val="right"/>
              <w:ind w:right="371"/>
              <w:spacing w:after="0"/>
              <w:rPr>
                <w:sz w:val="20"/>
                <w:szCs w:val="20"/>
                <w:color w:val="auto"/>
              </w:rPr>
            </w:pPr>
            <w:r>
              <w:rPr>
                <w:rFonts w:ascii="Arial" w:cs="Arial" w:eastAsia="Arial" w:hAnsi="Arial"/>
                <w:sz w:val="18"/>
                <w:szCs w:val="18"/>
                <w:color w:val="auto"/>
              </w:rPr>
              <w:t>$176,353</w:t>
            </w:r>
          </w:p>
        </w:tc>
        <w:tc>
          <w:tcPr>
            <w:tcW w:w="1100" w:type="dxa"/>
            <w:vAlign w:val="bottom"/>
          </w:tcPr>
          <w:p>
            <w:pPr>
              <w:jc w:val="right"/>
              <w:ind w:right="271"/>
              <w:spacing w:after="0"/>
              <w:rPr>
                <w:sz w:val="20"/>
                <w:szCs w:val="20"/>
                <w:color w:val="auto"/>
              </w:rPr>
            </w:pPr>
            <w:r>
              <w:rPr>
                <w:rFonts w:ascii="Arial" w:cs="Arial" w:eastAsia="Arial" w:hAnsi="Arial"/>
                <w:sz w:val="18"/>
                <w:szCs w:val="18"/>
                <w:color w:val="auto"/>
              </w:rPr>
              <w:t>5.14%</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13,308</w:t>
            </w:r>
          </w:p>
        </w:tc>
        <w:tc>
          <w:tcPr>
            <w:tcW w:w="1540" w:type="dxa"/>
            <w:vAlign w:val="bottom"/>
          </w:tcPr>
          <w:p>
            <w:pPr>
              <w:jc w:val="right"/>
              <w:ind w:right="351"/>
              <w:spacing w:after="0"/>
              <w:rPr>
                <w:sz w:val="20"/>
                <w:szCs w:val="20"/>
                <w:color w:val="auto"/>
              </w:rPr>
            </w:pPr>
            <w:r>
              <w:rPr>
                <w:rFonts w:ascii="Arial" w:cs="Arial" w:eastAsia="Arial" w:hAnsi="Arial"/>
                <w:sz w:val="18"/>
                <w:szCs w:val="18"/>
                <w:color w:val="auto"/>
              </w:rPr>
              <w:t>200,509</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87"/>
              </w:rPr>
              <w:t>18,491</w:t>
            </w:r>
          </w:p>
        </w:tc>
        <w:tc>
          <w:tcPr>
            <w:tcW w:w="16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266,323</w:t>
            </w:r>
          </w:p>
        </w:tc>
        <w:tc>
          <w:tcPr>
            <w:tcW w:w="11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5.76</w:t>
            </w: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17,994</w:t>
            </w:r>
          </w:p>
        </w:tc>
        <w:tc>
          <w:tcPr>
            <w:tcW w:w="1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285,831</w:t>
            </w:r>
          </w:p>
        </w:tc>
        <w:tc>
          <w:tcPr>
            <w:tcW w:w="9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380" w:type="dxa"/>
            <w:vAlign w:val="bottom"/>
          </w:tcPr>
          <w:p>
            <w:pPr>
              <w:spacing w:after="0"/>
              <w:rPr>
                <w:sz w:val="18"/>
                <w:szCs w:val="18"/>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6,026</w:t>
            </w:r>
          </w:p>
        </w:tc>
        <w:tc>
          <w:tcPr>
            <w:tcW w:w="1600" w:type="dxa"/>
            <w:vAlign w:val="bottom"/>
          </w:tcPr>
          <w:p>
            <w:pPr>
              <w:jc w:val="right"/>
              <w:ind w:right="371"/>
              <w:spacing w:after="0"/>
              <w:rPr>
                <w:sz w:val="20"/>
                <w:szCs w:val="20"/>
                <w:color w:val="auto"/>
              </w:rPr>
            </w:pPr>
            <w:r>
              <w:rPr>
                <w:rFonts w:ascii="Arial" w:cs="Arial" w:eastAsia="Arial" w:hAnsi="Arial"/>
                <w:sz w:val="18"/>
                <w:szCs w:val="18"/>
                <w:color w:val="auto"/>
              </w:rPr>
              <w:t>91,035</w:t>
            </w:r>
          </w:p>
        </w:tc>
        <w:tc>
          <w:tcPr>
            <w:tcW w:w="1100" w:type="dxa"/>
            <w:vAlign w:val="bottom"/>
          </w:tcPr>
          <w:p>
            <w:pPr>
              <w:jc w:val="right"/>
              <w:ind w:right="411"/>
              <w:spacing w:after="0"/>
              <w:rPr>
                <w:sz w:val="20"/>
                <w:szCs w:val="20"/>
                <w:color w:val="auto"/>
              </w:rPr>
            </w:pPr>
            <w:r>
              <w:rPr>
                <w:rFonts w:ascii="Arial" w:cs="Arial" w:eastAsia="Arial" w:hAnsi="Arial"/>
                <w:sz w:val="18"/>
                <w:szCs w:val="18"/>
                <w:color w:val="auto"/>
              </w:rPr>
              <w:t>6.04</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5,977</w:t>
            </w:r>
          </w:p>
        </w:tc>
        <w:tc>
          <w:tcPr>
            <w:tcW w:w="1540" w:type="dxa"/>
            <w:vAlign w:val="bottom"/>
          </w:tcPr>
          <w:p>
            <w:pPr>
              <w:jc w:val="right"/>
              <w:ind w:right="351"/>
              <w:spacing w:after="0"/>
              <w:rPr>
                <w:sz w:val="20"/>
                <w:szCs w:val="20"/>
                <w:color w:val="auto"/>
              </w:rPr>
            </w:pPr>
            <w:r>
              <w:rPr>
                <w:rFonts w:ascii="Arial" w:cs="Arial" w:eastAsia="Arial" w:hAnsi="Arial"/>
                <w:sz w:val="18"/>
                <w:szCs w:val="18"/>
                <w:color w:val="auto"/>
              </w:rPr>
              <w:t>92,179</w:t>
            </w: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87"/>
              </w:rPr>
              <w:t>11,205</w:t>
            </w:r>
          </w:p>
        </w:tc>
        <w:tc>
          <w:tcPr>
            <w:tcW w:w="160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178,598</w:t>
            </w:r>
          </w:p>
        </w:tc>
        <w:tc>
          <w:tcPr>
            <w:tcW w:w="11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6.41</w:t>
            </w: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11,296</w:t>
            </w:r>
          </w:p>
        </w:tc>
        <w:tc>
          <w:tcPr>
            <w:tcW w:w="1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193,938</w:t>
            </w:r>
          </w:p>
        </w:tc>
        <w:tc>
          <w:tcPr>
            <w:tcW w:w="9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87"/>
              </w:rPr>
              <w:t>49,522</w:t>
            </w:r>
          </w:p>
        </w:tc>
        <w:tc>
          <w:tcPr>
            <w:tcW w:w="16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712,309</w:t>
            </w: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5.79</w:t>
            </w: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48,575</w:t>
            </w: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772,457</w:t>
            </w:r>
          </w:p>
        </w:tc>
        <w:tc>
          <w:tcPr>
            <w:tcW w:w="9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w:t>
            </w:r>
          </w:p>
        </w:tc>
        <w:tc>
          <w:tcPr>
            <w:tcW w:w="16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22</w:t>
            </w:r>
          </w:p>
        </w:tc>
        <w:tc>
          <w:tcPr>
            <w:tcW w:w="11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1.14</w:t>
            </w: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w:t>
            </w:r>
          </w:p>
        </w:tc>
        <w:tc>
          <w:tcPr>
            <w:tcW w:w="1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44</w:t>
            </w:r>
          </w:p>
        </w:tc>
        <w:tc>
          <w:tcPr>
            <w:tcW w:w="9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Federal funds sold and agreements to resell securities</w:t>
            </w:r>
          </w:p>
        </w:tc>
        <w:tc>
          <w:tcPr>
            <w:tcW w:w="380" w:type="dxa"/>
            <w:vAlign w:val="bottom"/>
          </w:tcPr>
          <w:p>
            <w:pPr>
              <w:spacing w:after="0"/>
              <w:rPr>
                <w:sz w:val="18"/>
                <w:szCs w:val="18"/>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101</w:t>
            </w:r>
          </w:p>
        </w:tc>
        <w:tc>
          <w:tcPr>
            <w:tcW w:w="1600" w:type="dxa"/>
            <w:vAlign w:val="bottom"/>
          </w:tcPr>
          <w:p>
            <w:pPr>
              <w:jc w:val="right"/>
              <w:ind w:right="371"/>
              <w:spacing w:after="0"/>
              <w:rPr>
                <w:sz w:val="20"/>
                <w:szCs w:val="20"/>
                <w:color w:val="auto"/>
              </w:rPr>
            </w:pPr>
            <w:r>
              <w:rPr>
                <w:rFonts w:ascii="Arial" w:cs="Arial" w:eastAsia="Arial" w:hAnsi="Arial"/>
                <w:sz w:val="18"/>
                <w:szCs w:val="18"/>
                <w:color w:val="auto"/>
              </w:rPr>
              <w:t>492</w:t>
            </w:r>
          </w:p>
        </w:tc>
        <w:tc>
          <w:tcPr>
            <w:tcW w:w="1100" w:type="dxa"/>
            <w:vAlign w:val="bottom"/>
          </w:tcPr>
          <w:p>
            <w:pPr>
              <w:jc w:val="right"/>
              <w:ind w:right="411"/>
              <w:spacing w:after="0"/>
              <w:rPr>
                <w:sz w:val="20"/>
                <w:szCs w:val="20"/>
                <w:color w:val="auto"/>
              </w:rPr>
            </w:pPr>
            <w:r>
              <w:rPr>
                <w:rFonts w:ascii="Arial" w:cs="Arial" w:eastAsia="Arial" w:hAnsi="Arial"/>
                <w:sz w:val="18"/>
                <w:szCs w:val="18"/>
                <w:color w:val="auto"/>
              </w:rPr>
              <w:t>1.96</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129</w:t>
            </w:r>
          </w:p>
        </w:tc>
        <w:tc>
          <w:tcPr>
            <w:tcW w:w="1540" w:type="dxa"/>
            <w:vAlign w:val="bottom"/>
          </w:tcPr>
          <w:p>
            <w:pPr>
              <w:jc w:val="right"/>
              <w:ind w:right="351"/>
              <w:spacing w:after="0"/>
              <w:rPr>
                <w:sz w:val="20"/>
                <w:szCs w:val="20"/>
                <w:color w:val="auto"/>
              </w:rPr>
            </w:pPr>
            <w:r>
              <w:rPr>
                <w:rFonts w:ascii="Arial" w:cs="Arial" w:eastAsia="Arial" w:hAnsi="Arial"/>
                <w:sz w:val="18"/>
                <w:szCs w:val="18"/>
                <w:color w:val="auto"/>
              </w:rPr>
              <w:t>956</w:t>
            </w: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64</w:t>
            </w:r>
          </w:p>
        </w:tc>
        <w:tc>
          <w:tcPr>
            <w:tcW w:w="16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143</w:t>
            </w:r>
          </w:p>
        </w:tc>
        <w:tc>
          <w:tcPr>
            <w:tcW w:w="11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.90</w:t>
            </w: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75</w:t>
            </w:r>
          </w:p>
        </w:tc>
        <w:tc>
          <w:tcPr>
            <w:tcW w:w="1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259</w:t>
            </w:r>
          </w:p>
        </w:tc>
        <w:tc>
          <w:tcPr>
            <w:tcW w:w="9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Investment securities**</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3,462</w:t>
            </w:r>
          </w:p>
        </w:tc>
        <w:tc>
          <w:tcPr>
            <w:tcW w:w="16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40,996</w:t>
            </w:r>
          </w:p>
        </w:tc>
        <w:tc>
          <w:tcPr>
            <w:tcW w:w="11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4.76</w:t>
            </w: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3,523</w:t>
            </w:r>
          </w:p>
        </w:tc>
        <w:tc>
          <w:tcPr>
            <w:tcW w:w="1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41,757</w:t>
            </w:r>
          </w:p>
        </w:tc>
        <w:tc>
          <w:tcPr>
            <w:tcW w:w="9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380" w:type="dxa"/>
            <w:vAlign w:val="bottom"/>
          </w:tcPr>
          <w:p>
            <w:pPr>
              <w:spacing w:after="0"/>
              <w:rPr>
                <w:sz w:val="18"/>
                <w:szCs w:val="18"/>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140</w:t>
            </w:r>
          </w:p>
        </w:tc>
        <w:tc>
          <w:tcPr>
            <w:tcW w:w="1600" w:type="dxa"/>
            <w:vAlign w:val="bottom"/>
          </w:tcPr>
          <w:p>
            <w:pPr>
              <w:jc w:val="right"/>
              <w:ind w:right="371"/>
              <w:spacing w:after="0"/>
              <w:rPr>
                <w:sz w:val="20"/>
                <w:szCs w:val="20"/>
                <w:color w:val="auto"/>
              </w:rPr>
            </w:pPr>
            <w:r>
              <w:rPr>
                <w:rFonts w:ascii="Arial" w:cs="Arial" w:eastAsia="Arial" w:hAnsi="Arial"/>
                <w:sz w:val="18"/>
                <w:szCs w:val="18"/>
                <w:color w:val="auto"/>
              </w:rPr>
              <w:t>2,455</w:t>
            </w:r>
          </w:p>
        </w:tc>
        <w:tc>
          <w:tcPr>
            <w:tcW w:w="1100" w:type="dxa"/>
            <w:vAlign w:val="bottom"/>
          </w:tcPr>
          <w:p>
            <w:pPr>
              <w:jc w:val="right"/>
              <w:ind w:right="411"/>
              <w:spacing w:after="0"/>
              <w:rPr>
                <w:sz w:val="20"/>
                <w:szCs w:val="20"/>
                <w:color w:val="auto"/>
              </w:rPr>
            </w:pPr>
            <w:r>
              <w:rPr>
                <w:rFonts w:ascii="Arial" w:cs="Arial" w:eastAsia="Arial" w:hAnsi="Arial"/>
                <w:sz w:val="18"/>
                <w:szCs w:val="18"/>
                <w:color w:val="auto"/>
              </w:rPr>
              <w:t>7.03</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149</w:t>
            </w:r>
          </w:p>
        </w:tc>
        <w:tc>
          <w:tcPr>
            <w:tcW w:w="1540" w:type="dxa"/>
            <w:vAlign w:val="bottom"/>
          </w:tcPr>
          <w:p>
            <w:pPr>
              <w:jc w:val="right"/>
              <w:ind w:right="351"/>
              <w:spacing w:after="0"/>
              <w:rPr>
                <w:sz w:val="20"/>
                <w:szCs w:val="20"/>
                <w:color w:val="auto"/>
              </w:rPr>
            </w:pPr>
            <w:r>
              <w:rPr>
                <w:rFonts w:ascii="Arial" w:cs="Arial" w:eastAsia="Arial" w:hAnsi="Arial"/>
                <w:sz w:val="18"/>
                <w:szCs w:val="18"/>
                <w:color w:val="auto"/>
              </w:rPr>
              <w:t>2,436</w:t>
            </w: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5,168</w:t>
            </w:r>
          </w:p>
        </w:tc>
        <w:tc>
          <w:tcPr>
            <w:tcW w:w="160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67,008</w:t>
            </w:r>
          </w:p>
        </w:tc>
        <w:tc>
          <w:tcPr>
            <w:tcW w:w="11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5.22</w:t>
            </w: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5,252</w:t>
            </w:r>
          </w:p>
        </w:tc>
        <w:tc>
          <w:tcPr>
            <w:tcW w:w="1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72,036</w:t>
            </w:r>
          </w:p>
        </w:tc>
        <w:tc>
          <w:tcPr>
            <w:tcW w:w="9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8,770</w:t>
            </w:r>
          </w:p>
        </w:tc>
        <w:tc>
          <w:tcPr>
            <w:tcW w:w="16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110,459</w:t>
            </w: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5.07</w:t>
            </w: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8,924</w:t>
            </w: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116,229</w:t>
            </w:r>
          </w:p>
        </w:tc>
        <w:tc>
          <w:tcPr>
            <w:tcW w:w="9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87"/>
              </w:rPr>
              <w:t>58,465</w:t>
            </w:r>
          </w:p>
        </w:tc>
        <w:tc>
          <w:tcPr>
            <w:tcW w:w="160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823,425</w:t>
            </w:r>
          </w:p>
        </w:tc>
        <w:tc>
          <w:tcPr>
            <w:tcW w:w="11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5.66</w:t>
            </w: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57,713</w:t>
            </w:r>
          </w:p>
        </w:tc>
        <w:tc>
          <w:tcPr>
            <w:tcW w:w="1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889,945</w:t>
            </w:r>
          </w:p>
        </w:tc>
        <w:tc>
          <w:tcPr>
            <w:tcW w:w="9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380" w:type="dxa"/>
            <w:vAlign w:val="bottom"/>
          </w:tcPr>
          <w:p>
            <w:pPr>
              <w:spacing w:after="0"/>
              <w:rPr>
                <w:sz w:val="19"/>
                <w:szCs w:val="19"/>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(792)</w:t>
            </w: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(778)</w:t>
            </w: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1,209</w:t>
            </w:r>
          </w:p>
        </w:tc>
        <w:tc>
          <w:tcPr>
            <w:tcW w:w="1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1,297</w:t>
            </w:r>
          </w:p>
        </w:tc>
        <w:tc>
          <w:tcPr>
            <w:tcW w:w="1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6,702</w:t>
            </w:r>
          </w:p>
        </w:tc>
        <w:tc>
          <w:tcPr>
            <w:tcW w:w="1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6,783</w:t>
            </w:r>
          </w:p>
        </w:tc>
        <w:tc>
          <w:tcPr>
            <w:tcW w:w="1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87"/>
              </w:rPr>
              <w:t>65,584</w:t>
            </w:r>
          </w:p>
        </w:tc>
        <w:tc>
          <w:tcPr>
            <w:tcW w:w="1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65,015</w:t>
            </w:r>
          </w:p>
        </w:tc>
        <w:tc>
          <w:tcPr>
            <w:tcW w:w="1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512</w:t>
            </w:r>
          </w:p>
        </w:tc>
        <w:tc>
          <w:tcPr>
            <w:tcW w:w="16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629</w:t>
            </w:r>
          </w:p>
        </w:tc>
        <w:tc>
          <w:tcPr>
            <w:tcW w:w="11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.49</w:t>
            </w: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484</w:t>
            </w:r>
          </w:p>
        </w:tc>
        <w:tc>
          <w:tcPr>
            <w:tcW w:w="1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1,018</w:t>
            </w:r>
          </w:p>
        </w:tc>
        <w:tc>
          <w:tcPr>
            <w:tcW w:w="9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380" w:type="dxa"/>
            <w:vAlign w:val="bottom"/>
          </w:tcPr>
          <w:p>
            <w:pPr>
              <w:spacing w:after="0"/>
              <w:rPr>
                <w:sz w:val="18"/>
                <w:szCs w:val="18"/>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w w:val="87"/>
              </w:rPr>
              <w:t>18,092</w:t>
            </w:r>
          </w:p>
        </w:tc>
        <w:tc>
          <w:tcPr>
            <w:tcW w:w="1600" w:type="dxa"/>
            <w:vAlign w:val="bottom"/>
          </w:tcPr>
          <w:p>
            <w:pPr>
              <w:jc w:val="right"/>
              <w:ind w:right="371"/>
              <w:spacing w:after="0"/>
              <w:rPr>
                <w:sz w:val="20"/>
                <w:szCs w:val="20"/>
                <w:color w:val="auto"/>
              </w:rPr>
            </w:pPr>
            <w:r>
              <w:rPr>
                <w:rFonts w:ascii="Arial" w:cs="Arial" w:eastAsia="Arial" w:hAnsi="Arial"/>
                <w:sz w:val="18"/>
                <w:szCs w:val="18"/>
                <w:color w:val="auto"/>
              </w:rPr>
              <w:t>60,317</w:t>
            </w:r>
          </w:p>
        </w:tc>
        <w:tc>
          <w:tcPr>
            <w:tcW w:w="1100" w:type="dxa"/>
            <w:vAlign w:val="bottom"/>
          </w:tcPr>
          <w:p>
            <w:pPr>
              <w:jc w:val="right"/>
              <w:ind w:right="411"/>
              <w:spacing w:after="0"/>
              <w:rPr>
                <w:sz w:val="20"/>
                <w:szCs w:val="20"/>
                <w:color w:val="auto"/>
              </w:rPr>
            </w:pPr>
            <w:r>
              <w:rPr>
                <w:rFonts w:ascii="Arial" w:cs="Arial" w:eastAsia="Arial" w:hAnsi="Arial"/>
                <w:sz w:val="18"/>
                <w:szCs w:val="18"/>
                <w:color w:val="auto"/>
              </w:rPr>
              <w:t>1.34</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16,843</w:t>
            </w:r>
          </w:p>
        </w:tc>
        <w:tc>
          <w:tcPr>
            <w:tcW w:w="1540" w:type="dxa"/>
            <w:vAlign w:val="bottom"/>
          </w:tcPr>
          <w:p>
            <w:pPr>
              <w:jc w:val="right"/>
              <w:ind w:right="351"/>
              <w:spacing w:after="0"/>
              <w:rPr>
                <w:sz w:val="20"/>
                <w:szCs w:val="20"/>
                <w:color w:val="auto"/>
              </w:rPr>
            </w:pPr>
            <w:r>
              <w:rPr>
                <w:rFonts w:ascii="Arial" w:cs="Arial" w:eastAsia="Arial" w:hAnsi="Arial"/>
                <w:sz w:val="18"/>
                <w:szCs w:val="18"/>
                <w:color w:val="auto"/>
              </w:rPr>
              <w:t>66,622</w:t>
            </w: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9,216</w:t>
            </w:r>
          </w:p>
        </w:tc>
        <w:tc>
          <w:tcPr>
            <w:tcW w:w="16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79,467</w:t>
            </w:r>
          </w:p>
        </w:tc>
        <w:tc>
          <w:tcPr>
            <w:tcW w:w="11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3.47</w:t>
            </w: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10,416</w:t>
            </w:r>
          </w:p>
        </w:tc>
        <w:tc>
          <w:tcPr>
            <w:tcW w:w="1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106,643</w:t>
            </w:r>
          </w:p>
        </w:tc>
        <w:tc>
          <w:tcPr>
            <w:tcW w:w="9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4,314</w:t>
            </w:r>
          </w:p>
        </w:tc>
        <w:tc>
          <w:tcPr>
            <w:tcW w:w="16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22,075</w:t>
            </w: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2.06</w:t>
            </w: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4,821</w:t>
            </w: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38,373</w:t>
            </w:r>
          </w:p>
        </w:tc>
        <w:tc>
          <w:tcPr>
            <w:tcW w:w="9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87"/>
              </w:rPr>
              <w:t>32,134</w:t>
            </w:r>
          </w:p>
        </w:tc>
        <w:tc>
          <w:tcPr>
            <w:tcW w:w="160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162,488</w:t>
            </w:r>
          </w:p>
        </w:tc>
        <w:tc>
          <w:tcPr>
            <w:tcW w:w="11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2.03</w:t>
            </w: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32,564</w:t>
            </w:r>
          </w:p>
        </w:tc>
        <w:tc>
          <w:tcPr>
            <w:tcW w:w="1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212,656</w:t>
            </w:r>
          </w:p>
        </w:tc>
        <w:tc>
          <w:tcPr>
            <w:tcW w:w="9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Short-term borrowings</w:t>
            </w:r>
          </w:p>
        </w:tc>
        <w:tc>
          <w:tcPr>
            <w:tcW w:w="380" w:type="dxa"/>
            <w:vAlign w:val="bottom"/>
          </w:tcPr>
          <w:p>
            <w:pPr>
              <w:spacing w:after="0"/>
              <w:rPr>
                <w:sz w:val="19"/>
                <w:szCs w:val="19"/>
                <w:color w:val="auto"/>
              </w:rPr>
            </w:pP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6,869</w:t>
            </w:r>
          </w:p>
        </w:tc>
        <w:tc>
          <w:tcPr>
            <w:tcW w:w="1600" w:type="dxa"/>
            <w:vAlign w:val="bottom"/>
          </w:tcPr>
          <w:p>
            <w:pPr>
              <w:jc w:val="right"/>
              <w:ind w:right="371"/>
              <w:spacing w:after="0"/>
              <w:rPr>
                <w:sz w:val="20"/>
                <w:szCs w:val="20"/>
                <w:color w:val="auto"/>
              </w:rPr>
            </w:pPr>
            <w:r>
              <w:rPr>
                <w:rFonts w:ascii="Arial" w:cs="Arial" w:eastAsia="Arial" w:hAnsi="Arial"/>
                <w:sz w:val="18"/>
                <w:szCs w:val="18"/>
                <w:color w:val="auto"/>
              </w:rPr>
              <w:t>42,612</w:t>
            </w:r>
          </w:p>
        </w:tc>
        <w:tc>
          <w:tcPr>
            <w:tcW w:w="1100" w:type="dxa"/>
            <w:vAlign w:val="bottom"/>
          </w:tcPr>
          <w:p>
            <w:pPr>
              <w:jc w:val="right"/>
              <w:ind w:right="411"/>
              <w:spacing w:after="0"/>
              <w:rPr>
                <w:sz w:val="20"/>
                <w:szCs w:val="20"/>
                <w:color w:val="auto"/>
              </w:rPr>
            </w:pPr>
            <w:r>
              <w:rPr>
                <w:rFonts w:ascii="Arial" w:cs="Arial" w:eastAsia="Arial" w:hAnsi="Arial"/>
                <w:sz w:val="18"/>
                <w:szCs w:val="18"/>
                <w:color w:val="auto"/>
              </w:rPr>
              <w:t>2.49</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7,153</w:t>
            </w:r>
          </w:p>
        </w:tc>
        <w:tc>
          <w:tcPr>
            <w:tcW w:w="1540" w:type="dxa"/>
            <w:vAlign w:val="bottom"/>
          </w:tcPr>
          <w:p>
            <w:pPr>
              <w:jc w:val="right"/>
              <w:ind w:right="351"/>
              <w:spacing w:after="0"/>
              <w:rPr>
                <w:sz w:val="20"/>
                <w:szCs w:val="20"/>
                <w:color w:val="auto"/>
              </w:rPr>
            </w:pPr>
            <w:r>
              <w:rPr>
                <w:rFonts w:ascii="Arial" w:cs="Arial" w:eastAsia="Arial" w:hAnsi="Arial"/>
                <w:sz w:val="18"/>
                <w:szCs w:val="18"/>
                <w:color w:val="auto"/>
              </w:rPr>
              <w:t>61,621</w:t>
            </w: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87"/>
              </w:rPr>
              <w:t>11,407</w:t>
            </w:r>
          </w:p>
        </w:tc>
        <w:tc>
          <w:tcPr>
            <w:tcW w:w="160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125,842</w:t>
            </w:r>
          </w:p>
        </w:tc>
        <w:tc>
          <w:tcPr>
            <w:tcW w:w="11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4.44</w:t>
            </w: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10,270</w:t>
            </w:r>
          </w:p>
        </w:tc>
        <w:tc>
          <w:tcPr>
            <w:tcW w:w="1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131,035</w:t>
            </w:r>
          </w:p>
        </w:tc>
        <w:tc>
          <w:tcPr>
            <w:tcW w:w="9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87"/>
              </w:rPr>
              <w:t>50,410</w:t>
            </w:r>
          </w:p>
        </w:tc>
        <w:tc>
          <w:tcPr>
            <w:tcW w:w="16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330,942</w:t>
            </w: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2.64</w:t>
            </w: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49,987</w:t>
            </w: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405,312</w:t>
            </w:r>
          </w:p>
        </w:tc>
        <w:tc>
          <w:tcPr>
            <w:tcW w:w="9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7,577</w:t>
            </w:r>
          </w:p>
        </w:tc>
        <w:tc>
          <w:tcPr>
            <w:tcW w:w="1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7,435</w:t>
            </w:r>
          </w:p>
        </w:tc>
        <w:tc>
          <w:tcPr>
            <w:tcW w:w="1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1,128</w:t>
            </w:r>
          </w:p>
        </w:tc>
        <w:tc>
          <w:tcPr>
            <w:tcW w:w="1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1,080</w:t>
            </w:r>
          </w:p>
        </w:tc>
        <w:tc>
          <w:tcPr>
            <w:tcW w:w="1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87"/>
              </w:rPr>
              <w:t>59,115</w:t>
            </w:r>
          </w:p>
        </w:tc>
        <w:tc>
          <w:tcPr>
            <w:tcW w:w="1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58,502</w:t>
            </w:r>
          </w:p>
        </w:tc>
        <w:tc>
          <w:tcPr>
            <w:tcW w:w="1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6,469</w:t>
            </w:r>
          </w:p>
        </w:tc>
        <w:tc>
          <w:tcPr>
            <w:tcW w:w="1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6,513</w:t>
            </w:r>
          </w:p>
        </w:tc>
        <w:tc>
          <w:tcPr>
            <w:tcW w:w="1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87"/>
              </w:rPr>
              <w:t>65,584</w:t>
            </w:r>
          </w:p>
        </w:tc>
        <w:tc>
          <w:tcPr>
            <w:tcW w:w="1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65,015</w:t>
            </w:r>
          </w:p>
        </w:tc>
        <w:tc>
          <w:tcPr>
            <w:tcW w:w="1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11"/>
              <w:spacing w:after="0"/>
              <w:rPr>
                <w:sz w:val="20"/>
                <w:szCs w:val="20"/>
                <w:color w:val="auto"/>
              </w:rPr>
            </w:pPr>
            <w:r>
              <w:rPr>
                <w:rFonts w:ascii="Arial" w:cs="Arial" w:eastAsia="Arial" w:hAnsi="Arial"/>
                <w:sz w:val="18"/>
                <w:szCs w:val="18"/>
                <w:color w:val="auto"/>
              </w:rPr>
              <w:t>3.02</w:t>
            </w:r>
          </w:p>
        </w:tc>
        <w:tc>
          <w:tcPr>
            <w:tcW w:w="10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.37</w:t>
            </w:r>
          </w:p>
        </w:tc>
        <w:tc>
          <w:tcPr>
            <w:tcW w:w="10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income/margin on earning assets</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$492,483</w:t>
            </w:r>
          </w:p>
        </w:tc>
        <w:tc>
          <w:tcPr>
            <w:tcW w:w="11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3.39%</w:t>
            </w:r>
          </w:p>
        </w:tc>
        <w:tc>
          <w:tcPr>
            <w:tcW w:w="1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484,633</w:t>
            </w: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40" w:firstLine="233"/>
        <w:spacing w:after="0" w:line="312" w:lineRule="auto"/>
        <w:tabs>
          <w:tab w:leader="none" w:pos="47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March 31, 2009.</w:t>
      </w:r>
    </w:p>
    <w:p>
      <w:pPr>
        <w:spacing w:after="0" w:line="38" w:lineRule="exact"/>
        <w:rPr>
          <w:rFonts w:ascii="Arial" w:cs="Arial" w:eastAsia="Arial" w:hAnsi="Arial"/>
          <w:sz w:val="16"/>
          <w:szCs w:val="16"/>
          <w:color w:val="auto"/>
        </w:rPr>
      </w:pPr>
    </w:p>
    <w:p>
      <w:pPr>
        <w:ind w:firstLine="233"/>
        <w:spacing w:after="0" w:line="279"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2009 that have materially affected, or are reasonably likely to materially affect, M&amp;T’s internal control over financial reporting.</w:t>
      </w: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2008.</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(a)-(b) Not applicable.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Issuer Purchases of Equity Securities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6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(d)Maximum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(c)Total</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Number of</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0"/>
              </w:rPr>
              <w:t>Shares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(or Units)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Purchased</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1"/>
              </w:rPr>
              <w:t>(a)Total</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0"/>
              </w:rPr>
              <w:t>as Part of</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6"/>
              </w:rPr>
              <w:t>Number</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(b)Average</w:t>
            </w: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9"/>
              </w:rPr>
              <w:t>Publicly</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0"/>
              </w:rPr>
              <w:t>of Shares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Price Paid</w:t>
            </w:r>
          </w:p>
        </w:tc>
        <w:tc>
          <w:tcPr>
            <w:tcW w:w="6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3"/>
              </w:rPr>
              <w:t>Announced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(or Units)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per Share</w:t>
            </w: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3"/>
              </w:rPr>
              <w:t>Plans or</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74"/>
        </w:trPr>
        <w:tc>
          <w:tcPr>
            <w:tcW w:w="64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89"/>
              </w:rPr>
              <w:t>Purchased</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8"/>
              </w:rPr>
              <w:t>(or Unit)</w:t>
            </w:r>
          </w:p>
        </w:tc>
        <w:tc>
          <w:tcPr>
            <w:tcW w:w="680" w:type="dxa"/>
            <w:vAlign w:val="bottom"/>
          </w:tcPr>
          <w:p>
            <w:pPr>
              <w:spacing w:after="0"/>
              <w:rPr>
                <w:sz w:val="15"/>
                <w:szCs w:val="15"/>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92"/>
              </w:rPr>
              <w:t>Programs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January 31, 2009</w:t>
            </w:r>
          </w:p>
        </w:tc>
        <w:tc>
          <w:tcPr>
            <w:tcW w:w="136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432"/>
        </w:trPr>
        <w:tc>
          <w:tcPr>
            <w:tcW w:w="6420" w:type="dxa"/>
            <w:vAlign w:val="bottom"/>
            <w:gridSpan w:val="2"/>
          </w:tcPr>
          <w:p>
            <w:pPr>
              <w:spacing w:after="0"/>
              <w:rPr>
                <w:sz w:val="20"/>
                <w:szCs w:val="20"/>
                <w:color w:val="auto"/>
              </w:rPr>
            </w:pPr>
            <w:r>
              <w:rPr>
                <w:rFonts w:ascii="Arial" w:cs="Arial" w:eastAsia="Arial" w:hAnsi="Arial"/>
                <w:sz w:val="18"/>
                <w:szCs w:val="18"/>
                <w:color w:val="auto"/>
              </w:rPr>
              <w:t>February 1 - February 28, 2009</w:t>
            </w: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2009</w:t>
            </w: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127"/>
              <w:spacing w:after="0"/>
              <w:rPr>
                <w:sz w:val="20"/>
                <w:szCs w:val="20"/>
                <w:color w:val="auto"/>
              </w:rPr>
            </w:pPr>
            <w:r>
              <w:rPr>
                <w:rFonts w:ascii="Arial" w:cs="Arial" w:eastAsia="Arial" w:hAnsi="Arial"/>
                <w:sz w:val="15"/>
                <w:szCs w:val="15"/>
                <w:color w:val="auto"/>
                <w:w w:val="71"/>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line="20" w:lineRule="exact"/>
              <w:rPr>
                <w:sz w:val="1"/>
                <w:szCs w:val="1"/>
                <w:color w:val="auto"/>
              </w:rPr>
            </w:pPr>
          </w:p>
        </w:tc>
        <w:tc>
          <w:tcPr>
            <w:tcW w:w="136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20" w:type="dxa"/>
            <w:vAlign w:val="bottom"/>
            <w:gridSpan w:val="2"/>
            <w:vMerge w:val="continue"/>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2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February 22, 2007, M&amp;T announced a program to purchase up to 5,000,000 shares of its common stock. No shares were purchased under such program during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(a)-(c) The 2009 Annual Meeting of Stockholders of M&amp;T was held on April 21, 2009. At the 2009 Annual Meeting, stockholders elected seventeen</w:t>
      </w:r>
    </w:p>
    <w:p>
      <w:pPr>
        <w:spacing w:after="0" w:line="35" w:lineRule="exact"/>
        <w:rPr>
          <w:sz w:val="20"/>
          <w:szCs w:val="20"/>
          <w:color w:val="auto"/>
        </w:rPr>
      </w:pPr>
    </w:p>
    <w:p>
      <w:pPr>
        <w:ind w:right="120" w:firstLine="8"/>
        <w:spacing w:after="0" w:line="255" w:lineRule="auto"/>
        <w:tabs>
          <w:tab w:leader="none" w:pos="3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directors, all of whom were then serving as directors of M&amp;T with the exception of Melinda R. Rich, who was then serving as a director of M&amp;T Bank, for terms of one (1) year and until their successors are elected and qualified. The following table reflects the tabulation of the votes with respect to each director who was elected at the 2009 Annual Meeting.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80" w:type="dxa"/>
            <w:vAlign w:val="bottom"/>
            <w:vMerge w:val="restart"/>
          </w:tcPr>
          <w:p>
            <w:pPr>
              <w:ind w:left="820"/>
              <w:spacing w:after="0"/>
              <w:rPr>
                <w:sz w:val="20"/>
                <w:szCs w:val="20"/>
                <w:color w:val="auto"/>
              </w:rPr>
            </w:pPr>
            <w:r>
              <w:rPr>
                <w:rFonts w:ascii="Arial" w:cs="Arial" w:eastAsia="Arial" w:hAnsi="Arial"/>
                <w:sz w:val="14"/>
                <w:szCs w:val="14"/>
                <w:color w:val="auto"/>
              </w:rPr>
              <w:t>Nominee</w:t>
            </w:r>
          </w:p>
        </w:tc>
        <w:tc>
          <w:tcPr>
            <w:tcW w:w="51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right"/>
              <w:ind w:right="1448"/>
              <w:spacing w:after="0"/>
              <w:rPr>
                <w:sz w:val="20"/>
                <w:szCs w:val="20"/>
                <w:color w:val="auto"/>
              </w:rPr>
            </w:pPr>
            <w:r>
              <w:rPr>
                <w:rFonts w:ascii="Arial" w:cs="Arial" w:eastAsia="Arial" w:hAnsi="Arial"/>
                <w:sz w:val="14"/>
                <w:szCs w:val="14"/>
                <w:color w:val="auto"/>
              </w:rPr>
              <w:t>Number of Votes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bottom w:val="single" w:sz="8" w:color="auto"/>
            </w:tcBorders>
            <w:vMerge w:val="continue"/>
          </w:tcPr>
          <w:p>
            <w:pPr>
              <w:spacing w:after="0"/>
              <w:rPr>
                <w:sz w:val="12"/>
                <w:szCs w:val="12"/>
                <w:color w:val="auto"/>
              </w:rPr>
            </w:pPr>
          </w:p>
        </w:tc>
        <w:tc>
          <w:tcPr>
            <w:tcW w:w="5180" w:type="dxa"/>
            <w:vAlign w:val="bottom"/>
          </w:tcPr>
          <w:p>
            <w:pPr>
              <w:spacing w:after="0"/>
              <w:rPr>
                <w:sz w:val="12"/>
                <w:szCs w:val="12"/>
                <w:color w:val="auto"/>
              </w:rPr>
            </w:pPr>
          </w:p>
        </w:tc>
        <w:tc>
          <w:tcPr>
            <w:tcW w:w="1400" w:type="dxa"/>
            <w:vAlign w:val="bottom"/>
            <w:tcBorders>
              <w:bottom w:val="single" w:sz="8" w:color="auto"/>
            </w:tcBorders>
          </w:tcPr>
          <w:p>
            <w:pPr>
              <w:jc w:val="center"/>
              <w:ind w:left="208"/>
              <w:spacing w:after="0" w:line="142" w:lineRule="exact"/>
              <w:rPr>
                <w:sz w:val="20"/>
                <w:szCs w:val="20"/>
                <w:color w:val="auto"/>
              </w:rPr>
            </w:pPr>
            <w:r>
              <w:rPr>
                <w:rFonts w:ascii="Arial" w:cs="Arial" w:eastAsia="Arial" w:hAnsi="Arial"/>
                <w:sz w:val="14"/>
                <w:szCs w:val="14"/>
                <w:color w:val="auto"/>
                <w:w w:val="95"/>
              </w:rPr>
              <w:t>For</w:t>
            </w:r>
          </w:p>
        </w:tc>
        <w:tc>
          <w:tcPr>
            <w:tcW w:w="30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40" w:type="dxa"/>
            <w:vAlign w:val="bottom"/>
            <w:tcBorders>
              <w:bottom w:val="single" w:sz="8" w:color="auto"/>
            </w:tcBorders>
          </w:tcPr>
          <w:p>
            <w:pPr>
              <w:jc w:val="right"/>
              <w:ind w:right="488"/>
              <w:spacing w:after="0" w:line="142" w:lineRule="exact"/>
              <w:rPr>
                <w:sz w:val="20"/>
                <w:szCs w:val="20"/>
                <w:color w:val="auto"/>
              </w:rPr>
            </w:pPr>
            <w:r>
              <w:rPr>
                <w:rFonts w:ascii="Arial" w:cs="Arial" w:eastAsia="Arial" w:hAnsi="Arial"/>
                <w:sz w:val="14"/>
                <w:szCs w:val="14"/>
                <w:color w:val="auto"/>
              </w:rPr>
              <w:t>Withheld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Brent D. Baird</w:t>
            </w:r>
          </w:p>
        </w:tc>
        <w:tc>
          <w:tcPr>
            <w:tcW w:w="6580" w:type="dxa"/>
            <w:vAlign w:val="bottom"/>
            <w:gridSpan w:val="2"/>
            <w:shd w:val="clear" w:color="auto" w:fill="CCEEFF"/>
          </w:tcPr>
          <w:p>
            <w:pPr>
              <w:jc w:val="center"/>
              <w:ind w:left="5390"/>
              <w:spacing w:after="0"/>
              <w:rPr>
                <w:sz w:val="20"/>
                <w:szCs w:val="20"/>
                <w:color w:val="auto"/>
              </w:rPr>
            </w:pPr>
            <w:r>
              <w:rPr>
                <w:rFonts w:ascii="Arial" w:cs="Arial" w:eastAsia="Arial" w:hAnsi="Arial"/>
                <w:sz w:val="18"/>
                <w:szCs w:val="18"/>
                <w:color w:val="auto"/>
                <w:w w:val="90"/>
              </w:rPr>
              <w:t>99,220,023</w:t>
            </w:r>
          </w:p>
        </w:tc>
        <w:tc>
          <w:tcPr>
            <w:tcW w:w="264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1,437,827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Robert J. Bennett</w:t>
            </w:r>
          </w:p>
        </w:tc>
        <w:tc>
          <w:tcPr>
            <w:tcW w:w="6580" w:type="dxa"/>
            <w:vAlign w:val="bottom"/>
            <w:gridSpan w:val="2"/>
          </w:tcPr>
          <w:p>
            <w:pPr>
              <w:jc w:val="center"/>
              <w:ind w:left="5390"/>
              <w:spacing w:after="0"/>
              <w:rPr>
                <w:sz w:val="20"/>
                <w:szCs w:val="20"/>
                <w:color w:val="auto"/>
              </w:rPr>
            </w:pPr>
            <w:r>
              <w:rPr>
                <w:rFonts w:ascii="Arial" w:cs="Arial" w:eastAsia="Arial" w:hAnsi="Arial"/>
                <w:sz w:val="18"/>
                <w:szCs w:val="18"/>
                <w:color w:val="auto"/>
                <w:w w:val="90"/>
              </w:rPr>
              <w:t>99,703,972</w:t>
            </w:r>
          </w:p>
        </w:tc>
        <w:tc>
          <w:tcPr>
            <w:tcW w:w="2640" w:type="dxa"/>
            <w:vAlign w:val="bottom"/>
            <w:gridSpan w:val="3"/>
          </w:tcPr>
          <w:p>
            <w:pPr>
              <w:jc w:val="right"/>
              <w:ind w:right="368"/>
              <w:spacing w:after="0"/>
              <w:rPr>
                <w:sz w:val="20"/>
                <w:szCs w:val="20"/>
                <w:color w:val="auto"/>
              </w:rPr>
            </w:pPr>
            <w:r>
              <w:rPr>
                <w:rFonts w:ascii="Arial" w:cs="Arial" w:eastAsia="Arial" w:hAnsi="Arial"/>
                <w:sz w:val="18"/>
                <w:szCs w:val="18"/>
                <w:color w:val="auto"/>
              </w:rPr>
              <w:t>953,878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 Angela Bontempo</w:t>
            </w:r>
          </w:p>
        </w:tc>
        <w:tc>
          <w:tcPr>
            <w:tcW w:w="6580" w:type="dxa"/>
            <w:vAlign w:val="bottom"/>
            <w:gridSpan w:val="2"/>
            <w:shd w:val="clear" w:color="auto" w:fill="CCEEFF"/>
          </w:tcPr>
          <w:p>
            <w:pPr>
              <w:jc w:val="center"/>
              <w:ind w:left="5390"/>
              <w:spacing w:after="0"/>
              <w:rPr>
                <w:sz w:val="20"/>
                <w:szCs w:val="20"/>
                <w:color w:val="auto"/>
              </w:rPr>
            </w:pPr>
            <w:r>
              <w:rPr>
                <w:rFonts w:ascii="Arial" w:cs="Arial" w:eastAsia="Arial" w:hAnsi="Arial"/>
                <w:sz w:val="18"/>
                <w:szCs w:val="18"/>
                <w:color w:val="auto"/>
                <w:w w:val="90"/>
              </w:rPr>
              <w:t>99,475,817</w:t>
            </w:r>
          </w:p>
        </w:tc>
        <w:tc>
          <w:tcPr>
            <w:tcW w:w="264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1,182,033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Robert T. Brady</w:t>
            </w:r>
          </w:p>
        </w:tc>
        <w:tc>
          <w:tcPr>
            <w:tcW w:w="6580" w:type="dxa"/>
            <w:vAlign w:val="bottom"/>
            <w:gridSpan w:val="2"/>
          </w:tcPr>
          <w:p>
            <w:pPr>
              <w:jc w:val="center"/>
              <w:ind w:left="5390"/>
              <w:spacing w:after="0"/>
              <w:rPr>
                <w:sz w:val="20"/>
                <w:szCs w:val="20"/>
                <w:color w:val="auto"/>
              </w:rPr>
            </w:pPr>
            <w:r>
              <w:rPr>
                <w:rFonts w:ascii="Arial" w:cs="Arial" w:eastAsia="Arial" w:hAnsi="Arial"/>
                <w:sz w:val="18"/>
                <w:szCs w:val="18"/>
                <w:color w:val="auto"/>
                <w:w w:val="90"/>
              </w:rPr>
              <w:t>91,687,594</w:t>
            </w:r>
          </w:p>
        </w:tc>
        <w:tc>
          <w:tcPr>
            <w:tcW w:w="2640" w:type="dxa"/>
            <w:vAlign w:val="bottom"/>
            <w:gridSpan w:val="3"/>
          </w:tcPr>
          <w:p>
            <w:pPr>
              <w:jc w:val="right"/>
              <w:ind w:right="368"/>
              <w:spacing w:after="0"/>
              <w:rPr>
                <w:sz w:val="20"/>
                <w:szCs w:val="20"/>
                <w:color w:val="auto"/>
              </w:rPr>
            </w:pPr>
            <w:r>
              <w:rPr>
                <w:rFonts w:ascii="Arial" w:cs="Arial" w:eastAsia="Arial" w:hAnsi="Arial"/>
                <w:sz w:val="18"/>
                <w:szCs w:val="18"/>
                <w:color w:val="auto"/>
              </w:rPr>
              <w:t>8,970,256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Michael D. Buckley</w:t>
            </w:r>
          </w:p>
        </w:tc>
        <w:tc>
          <w:tcPr>
            <w:tcW w:w="6580" w:type="dxa"/>
            <w:vAlign w:val="bottom"/>
            <w:gridSpan w:val="2"/>
            <w:shd w:val="clear" w:color="auto" w:fill="CCEEFF"/>
          </w:tcPr>
          <w:p>
            <w:pPr>
              <w:jc w:val="center"/>
              <w:ind w:left="5390"/>
              <w:spacing w:after="0"/>
              <w:rPr>
                <w:sz w:val="20"/>
                <w:szCs w:val="20"/>
                <w:color w:val="auto"/>
              </w:rPr>
            </w:pPr>
            <w:r>
              <w:rPr>
                <w:rFonts w:ascii="Arial" w:cs="Arial" w:eastAsia="Arial" w:hAnsi="Arial"/>
                <w:sz w:val="18"/>
                <w:szCs w:val="18"/>
                <w:color w:val="auto"/>
                <w:w w:val="90"/>
              </w:rPr>
              <w:t>99,562,572</w:t>
            </w:r>
          </w:p>
        </w:tc>
        <w:tc>
          <w:tcPr>
            <w:tcW w:w="264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1,095,278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7"/>
              </w:rPr>
              <w:t>T. Jefferson Cunningham III</w:t>
            </w:r>
          </w:p>
        </w:tc>
        <w:tc>
          <w:tcPr>
            <w:tcW w:w="6580" w:type="dxa"/>
            <w:vAlign w:val="bottom"/>
            <w:gridSpan w:val="2"/>
          </w:tcPr>
          <w:p>
            <w:pPr>
              <w:jc w:val="center"/>
              <w:ind w:left="5410"/>
              <w:spacing w:after="0"/>
              <w:rPr>
                <w:sz w:val="20"/>
                <w:szCs w:val="20"/>
                <w:color w:val="auto"/>
              </w:rPr>
            </w:pPr>
            <w:r>
              <w:rPr>
                <w:rFonts w:ascii="Arial" w:cs="Arial" w:eastAsia="Arial" w:hAnsi="Arial"/>
                <w:sz w:val="18"/>
                <w:szCs w:val="18"/>
                <w:color w:val="auto"/>
                <w:w w:val="88"/>
              </w:rPr>
              <w:t>98,115,663</w:t>
            </w:r>
          </w:p>
        </w:tc>
        <w:tc>
          <w:tcPr>
            <w:tcW w:w="2640" w:type="dxa"/>
            <w:vAlign w:val="bottom"/>
            <w:gridSpan w:val="3"/>
          </w:tcPr>
          <w:p>
            <w:pPr>
              <w:jc w:val="right"/>
              <w:ind w:right="368"/>
              <w:spacing w:after="0"/>
              <w:rPr>
                <w:sz w:val="20"/>
                <w:szCs w:val="20"/>
                <w:color w:val="auto"/>
              </w:rPr>
            </w:pPr>
            <w:r>
              <w:rPr>
                <w:rFonts w:ascii="Arial" w:cs="Arial" w:eastAsia="Arial" w:hAnsi="Arial"/>
                <w:sz w:val="18"/>
                <w:szCs w:val="18"/>
                <w:color w:val="auto"/>
              </w:rPr>
              <w:t>2,542,187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Mark J. Czarnecki</w:t>
            </w:r>
          </w:p>
        </w:tc>
        <w:tc>
          <w:tcPr>
            <w:tcW w:w="6580" w:type="dxa"/>
            <w:vAlign w:val="bottom"/>
            <w:gridSpan w:val="2"/>
            <w:shd w:val="clear" w:color="auto" w:fill="CCEEFF"/>
          </w:tcPr>
          <w:p>
            <w:pPr>
              <w:jc w:val="center"/>
              <w:ind w:left="5390"/>
              <w:spacing w:after="0"/>
              <w:rPr>
                <w:sz w:val="20"/>
                <w:szCs w:val="20"/>
                <w:color w:val="auto"/>
              </w:rPr>
            </w:pPr>
            <w:r>
              <w:rPr>
                <w:rFonts w:ascii="Arial" w:cs="Arial" w:eastAsia="Arial" w:hAnsi="Arial"/>
                <w:sz w:val="18"/>
                <w:szCs w:val="18"/>
                <w:color w:val="auto"/>
                <w:w w:val="90"/>
              </w:rPr>
              <w:t>98,395,095</w:t>
            </w:r>
          </w:p>
        </w:tc>
        <w:tc>
          <w:tcPr>
            <w:tcW w:w="264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2,262,755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Colm E. Doherty</w:t>
            </w:r>
          </w:p>
        </w:tc>
        <w:tc>
          <w:tcPr>
            <w:tcW w:w="6580" w:type="dxa"/>
            <w:vAlign w:val="bottom"/>
            <w:gridSpan w:val="2"/>
          </w:tcPr>
          <w:p>
            <w:pPr>
              <w:jc w:val="center"/>
              <w:ind w:left="5390"/>
              <w:spacing w:after="0"/>
              <w:rPr>
                <w:sz w:val="20"/>
                <w:szCs w:val="20"/>
                <w:color w:val="auto"/>
              </w:rPr>
            </w:pPr>
            <w:r>
              <w:rPr>
                <w:rFonts w:ascii="Arial" w:cs="Arial" w:eastAsia="Arial" w:hAnsi="Arial"/>
                <w:sz w:val="18"/>
                <w:szCs w:val="18"/>
                <w:color w:val="auto"/>
                <w:w w:val="90"/>
              </w:rPr>
              <w:t>99,364,514</w:t>
            </w:r>
          </w:p>
        </w:tc>
        <w:tc>
          <w:tcPr>
            <w:tcW w:w="2640" w:type="dxa"/>
            <w:vAlign w:val="bottom"/>
            <w:gridSpan w:val="3"/>
          </w:tcPr>
          <w:p>
            <w:pPr>
              <w:jc w:val="right"/>
              <w:ind w:right="368"/>
              <w:spacing w:after="0"/>
              <w:rPr>
                <w:sz w:val="20"/>
                <w:szCs w:val="20"/>
                <w:color w:val="auto"/>
              </w:rPr>
            </w:pPr>
            <w:r>
              <w:rPr>
                <w:rFonts w:ascii="Arial" w:cs="Arial" w:eastAsia="Arial" w:hAnsi="Arial"/>
                <w:sz w:val="18"/>
                <w:szCs w:val="18"/>
                <w:color w:val="auto"/>
              </w:rPr>
              <w:t>1,293,336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Patrick W.E. Hodgson</w:t>
            </w:r>
          </w:p>
        </w:tc>
        <w:tc>
          <w:tcPr>
            <w:tcW w:w="6580" w:type="dxa"/>
            <w:vAlign w:val="bottom"/>
            <w:gridSpan w:val="2"/>
            <w:shd w:val="clear" w:color="auto" w:fill="CCEEFF"/>
          </w:tcPr>
          <w:p>
            <w:pPr>
              <w:jc w:val="center"/>
              <w:ind w:left="5390"/>
              <w:spacing w:after="0"/>
              <w:rPr>
                <w:sz w:val="20"/>
                <w:szCs w:val="20"/>
                <w:color w:val="auto"/>
              </w:rPr>
            </w:pPr>
            <w:r>
              <w:rPr>
                <w:rFonts w:ascii="Arial" w:cs="Arial" w:eastAsia="Arial" w:hAnsi="Arial"/>
                <w:sz w:val="18"/>
                <w:szCs w:val="18"/>
                <w:color w:val="auto"/>
                <w:w w:val="90"/>
              </w:rPr>
              <w:t>99,726,132</w:t>
            </w:r>
          </w:p>
        </w:tc>
        <w:tc>
          <w:tcPr>
            <w:tcW w:w="264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931,718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Richard G. King</w:t>
            </w:r>
          </w:p>
        </w:tc>
        <w:tc>
          <w:tcPr>
            <w:tcW w:w="6580" w:type="dxa"/>
            <w:vAlign w:val="bottom"/>
            <w:gridSpan w:val="2"/>
          </w:tcPr>
          <w:p>
            <w:pPr>
              <w:jc w:val="center"/>
              <w:ind w:left="5390"/>
              <w:spacing w:after="0"/>
              <w:rPr>
                <w:sz w:val="20"/>
                <w:szCs w:val="20"/>
                <w:color w:val="auto"/>
              </w:rPr>
            </w:pPr>
            <w:r>
              <w:rPr>
                <w:rFonts w:ascii="Arial" w:cs="Arial" w:eastAsia="Arial" w:hAnsi="Arial"/>
                <w:sz w:val="18"/>
                <w:szCs w:val="18"/>
                <w:color w:val="auto"/>
                <w:w w:val="90"/>
              </w:rPr>
              <w:t>99,685,594</w:t>
            </w:r>
          </w:p>
        </w:tc>
        <w:tc>
          <w:tcPr>
            <w:tcW w:w="2640" w:type="dxa"/>
            <w:vAlign w:val="bottom"/>
            <w:gridSpan w:val="3"/>
          </w:tcPr>
          <w:p>
            <w:pPr>
              <w:jc w:val="right"/>
              <w:ind w:right="368"/>
              <w:spacing w:after="0"/>
              <w:rPr>
                <w:sz w:val="20"/>
                <w:szCs w:val="20"/>
                <w:color w:val="auto"/>
              </w:rPr>
            </w:pPr>
            <w:r>
              <w:rPr>
                <w:rFonts w:ascii="Arial" w:cs="Arial" w:eastAsia="Arial" w:hAnsi="Arial"/>
                <w:sz w:val="18"/>
                <w:szCs w:val="18"/>
                <w:color w:val="auto"/>
              </w:rPr>
              <w:t>972,256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Jorge G. Pereira</w:t>
            </w:r>
          </w:p>
        </w:tc>
        <w:tc>
          <w:tcPr>
            <w:tcW w:w="6580" w:type="dxa"/>
            <w:vAlign w:val="bottom"/>
            <w:gridSpan w:val="2"/>
            <w:shd w:val="clear" w:color="auto" w:fill="CCEEFF"/>
          </w:tcPr>
          <w:p>
            <w:pPr>
              <w:jc w:val="center"/>
              <w:ind w:left="5390"/>
              <w:spacing w:after="0"/>
              <w:rPr>
                <w:sz w:val="20"/>
                <w:szCs w:val="20"/>
                <w:color w:val="auto"/>
              </w:rPr>
            </w:pPr>
            <w:r>
              <w:rPr>
                <w:rFonts w:ascii="Arial" w:cs="Arial" w:eastAsia="Arial" w:hAnsi="Arial"/>
                <w:sz w:val="18"/>
                <w:szCs w:val="18"/>
                <w:color w:val="auto"/>
                <w:w w:val="90"/>
              </w:rPr>
              <w:t>99,535,051</w:t>
            </w:r>
          </w:p>
        </w:tc>
        <w:tc>
          <w:tcPr>
            <w:tcW w:w="264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1,122,799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Michael P. Pinto</w:t>
            </w:r>
          </w:p>
        </w:tc>
        <w:tc>
          <w:tcPr>
            <w:tcW w:w="6580" w:type="dxa"/>
            <w:vAlign w:val="bottom"/>
            <w:gridSpan w:val="2"/>
          </w:tcPr>
          <w:p>
            <w:pPr>
              <w:jc w:val="center"/>
              <w:ind w:left="5390"/>
              <w:spacing w:after="0"/>
              <w:rPr>
                <w:sz w:val="20"/>
                <w:szCs w:val="20"/>
                <w:color w:val="auto"/>
              </w:rPr>
            </w:pPr>
            <w:r>
              <w:rPr>
                <w:rFonts w:ascii="Arial" w:cs="Arial" w:eastAsia="Arial" w:hAnsi="Arial"/>
                <w:sz w:val="18"/>
                <w:szCs w:val="18"/>
                <w:color w:val="auto"/>
                <w:w w:val="90"/>
              </w:rPr>
              <w:t>98,395,039</w:t>
            </w:r>
          </w:p>
        </w:tc>
        <w:tc>
          <w:tcPr>
            <w:tcW w:w="2640" w:type="dxa"/>
            <w:vAlign w:val="bottom"/>
            <w:gridSpan w:val="3"/>
          </w:tcPr>
          <w:p>
            <w:pPr>
              <w:jc w:val="right"/>
              <w:ind w:right="368"/>
              <w:spacing w:after="0"/>
              <w:rPr>
                <w:sz w:val="20"/>
                <w:szCs w:val="20"/>
                <w:color w:val="auto"/>
              </w:rPr>
            </w:pPr>
            <w:r>
              <w:rPr>
                <w:rFonts w:ascii="Arial" w:cs="Arial" w:eastAsia="Arial" w:hAnsi="Arial"/>
                <w:sz w:val="18"/>
                <w:szCs w:val="18"/>
                <w:color w:val="auto"/>
              </w:rPr>
              <w:t>2,262,811</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180" w:type="dxa"/>
            <w:vAlign w:val="bottom"/>
          </w:tcPr>
          <w:p>
            <w:pPr>
              <w:jc w:val="right"/>
              <w:ind w:right="1390"/>
              <w:spacing w:after="0"/>
              <w:rPr>
                <w:sz w:val="20"/>
                <w:szCs w:val="20"/>
                <w:color w:val="auto"/>
              </w:rPr>
            </w:pPr>
            <w:r>
              <w:rPr>
                <w:rFonts w:ascii="Arial" w:cs="Arial" w:eastAsia="Arial" w:hAnsi="Arial"/>
                <w:sz w:val="18"/>
                <w:szCs w:val="18"/>
                <w:color w:val="auto"/>
              </w:rPr>
              <w:t>- 77 -</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820" w:type="dxa"/>
            <w:vAlign w:val="bottom"/>
            <w:vMerge w:val="restart"/>
          </w:tcPr>
          <w:p>
            <w:pPr>
              <w:ind w:left="640"/>
              <w:spacing w:after="0"/>
              <w:rPr>
                <w:sz w:val="20"/>
                <w:szCs w:val="20"/>
                <w:color w:val="auto"/>
              </w:rPr>
            </w:pPr>
            <w:r>
              <w:rPr>
                <w:rFonts w:ascii="Arial" w:cs="Arial" w:eastAsia="Arial" w:hAnsi="Arial"/>
                <w:sz w:val="14"/>
                <w:szCs w:val="14"/>
                <w:color w:val="auto"/>
              </w:rPr>
              <w:t>Nominee</w:t>
            </w:r>
          </w:p>
        </w:tc>
        <w:tc>
          <w:tcPr>
            <w:tcW w:w="5420" w:type="dxa"/>
            <w:vAlign w:val="bottom"/>
            <w:vMerge w:val="restart"/>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Number of Votes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Borders>
              <w:bottom w:val="single" w:sz="8" w:color="auto"/>
            </w:tcBorders>
            <w:vMerge w:val="continue"/>
          </w:tcPr>
          <w:p>
            <w:pPr>
              <w:spacing w:after="0"/>
              <w:rPr>
                <w:sz w:val="12"/>
                <w:szCs w:val="12"/>
                <w:color w:val="auto"/>
              </w:rPr>
            </w:pPr>
          </w:p>
        </w:tc>
        <w:tc>
          <w:tcPr>
            <w:tcW w:w="5420" w:type="dxa"/>
            <w:vAlign w:val="bottom"/>
            <w:vMerge w:val="continue"/>
          </w:tcPr>
          <w:p>
            <w:pPr>
              <w:spacing w:after="0"/>
              <w:rPr>
                <w:sz w:val="12"/>
                <w:szCs w:val="12"/>
                <w:color w:val="auto"/>
              </w:rPr>
            </w:pPr>
          </w:p>
        </w:tc>
        <w:tc>
          <w:tcPr>
            <w:tcW w:w="1440" w:type="dxa"/>
            <w:vAlign w:val="bottom"/>
            <w:tcBorders>
              <w:bottom w:val="single" w:sz="8" w:color="auto"/>
            </w:tcBorders>
          </w:tcPr>
          <w:p>
            <w:pPr>
              <w:jc w:val="center"/>
              <w:ind w:left="193"/>
              <w:spacing w:after="0" w:line="142" w:lineRule="exact"/>
              <w:rPr>
                <w:sz w:val="20"/>
                <w:szCs w:val="20"/>
                <w:color w:val="auto"/>
              </w:rPr>
            </w:pPr>
            <w:r>
              <w:rPr>
                <w:rFonts w:ascii="Arial" w:cs="Arial" w:eastAsia="Arial" w:hAnsi="Arial"/>
                <w:sz w:val="14"/>
                <w:szCs w:val="14"/>
                <w:color w:val="auto"/>
                <w:w w:val="95"/>
              </w:rPr>
              <w:t>For</w:t>
            </w:r>
          </w:p>
        </w:tc>
        <w:tc>
          <w:tcPr>
            <w:tcW w:w="28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Withheld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Melinda R. Rich</w:t>
            </w:r>
          </w:p>
        </w:tc>
        <w:tc>
          <w:tcPr>
            <w:tcW w:w="144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88"/>
              </w:rPr>
              <w:t>98,294,595</w:t>
            </w:r>
          </w:p>
        </w:tc>
        <w:tc>
          <w:tcPr>
            <w:tcW w:w="2720" w:type="dxa"/>
            <w:vAlign w:val="bottom"/>
            <w:gridSpan w:val="3"/>
            <w:shd w:val="clear" w:color="auto" w:fill="CCEEFF"/>
          </w:tcPr>
          <w:p>
            <w:pPr>
              <w:jc w:val="center"/>
              <w:ind w:left="993"/>
              <w:spacing w:after="0"/>
              <w:rPr>
                <w:sz w:val="20"/>
                <w:szCs w:val="20"/>
                <w:color w:val="auto"/>
              </w:rPr>
            </w:pPr>
            <w:r>
              <w:rPr>
                <w:rFonts w:ascii="Arial" w:cs="Arial" w:eastAsia="Arial" w:hAnsi="Arial"/>
                <w:sz w:val="18"/>
                <w:szCs w:val="18"/>
                <w:color w:val="auto"/>
                <w:w w:val="89"/>
              </w:rPr>
              <w:t>2,363,255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Robert E. Sadler, Jr.</w:t>
            </w:r>
          </w:p>
        </w:tc>
        <w:tc>
          <w:tcPr>
            <w:tcW w:w="1440" w:type="dxa"/>
            <w:vAlign w:val="bottom"/>
          </w:tcPr>
          <w:p>
            <w:pPr>
              <w:jc w:val="center"/>
              <w:ind w:left="233"/>
              <w:spacing w:after="0"/>
              <w:rPr>
                <w:sz w:val="20"/>
                <w:szCs w:val="20"/>
                <w:color w:val="auto"/>
              </w:rPr>
            </w:pPr>
            <w:r>
              <w:rPr>
                <w:rFonts w:ascii="Arial" w:cs="Arial" w:eastAsia="Arial" w:hAnsi="Arial"/>
                <w:sz w:val="18"/>
                <w:szCs w:val="18"/>
                <w:color w:val="auto"/>
                <w:w w:val="88"/>
              </w:rPr>
              <w:t>98,187,691</w:t>
            </w:r>
          </w:p>
        </w:tc>
        <w:tc>
          <w:tcPr>
            <w:tcW w:w="2720" w:type="dxa"/>
            <w:vAlign w:val="bottom"/>
            <w:gridSpan w:val="3"/>
          </w:tcPr>
          <w:p>
            <w:pPr>
              <w:jc w:val="center"/>
              <w:ind w:left="993"/>
              <w:spacing w:after="0"/>
              <w:rPr>
                <w:sz w:val="20"/>
                <w:szCs w:val="20"/>
                <w:color w:val="auto"/>
              </w:rPr>
            </w:pPr>
            <w:r>
              <w:rPr>
                <w:rFonts w:ascii="Arial" w:cs="Arial" w:eastAsia="Arial" w:hAnsi="Arial"/>
                <w:sz w:val="18"/>
                <w:szCs w:val="18"/>
                <w:color w:val="auto"/>
                <w:w w:val="89"/>
              </w:rPr>
              <w:t>2,470,159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Eugene J. Sheehy</w:t>
            </w:r>
          </w:p>
        </w:tc>
        <w:tc>
          <w:tcPr>
            <w:tcW w:w="144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88"/>
              </w:rPr>
              <w:t>99,156,725</w:t>
            </w:r>
          </w:p>
        </w:tc>
        <w:tc>
          <w:tcPr>
            <w:tcW w:w="2720" w:type="dxa"/>
            <w:vAlign w:val="bottom"/>
            <w:gridSpan w:val="3"/>
            <w:shd w:val="clear" w:color="auto" w:fill="CCEEFF"/>
          </w:tcPr>
          <w:p>
            <w:pPr>
              <w:jc w:val="center"/>
              <w:ind w:left="993"/>
              <w:spacing w:after="0"/>
              <w:rPr>
                <w:sz w:val="20"/>
                <w:szCs w:val="20"/>
                <w:color w:val="auto"/>
              </w:rPr>
            </w:pPr>
            <w:r>
              <w:rPr>
                <w:rFonts w:ascii="Arial" w:cs="Arial" w:eastAsia="Arial" w:hAnsi="Arial"/>
                <w:sz w:val="18"/>
                <w:szCs w:val="18"/>
                <w:color w:val="auto"/>
                <w:w w:val="89"/>
              </w:rPr>
              <w:t>1,501,125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Herbert L. Washington</w:t>
            </w:r>
          </w:p>
        </w:tc>
        <w:tc>
          <w:tcPr>
            <w:tcW w:w="1440" w:type="dxa"/>
            <w:vAlign w:val="bottom"/>
          </w:tcPr>
          <w:p>
            <w:pPr>
              <w:jc w:val="center"/>
              <w:ind w:left="233"/>
              <w:spacing w:after="0"/>
              <w:rPr>
                <w:sz w:val="20"/>
                <w:szCs w:val="20"/>
                <w:color w:val="auto"/>
              </w:rPr>
            </w:pPr>
            <w:r>
              <w:rPr>
                <w:rFonts w:ascii="Arial" w:cs="Arial" w:eastAsia="Arial" w:hAnsi="Arial"/>
                <w:sz w:val="18"/>
                <w:szCs w:val="18"/>
                <w:color w:val="auto"/>
                <w:w w:val="88"/>
              </w:rPr>
              <w:t>99,575,827</w:t>
            </w:r>
          </w:p>
        </w:tc>
        <w:tc>
          <w:tcPr>
            <w:tcW w:w="2720" w:type="dxa"/>
            <w:vAlign w:val="bottom"/>
            <w:gridSpan w:val="3"/>
          </w:tcPr>
          <w:p>
            <w:pPr>
              <w:jc w:val="center"/>
              <w:ind w:left="993"/>
              <w:spacing w:after="0"/>
              <w:rPr>
                <w:sz w:val="20"/>
                <w:szCs w:val="20"/>
                <w:color w:val="auto"/>
              </w:rPr>
            </w:pPr>
            <w:r>
              <w:rPr>
                <w:rFonts w:ascii="Arial" w:cs="Arial" w:eastAsia="Arial" w:hAnsi="Arial"/>
                <w:sz w:val="18"/>
                <w:szCs w:val="18"/>
                <w:color w:val="auto"/>
                <w:w w:val="89"/>
              </w:rPr>
              <w:t>1,082,023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Wilmers</w:t>
            </w:r>
          </w:p>
        </w:tc>
        <w:tc>
          <w:tcPr>
            <w:tcW w:w="144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88"/>
              </w:rPr>
              <w:t>98,361,994</w:t>
            </w:r>
          </w:p>
        </w:tc>
        <w:tc>
          <w:tcPr>
            <w:tcW w:w="2720" w:type="dxa"/>
            <w:vAlign w:val="bottom"/>
            <w:gridSpan w:val="3"/>
            <w:shd w:val="clear" w:color="auto" w:fill="CCEEFF"/>
          </w:tcPr>
          <w:p>
            <w:pPr>
              <w:jc w:val="center"/>
              <w:ind w:left="993"/>
              <w:spacing w:after="0"/>
              <w:rPr>
                <w:sz w:val="20"/>
                <w:szCs w:val="20"/>
                <w:color w:val="auto"/>
              </w:rPr>
            </w:pPr>
            <w:r>
              <w:rPr>
                <w:rFonts w:ascii="Arial" w:cs="Arial" w:eastAsia="Arial" w:hAnsi="Arial"/>
                <w:sz w:val="18"/>
                <w:szCs w:val="18"/>
                <w:color w:val="auto"/>
                <w:w w:val="89"/>
              </w:rPr>
              <w:t>2,295,856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At the 2009 Annual Meeting, stockholders approved the M&amp;T Bank Corporation 2009 Equity Incentive Compensation Plan. The following table presents the tabulation of the votes with respect to such approval: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Number of Votes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6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7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Broker</w:t>
            </w:r>
          </w:p>
        </w:tc>
      </w:tr>
      <w:tr>
        <w:trPr>
          <w:trHeight w:val="167"/>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480" w:type="dxa"/>
            <w:vAlign w:val="bottom"/>
          </w:tcPr>
          <w:p>
            <w:pPr>
              <w:spacing w:after="0"/>
              <w:rPr>
                <w:sz w:val="14"/>
                <w:szCs w:val="14"/>
                <w:color w:val="auto"/>
              </w:rPr>
            </w:pPr>
          </w:p>
        </w:tc>
        <w:tc>
          <w:tcPr>
            <w:tcW w:w="2760" w:type="dxa"/>
            <w:vAlign w:val="bottom"/>
            <w:tcBorders>
              <w:bottom w:val="single" w:sz="8" w:color="auto"/>
            </w:tcBorders>
          </w:tcPr>
          <w:p>
            <w:pPr>
              <w:jc w:val="right"/>
              <w:ind w:right="1079"/>
              <w:spacing w:after="0"/>
              <w:rPr>
                <w:sz w:val="20"/>
                <w:szCs w:val="20"/>
                <w:color w:val="auto"/>
              </w:rPr>
            </w:pPr>
            <w:r>
              <w:rPr>
                <w:rFonts w:ascii="Arial" w:cs="Arial" w:eastAsia="Arial" w:hAnsi="Arial"/>
                <w:sz w:val="14"/>
                <w:szCs w:val="14"/>
                <w:color w:val="auto"/>
              </w:rPr>
              <w:t>Against</w:t>
            </w:r>
          </w:p>
        </w:tc>
        <w:tc>
          <w:tcPr>
            <w:tcW w:w="480" w:type="dxa"/>
            <w:vAlign w:val="bottom"/>
          </w:tcPr>
          <w:p>
            <w:pPr>
              <w:spacing w:after="0"/>
              <w:rPr>
                <w:sz w:val="14"/>
                <w:szCs w:val="14"/>
                <w:color w:val="auto"/>
              </w:rPr>
            </w:pPr>
          </w:p>
        </w:tc>
        <w:tc>
          <w:tcPr>
            <w:tcW w:w="18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Abstain</w:t>
            </w:r>
          </w:p>
        </w:tc>
        <w:tc>
          <w:tcPr>
            <w:tcW w:w="480" w:type="dxa"/>
            <w:vAlign w:val="bottom"/>
          </w:tcPr>
          <w:p>
            <w:pPr>
              <w:spacing w:after="0"/>
              <w:rPr>
                <w:sz w:val="14"/>
                <w:szCs w:val="1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Non-vote</w:t>
            </w:r>
          </w:p>
        </w:tc>
      </w:tr>
      <w:tr>
        <w:trPr>
          <w:trHeight w:val="224"/>
        </w:trPr>
        <w:tc>
          <w:tcPr>
            <w:tcW w:w="2620" w:type="dxa"/>
            <w:vAlign w:val="bottom"/>
          </w:tcPr>
          <w:p>
            <w:pPr>
              <w:jc w:val="right"/>
              <w:ind w:right="819"/>
              <w:spacing w:after="0"/>
              <w:rPr>
                <w:sz w:val="20"/>
                <w:szCs w:val="20"/>
                <w:color w:val="auto"/>
              </w:rPr>
            </w:pPr>
            <w:r>
              <w:rPr>
                <w:rFonts w:ascii="Arial" w:cs="Arial" w:eastAsia="Arial" w:hAnsi="Arial"/>
                <w:sz w:val="18"/>
                <w:szCs w:val="18"/>
                <w:color w:val="auto"/>
              </w:rPr>
              <w:t>65,904,039</w:t>
            </w:r>
          </w:p>
        </w:tc>
        <w:tc>
          <w:tcPr>
            <w:tcW w:w="480" w:type="dxa"/>
            <w:vAlign w:val="bottom"/>
          </w:tcPr>
          <w:p>
            <w:pPr>
              <w:spacing w:after="0"/>
              <w:rPr>
                <w:sz w:val="19"/>
                <w:szCs w:val="19"/>
                <w:color w:val="auto"/>
              </w:rPr>
            </w:pPr>
          </w:p>
        </w:tc>
        <w:tc>
          <w:tcPr>
            <w:tcW w:w="2760" w:type="dxa"/>
            <w:vAlign w:val="bottom"/>
          </w:tcPr>
          <w:p>
            <w:pPr>
              <w:jc w:val="right"/>
              <w:ind w:right="939"/>
              <w:spacing w:after="0"/>
              <w:rPr>
                <w:sz w:val="20"/>
                <w:szCs w:val="20"/>
                <w:color w:val="auto"/>
              </w:rPr>
            </w:pPr>
            <w:r>
              <w:rPr>
                <w:rFonts w:ascii="Arial" w:cs="Arial" w:eastAsia="Arial" w:hAnsi="Arial"/>
                <w:sz w:val="18"/>
                <w:szCs w:val="18"/>
                <w:color w:val="auto"/>
              </w:rPr>
              <w:t>23,464,282</w:t>
            </w:r>
          </w:p>
        </w:tc>
        <w:tc>
          <w:tcPr>
            <w:tcW w:w="480" w:type="dxa"/>
            <w:vAlign w:val="bottom"/>
          </w:tcPr>
          <w:p>
            <w:pPr>
              <w:spacing w:after="0"/>
              <w:rPr>
                <w:sz w:val="19"/>
                <w:szCs w:val="19"/>
                <w:color w:val="auto"/>
              </w:rPr>
            </w:pPr>
          </w:p>
        </w:tc>
        <w:tc>
          <w:tcPr>
            <w:tcW w:w="1820" w:type="dxa"/>
            <w:vAlign w:val="bottom"/>
          </w:tcPr>
          <w:p>
            <w:pPr>
              <w:jc w:val="right"/>
              <w:ind w:right="579"/>
              <w:spacing w:after="0"/>
              <w:rPr>
                <w:sz w:val="20"/>
                <w:szCs w:val="20"/>
                <w:color w:val="auto"/>
              </w:rPr>
            </w:pPr>
            <w:r>
              <w:rPr>
                <w:rFonts w:ascii="Arial" w:cs="Arial" w:eastAsia="Arial" w:hAnsi="Arial"/>
                <w:sz w:val="18"/>
                <w:szCs w:val="18"/>
                <w:color w:val="auto"/>
              </w:rPr>
              <w:t>424,517</w:t>
            </w:r>
          </w:p>
        </w:tc>
        <w:tc>
          <w:tcPr>
            <w:tcW w:w="480" w:type="dxa"/>
            <w:vAlign w:val="bottom"/>
          </w:tcPr>
          <w:p>
            <w:pPr>
              <w:spacing w:after="0"/>
              <w:rPr>
                <w:sz w:val="19"/>
                <w:szCs w:val="19"/>
                <w:color w:val="auto"/>
              </w:rPr>
            </w:pPr>
          </w:p>
        </w:tc>
        <w:tc>
          <w:tcPr>
            <w:tcW w:w="2780" w:type="dxa"/>
            <w:vAlign w:val="bottom"/>
          </w:tcPr>
          <w:p>
            <w:pPr>
              <w:jc w:val="right"/>
              <w:ind w:right="942"/>
              <w:spacing w:after="0"/>
              <w:rPr>
                <w:sz w:val="20"/>
                <w:szCs w:val="20"/>
                <w:color w:val="auto"/>
              </w:rPr>
            </w:pPr>
            <w:r>
              <w:rPr>
                <w:rFonts w:ascii="Arial" w:cs="Arial" w:eastAsia="Arial" w:hAnsi="Arial"/>
                <w:sz w:val="18"/>
                <w:szCs w:val="18"/>
                <w:color w:val="auto"/>
              </w:rPr>
              <w:t>10,865,012</w:t>
            </w:r>
          </w:p>
        </w:tc>
      </w:tr>
    </w:tbl>
    <w:p>
      <w:pPr>
        <w:spacing w:after="0" w:line="79"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At the 2009 Annual Meeting, stockholders also approved the compensation of M&amp;T Bank Corporation’s Named Executive Officers. The following table presents the tabulation of the votes with respect to such approval: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Number of Votes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For</w:t>
            </w:r>
          </w:p>
        </w:tc>
        <w:tc>
          <w:tcPr>
            <w:tcW w:w="500" w:type="dxa"/>
            <w:vAlign w:val="bottom"/>
            <w:tcBorders>
              <w:top w:val="single" w:sz="8" w:color="auto"/>
            </w:tcBorders>
          </w:tcPr>
          <w:p>
            <w:pPr>
              <w:spacing w:after="0"/>
              <w:rPr>
                <w:sz w:val="12"/>
                <w:szCs w:val="12"/>
                <w:color w:val="auto"/>
              </w:rPr>
            </w:pPr>
          </w:p>
        </w:tc>
        <w:tc>
          <w:tcPr>
            <w:tcW w:w="3700" w:type="dxa"/>
            <w:vAlign w:val="bottom"/>
            <w:tcBorders>
              <w:top w:val="single" w:sz="8" w:color="auto"/>
              <w:bottom w:val="single" w:sz="8" w:color="auto"/>
            </w:tcBorders>
          </w:tcPr>
          <w:p>
            <w:pPr>
              <w:jc w:val="right"/>
              <w:ind w:right="1539"/>
              <w:spacing w:after="0" w:line="142" w:lineRule="exact"/>
              <w:rPr>
                <w:sz w:val="20"/>
                <w:szCs w:val="20"/>
                <w:color w:val="auto"/>
              </w:rPr>
            </w:pPr>
            <w:r>
              <w:rPr>
                <w:rFonts w:ascii="Arial" w:cs="Arial" w:eastAsia="Arial" w:hAnsi="Arial"/>
                <w:sz w:val="14"/>
                <w:szCs w:val="14"/>
                <w:color w:val="auto"/>
              </w:rPr>
              <w:t>Against</w:t>
            </w:r>
          </w:p>
        </w:tc>
        <w:tc>
          <w:tcPr>
            <w:tcW w:w="520" w:type="dxa"/>
            <w:vAlign w:val="bottom"/>
            <w:tcBorders>
              <w:top w:val="single" w:sz="8" w:color="auto"/>
            </w:tcBorders>
          </w:tcPr>
          <w:p>
            <w:pPr>
              <w:spacing w:after="0"/>
              <w:rPr>
                <w:sz w:val="12"/>
                <w:szCs w:val="12"/>
                <w:color w:val="auto"/>
              </w:rPr>
            </w:pPr>
          </w:p>
        </w:tc>
        <w:tc>
          <w:tcPr>
            <w:tcW w:w="2740" w:type="dxa"/>
            <w:vAlign w:val="bottom"/>
            <w:tcBorders>
              <w:top w:val="single" w:sz="8" w:color="auto"/>
              <w:bottom w:val="single" w:sz="8" w:color="auto"/>
            </w:tcBorders>
          </w:tcPr>
          <w:p>
            <w:pPr>
              <w:jc w:val="right"/>
              <w:ind w:right="1059"/>
              <w:spacing w:after="0" w:line="142" w:lineRule="exact"/>
              <w:rPr>
                <w:sz w:val="20"/>
                <w:szCs w:val="20"/>
                <w:color w:val="auto"/>
              </w:rPr>
            </w:pPr>
            <w:r>
              <w:rPr>
                <w:rFonts w:ascii="Arial" w:cs="Arial" w:eastAsia="Arial" w:hAnsi="Arial"/>
                <w:sz w:val="14"/>
                <w:szCs w:val="14"/>
                <w:color w:val="auto"/>
              </w:rPr>
              <w:t>Abstain</w:t>
            </w:r>
          </w:p>
        </w:tc>
      </w:tr>
      <w:tr>
        <w:trPr>
          <w:trHeight w:val="224"/>
        </w:trPr>
        <w:tc>
          <w:tcPr>
            <w:tcW w:w="3960" w:type="dxa"/>
            <w:vAlign w:val="bottom"/>
          </w:tcPr>
          <w:p>
            <w:pPr>
              <w:jc w:val="right"/>
              <w:ind w:right="1499"/>
              <w:spacing w:after="0"/>
              <w:rPr>
                <w:sz w:val="20"/>
                <w:szCs w:val="20"/>
                <w:color w:val="auto"/>
              </w:rPr>
            </w:pPr>
            <w:r>
              <w:rPr>
                <w:rFonts w:ascii="Arial" w:cs="Arial" w:eastAsia="Arial" w:hAnsi="Arial"/>
                <w:sz w:val="18"/>
                <w:szCs w:val="18"/>
                <w:color w:val="auto"/>
              </w:rPr>
              <w:t>97,564,648</w:t>
            </w:r>
          </w:p>
        </w:tc>
        <w:tc>
          <w:tcPr>
            <w:tcW w:w="500" w:type="dxa"/>
            <w:vAlign w:val="bottom"/>
          </w:tcPr>
          <w:p>
            <w:pPr>
              <w:spacing w:after="0"/>
              <w:rPr>
                <w:sz w:val="19"/>
                <w:szCs w:val="19"/>
                <w:color w:val="auto"/>
              </w:rPr>
            </w:pPr>
          </w:p>
        </w:tc>
        <w:tc>
          <w:tcPr>
            <w:tcW w:w="3700" w:type="dxa"/>
            <w:vAlign w:val="bottom"/>
          </w:tcPr>
          <w:p>
            <w:pPr>
              <w:jc w:val="right"/>
              <w:ind w:right="1459"/>
              <w:spacing w:after="0"/>
              <w:rPr>
                <w:sz w:val="20"/>
                <w:szCs w:val="20"/>
                <w:color w:val="auto"/>
              </w:rPr>
            </w:pPr>
            <w:r>
              <w:rPr>
                <w:rFonts w:ascii="Arial" w:cs="Arial" w:eastAsia="Arial" w:hAnsi="Arial"/>
                <w:sz w:val="18"/>
                <w:szCs w:val="18"/>
                <w:color w:val="auto"/>
              </w:rPr>
              <w:t>2,438,248</w:t>
            </w:r>
          </w:p>
        </w:tc>
        <w:tc>
          <w:tcPr>
            <w:tcW w:w="520" w:type="dxa"/>
            <w:vAlign w:val="bottom"/>
          </w:tcPr>
          <w:p>
            <w:pPr>
              <w:spacing w:after="0"/>
              <w:rPr>
                <w:sz w:val="19"/>
                <w:szCs w:val="19"/>
                <w:color w:val="auto"/>
              </w:rPr>
            </w:pPr>
          </w:p>
        </w:tc>
        <w:tc>
          <w:tcPr>
            <w:tcW w:w="2740" w:type="dxa"/>
            <w:vAlign w:val="bottom"/>
          </w:tcPr>
          <w:p>
            <w:pPr>
              <w:jc w:val="right"/>
              <w:ind w:right="1039"/>
              <w:spacing w:after="0"/>
              <w:rPr>
                <w:sz w:val="20"/>
                <w:szCs w:val="20"/>
                <w:color w:val="auto"/>
              </w:rPr>
            </w:pPr>
            <w:r>
              <w:rPr>
                <w:rFonts w:ascii="Arial" w:cs="Arial" w:eastAsia="Arial" w:hAnsi="Arial"/>
                <w:sz w:val="18"/>
                <w:szCs w:val="18"/>
                <w:color w:val="auto"/>
              </w:rPr>
              <w:t>654,954</w:t>
            </w:r>
          </w:p>
        </w:tc>
      </w:tr>
    </w:tbl>
    <w:p>
      <w:pPr>
        <w:spacing w:after="0" w:line="79" w:lineRule="exact"/>
        <w:rPr>
          <w:sz w:val="20"/>
          <w:szCs w:val="20"/>
          <w:color w:val="auto"/>
        </w:rPr>
      </w:pPr>
    </w:p>
    <w:p>
      <w:pPr>
        <w:ind w:right="260" w:firstLine="215"/>
        <w:spacing w:after="0" w:line="342" w:lineRule="auto"/>
        <w:rPr>
          <w:sz w:val="20"/>
          <w:szCs w:val="20"/>
          <w:color w:val="auto"/>
        </w:rPr>
      </w:pPr>
      <w:r>
        <w:rPr>
          <w:rFonts w:ascii="Arial" w:cs="Arial" w:eastAsia="Arial" w:hAnsi="Arial"/>
          <w:sz w:val="16"/>
          <w:szCs w:val="16"/>
          <w:color w:val="auto"/>
        </w:rPr>
        <w:t>At the 2009 Annual Meeting, stockholders also ratified the appointment of PricewaterhouseCoopers LLP as the independent public accountant of M&amp;T Bank Corporation for the year ending December 31, 2009. The following table presents the tabulation of the votes with respect to such ratification.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Number of Votes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0" w:type="dxa"/>
            <w:vAlign w:val="bottom"/>
            <w:tcBorders>
              <w:top w:val="single" w:sz="8" w:color="auto"/>
              <w:bottom w:val="single" w:sz="8" w:color="auto"/>
            </w:tcBorders>
          </w:tcPr>
          <w:p>
            <w:pPr>
              <w:spacing w:after="0"/>
              <w:rPr>
                <w:sz w:val="12"/>
                <w:szCs w:val="12"/>
                <w:color w:val="auto"/>
              </w:rPr>
            </w:pPr>
          </w:p>
        </w:tc>
        <w:tc>
          <w:tcPr>
            <w:tcW w:w="3880" w:type="dxa"/>
            <w:vAlign w:val="bottom"/>
            <w:tcBorders>
              <w:top w:val="single" w:sz="8" w:color="auto"/>
              <w:bottom w:val="single" w:sz="8" w:color="auto"/>
            </w:tcBorders>
          </w:tcPr>
          <w:p>
            <w:pPr>
              <w:jc w:val="center"/>
              <w:ind w:right="474"/>
              <w:spacing w:after="0" w:line="142" w:lineRule="exact"/>
              <w:rPr>
                <w:sz w:val="20"/>
                <w:szCs w:val="20"/>
                <w:color w:val="auto"/>
              </w:rPr>
            </w:pPr>
            <w:r>
              <w:rPr>
                <w:rFonts w:ascii="Arial" w:cs="Arial" w:eastAsia="Arial" w:hAnsi="Arial"/>
                <w:sz w:val="14"/>
                <w:szCs w:val="14"/>
                <w:color w:val="auto"/>
                <w:w w:val="95"/>
              </w:rPr>
              <w:t>For</w:t>
            </w:r>
          </w:p>
        </w:tc>
        <w:tc>
          <w:tcPr>
            <w:tcW w:w="520" w:type="dxa"/>
            <w:vAlign w:val="bottom"/>
            <w:tcBorders>
              <w:top w:val="single" w:sz="8" w:color="auto"/>
            </w:tcBorders>
          </w:tcPr>
          <w:p>
            <w:pPr>
              <w:spacing w:after="0"/>
              <w:rPr>
                <w:sz w:val="12"/>
                <w:szCs w:val="12"/>
                <w:color w:val="auto"/>
              </w:rPr>
            </w:pPr>
          </w:p>
        </w:tc>
        <w:tc>
          <w:tcPr>
            <w:tcW w:w="2960" w:type="dxa"/>
            <w:vAlign w:val="bottom"/>
            <w:tcBorders>
              <w:top w:val="single" w:sz="8" w:color="auto"/>
              <w:bottom w:val="single" w:sz="8" w:color="auto"/>
            </w:tcBorders>
          </w:tcPr>
          <w:p>
            <w:pPr>
              <w:jc w:val="right"/>
              <w:ind w:right="1179"/>
              <w:spacing w:after="0" w:line="142" w:lineRule="exact"/>
              <w:rPr>
                <w:sz w:val="20"/>
                <w:szCs w:val="20"/>
                <w:color w:val="auto"/>
              </w:rPr>
            </w:pPr>
            <w:r>
              <w:rPr>
                <w:rFonts w:ascii="Arial" w:cs="Arial" w:eastAsia="Arial" w:hAnsi="Arial"/>
                <w:sz w:val="14"/>
                <w:szCs w:val="14"/>
                <w:color w:val="auto"/>
              </w:rPr>
              <w:t>Against</w:t>
            </w:r>
          </w:p>
        </w:tc>
        <w:tc>
          <w:tcPr>
            <w:tcW w:w="540" w:type="dxa"/>
            <w:vAlign w:val="bottom"/>
            <w:tcBorders>
              <w:top w:val="single" w:sz="8" w:color="auto"/>
            </w:tcBorders>
          </w:tcPr>
          <w:p>
            <w:pPr>
              <w:spacing w:after="0"/>
              <w:rPr>
                <w:sz w:val="12"/>
                <w:szCs w:val="12"/>
                <w:color w:val="auto"/>
              </w:rPr>
            </w:pPr>
          </w:p>
        </w:tc>
        <w:tc>
          <w:tcPr>
            <w:tcW w:w="2980" w:type="dxa"/>
            <w:vAlign w:val="bottom"/>
            <w:tcBorders>
              <w:top w:val="single" w:sz="8" w:color="auto"/>
              <w:bottom w:val="single" w:sz="8" w:color="auto"/>
            </w:tcBorders>
          </w:tcPr>
          <w:p>
            <w:pPr>
              <w:jc w:val="right"/>
              <w:ind w:right="1179"/>
              <w:spacing w:after="0" w:line="142" w:lineRule="exact"/>
              <w:rPr>
                <w:sz w:val="20"/>
                <w:szCs w:val="20"/>
                <w:color w:val="auto"/>
              </w:rPr>
            </w:pPr>
            <w:r>
              <w:rPr>
                <w:rFonts w:ascii="Arial" w:cs="Arial" w:eastAsia="Arial" w:hAnsi="Arial"/>
                <w:sz w:val="14"/>
                <w:szCs w:val="14"/>
                <w:color w:val="auto"/>
              </w:rPr>
              <w:t>Abstain</w:t>
            </w:r>
          </w:p>
        </w:tc>
      </w:tr>
      <w:tr>
        <w:trPr>
          <w:trHeight w:val="224"/>
        </w:trPr>
        <w:tc>
          <w:tcPr>
            <w:tcW w:w="540" w:type="dxa"/>
            <w:vAlign w:val="bottom"/>
          </w:tcPr>
          <w:p>
            <w:pPr>
              <w:spacing w:after="0"/>
              <w:rPr>
                <w:sz w:val="19"/>
                <w:szCs w:val="19"/>
                <w:color w:val="auto"/>
              </w:rPr>
            </w:pPr>
          </w:p>
        </w:tc>
        <w:tc>
          <w:tcPr>
            <w:tcW w:w="3880" w:type="dxa"/>
            <w:vAlign w:val="bottom"/>
          </w:tcPr>
          <w:p>
            <w:pPr>
              <w:jc w:val="right"/>
              <w:ind w:right="1714"/>
              <w:spacing w:after="0"/>
              <w:rPr>
                <w:sz w:val="20"/>
                <w:szCs w:val="20"/>
                <w:color w:val="auto"/>
              </w:rPr>
            </w:pPr>
            <w:r>
              <w:rPr>
                <w:rFonts w:ascii="Arial" w:cs="Arial" w:eastAsia="Arial" w:hAnsi="Arial"/>
                <w:sz w:val="18"/>
                <w:szCs w:val="18"/>
                <w:color w:val="auto"/>
              </w:rPr>
              <w:t>99,961,137</w:t>
            </w:r>
          </w:p>
        </w:tc>
        <w:tc>
          <w:tcPr>
            <w:tcW w:w="520" w:type="dxa"/>
            <w:vAlign w:val="bottom"/>
          </w:tcPr>
          <w:p>
            <w:pPr>
              <w:spacing w:after="0"/>
              <w:rPr>
                <w:sz w:val="19"/>
                <w:szCs w:val="19"/>
                <w:color w:val="auto"/>
              </w:rPr>
            </w:pPr>
          </w:p>
        </w:tc>
        <w:tc>
          <w:tcPr>
            <w:tcW w:w="2960" w:type="dxa"/>
            <w:vAlign w:val="bottom"/>
          </w:tcPr>
          <w:p>
            <w:pPr>
              <w:jc w:val="right"/>
              <w:ind w:right="1159"/>
              <w:spacing w:after="0"/>
              <w:rPr>
                <w:sz w:val="20"/>
                <w:szCs w:val="20"/>
                <w:color w:val="auto"/>
              </w:rPr>
            </w:pPr>
            <w:r>
              <w:rPr>
                <w:rFonts w:ascii="Arial" w:cs="Arial" w:eastAsia="Arial" w:hAnsi="Arial"/>
                <w:sz w:val="18"/>
                <w:szCs w:val="18"/>
                <w:color w:val="auto"/>
              </w:rPr>
              <w:t>531,244</w:t>
            </w:r>
          </w:p>
        </w:tc>
        <w:tc>
          <w:tcPr>
            <w:tcW w:w="540" w:type="dxa"/>
            <w:vAlign w:val="bottom"/>
          </w:tcPr>
          <w:p>
            <w:pPr>
              <w:spacing w:after="0"/>
              <w:rPr>
                <w:sz w:val="19"/>
                <w:szCs w:val="19"/>
                <w:color w:val="auto"/>
              </w:rPr>
            </w:pPr>
          </w:p>
        </w:tc>
        <w:tc>
          <w:tcPr>
            <w:tcW w:w="2980" w:type="dxa"/>
            <w:vAlign w:val="bottom"/>
          </w:tcPr>
          <w:p>
            <w:pPr>
              <w:jc w:val="right"/>
              <w:ind w:right="1179"/>
              <w:spacing w:after="0"/>
              <w:rPr>
                <w:sz w:val="20"/>
                <w:szCs w:val="20"/>
                <w:color w:val="auto"/>
              </w:rPr>
            </w:pPr>
            <w:r>
              <w:rPr>
                <w:rFonts w:ascii="Arial" w:cs="Arial" w:eastAsia="Arial" w:hAnsi="Arial"/>
                <w:sz w:val="18"/>
                <w:szCs w:val="18"/>
                <w:color w:val="auto"/>
              </w:rPr>
              <w:t>165,469</w:t>
            </w:r>
          </w:p>
        </w:tc>
      </w:tr>
      <w:tr>
        <w:trPr>
          <w:trHeight w:val="310"/>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(d) Not applicable.</w:t>
            </w:r>
          </w:p>
        </w:tc>
        <w:tc>
          <w:tcPr>
            <w:tcW w:w="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w w:val="94"/>
              </w:rPr>
              <w:t>Item 5.</w:t>
            </w:r>
          </w:p>
        </w:tc>
        <w:tc>
          <w:tcPr>
            <w:tcW w:w="388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24"/>
        </w:trPr>
        <w:tc>
          <w:tcPr>
            <w:tcW w:w="540" w:type="dxa"/>
            <w:vAlign w:val="bottom"/>
          </w:tcPr>
          <w:p>
            <w:pPr>
              <w:spacing w:after="0"/>
              <w:rPr>
                <w:sz w:val="24"/>
                <w:szCs w:val="24"/>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(None.)</w:t>
            </w:r>
          </w:p>
        </w:tc>
        <w:tc>
          <w:tcPr>
            <w:tcW w:w="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w w:val="94"/>
              </w:rPr>
              <w:t>Item 6.</w:t>
            </w:r>
          </w:p>
        </w:tc>
        <w:tc>
          <w:tcPr>
            <w:tcW w:w="3880" w:type="dxa"/>
            <w:vAlign w:val="bottom"/>
          </w:tcPr>
          <w:p>
            <w:pPr>
              <w:ind w:left="20"/>
              <w:spacing w:after="0"/>
              <w:rPr>
                <w:sz w:val="20"/>
                <w:szCs w:val="20"/>
                <w:color w:val="auto"/>
              </w:rPr>
            </w:pPr>
            <w:r>
              <w:rPr>
                <w:rFonts w:ascii="Arial" w:cs="Arial" w:eastAsia="Arial" w:hAnsi="Arial"/>
                <w:sz w:val="18"/>
                <w:szCs w:val="18"/>
                <w:color w:val="auto"/>
              </w:rPr>
              <w:t>Exhibits.</w:t>
            </w:r>
          </w:p>
        </w:tc>
        <w:tc>
          <w:tcPr>
            <w:tcW w:w="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20" w:lineRule="exact"/>
        <w:rPr>
          <w:sz w:val="20"/>
          <w:szCs w:val="20"/>
          <w:color w:val="auto"/>
        </w:rPr>
      </w:pPr>
    </w:p>
    <w:p>
      <w:pPr>
        <w:jc w:val="center"/>
        <w:ind w:right="10820"/>
        <w:spacing w:after="0"/>
        <w:rPr>
          <w:sz w:val="20"/>
          <w:szCs w:val="20"/>
          <w:color w:val="auto"/>
        </w:rPr>
      </w:pPr>
      <w:r>
        <w:rPr>
          <w:rFonts w:ascii="Arial" w:cs="Arial" w:eastAsia="Arial" w:hAnsi="Arial"/>
          <w:sz w:val="14"/>
          <w:szCs w:val="14"/>
          <w:color w:val="auto"/>
        </w:rPr>
        <w:t>Exhibit</w:t>
      </w:r>
    </w:p>
    <w:p>
      <w:pPr>
        <w:jc w:val="center"/>
        <w:ind w:right="1082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ind w:left="820" w:right="180" w:hanging="676"/>
        <w:spacing w:after="0" w:line="259"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M &amp; T Bank Corporation 2009 Equity Incentive Compensation Plan. Incorporated by reference to Appendix A to the Proxy Statement of M &amp; T Bank Corporation dated March 6, 2009 (File No. 1-9861).</w:t>
      </w:r>
    </w:p>
    <w:p>
      <w:pPr>
        <w:spacing w:after="0" w:line="186"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under Section 302 of the Sarbanes-Oxley Act of 2002. Filed herewith.</w:t>
      </w:r>
    </w:p>
    <w:p>
      <w:pPr>
        <w:spacing w:after="0" w:line="225"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under Section 302 of the Sarbanes-Oxley Act of 2002. Filed herewith.</w:t>
      </w:r>
    </w:p>
    <w:p>
      <w:pPr>
        <w:spacing w:after="0" w:line="225"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 Filed herewith.</w:t>
      </w:r>
    </w:p>
    <w:p>
      <w:pPr>
        <w:spacing w:after="0" w:line="225"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under 18 U.S.C. §1350 pursuant to Section 906 of the Sarbanes-Oxley Act of 2002. Filed herewith.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M&amp;T BANK CORPORATION</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May 8, 2009</w:t>
            </w: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By: /s/ René F. Jones</w:t>
            </w:r>
          </w:p>
        </w:tc>
      </w:tr>
      <w:tr>
        <w:trPr>
          <w:trHeight w:val="195"/>
        </w:trPr>
        <w:tc>
          <w:tcPr>
            <w:tcW w:w="3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René F. Jones</w:t>
            </w:r>
          </w:p>
        </w:tc>
      </w:tr>
      <w:tr>
        <w:trPr>
          <w:trHeight w:val="216"/>
        </w:trPr>
        <w:tc>
          <w:tcPr>
            <w:tcW w:w="3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and Chief Financial Officer</w:t>
            </w:r>
          </w:p>
        </w:tc>
      </w:tr>
    </w:tbl>
    <w:p>
      <w:pPr>
        <w:spacing w:after="0" w:line="200" w:lineRule="exact"/>
        <w:rPr>
          <w:sz w:val="20"/>
          <w:szCs w:val="20"/>
          <w:color w:val="auto"/>
        </w:rPr>
      </w:pPr>
    </w:p>
    <w:p>
      <w:pPr>
        <w:spacing w:after="0" w:line="3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EXHIBIT INDEX</w:t>
      </w:r>
    </w:p>
    <w:p>
      <w:pPr>
        <w:spacing w:after="0" w:line="220" w:lineRule="exact"/>
        <w:rPr>
          <w:sz w:val="20"/>
          <w:szCs w:val="20"/>
          <w:color w:val="auto"/>
        </w:rPr>
      </w:pPr>
    </w:p>
    <w:p>
      <w:pPr>
        <w:jc w:val="center"/>
        <w:ind w:right="10640"/>
        <w:spacing w:after="0"/>
        <w:rPr>
          <w:sz w:val="20"/>
          <w:szCs w:val="20"/>
          <w:color w:val="auto"/>
        </w:rPr>
      </w:pPr>
      <w:r>
        <w:rPr>
          <w:rFonts w:ascii="Arial" w:cs="Arial" w:eastAsia="Arial" w:hAnsi="Arial"/>
          <w:sz w:val="14"/>
          <w:szCs w:val="14"/>
          <w:color w:val="auto"/>
        </w:rPr>
        <w:t>Exhibit</w:t>
      </w:r>
    </w:p>
    <w:p>
      <w:pPr>
        <w:jc w:val="center"/>
        <w:ind w:right="1064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ind w:left="820" w:hanging="676"/>
        <w:spacing w:after="0" w:line="259"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M &amp; T Bank Corporation 2009 Equity Incentive Compensation Plan. Incorporated by reference to Appendix A to the Proxy Statement of M &amp; T Bank Corporation dated March 6, 2009 (File No. 1-9861).</w:t>
      </w:r>
    </w:p>
    <w:p>
      <w:pPr>
        <w:spacing w:after="0" w:line="186"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under Section 302 of the Sarbanes-Oxley Act of 2002. Filed herewith.</w:t>
      </w:r>
    </w:p>
    <w:p>
      <w:pPr>
        <w:spacing w:after="0" w:line="225"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under Section 302 of the Sarbanes-Oxley Act of 2002. Filed herewith.</w:t>
      </w:r>
    </w:p>
    <w:p>
      <w:pPr>
        <w:spacing w:after="0" w:line="225"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 Filed herewith.</w:t>
      </w:r>
    </w:p>
    <w:p>
      <w:pPr>
        <w:spacing w:after="0" w:line="225"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under 18 U.S.C. §1350 pursuant to Section 906 of the Sarbanes-Oxley Act of 2002. Filed herewith.</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240"/>
          </w:cols>
          <w:pgMar w:left="240" w:top="419" w:right="41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17"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260" w:right="160" w:hanging="252"/>
        <w:spacing w:after="0" w:line="264"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80" w:right="320" w:hanging="272"/>
        <w:spacing w:after="0" w:line="264" w:lineRule="auto"/>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left="260" w:right="400" w:hanging="252"/>
        <w:spacing w:after="0" w:line="308" w:lineRule="auto"/>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260" w:right="260" w:hanging="252"/>
        <w:spacing w:after="0" w:line="277"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80" w:right="480" w:hanging="272"/>
        <w:spacing w:after="0" w:line="277"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5469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17"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260" w:right="160" w:hanging="252"/>
        <w:spacing w:after="0" w:line="264"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80" w:right="320" w:hanging="272"/>
        <w:spacing w:after="0" w:line="264"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left="260" w:right="400" w:hanging="252"/>
        <w:spacing w:after="0" w:line="308" w:lineRule="auto"/>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260" w:right="260" w:hanging="252"/>
        <w:spacing w:after="0" w:line="277"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80" w:right="480" w:hanging="272"/>
        <w:spacing w:after="0" w:line="277"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5469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62" w:lineRule="exact"/>
        <w:rPr>
          <w:sz w:val="20"/>
          <w:szCs w:val="20"/>
          <w:color w:val="auto"/>
        </w:rPr>
      </w:pPr>
    </w:p>
    <w:p>
      <w:pPr>
        <w:ind w:left="900" w:right="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2009 (the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27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8, 2009</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62" w:lineRule="exact"/>
        <w:rPr>
          <w:sz w:val="20"/>
          <w:szCs w:val="20"/>
          <w:color w:val="auto"/>
        </w:rPr>
      </w:pPr>
    </w:p>
    <w:p>
      <w:pPr>
        <w:ind w:left="900" w:right="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2009 (the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27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8, 2009</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1)"/>
      <w:numFmt w:val="lowerLetter"/>
      <w:start w:val="1"/>
    </w:lvl>
    <w:lvl w:ilvl="1">
      <w:lvlJc w:val="left"/>
      <w:lvlText w:val="-"/>
      <w:numFmt w:val="bullet"/>
      <w:start w:val="1"/>
    </w:lvl>
  </w:abstractNum>
  <w:abstractNum w:abstractNumId="3">
    <w:nsid w:val="431BD7B7"/>
    <w:multiLevelType w:val="hybridMultilevel"/>
    <w:lvl w:ilvl="0">
      <w:lvlJc w:val="left"/>
      <w:lvlText w:val="(%1)"/>
      <w:numFmt w:val="lowerLetter"/>
      <w:start w:val="1"/>
    </w:lvl>
    <w:lvl w:ilvl="1">
      <w:lvlJc w:val="left"/>
      <w:lvlText w:val="-"/>
      <w:numFmt w:val="bullet"/>
      <w:start w:val="1"/>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Letter"/>
      <w:start w:val="1"/>
    </w:lvl>
    <w:lvl w:ilvl="1">
      <w:lvlJc w:val="left"/>
      <w:lvlText w:val="-"/>
      <w:numFmt w:val="bullet"/>
      <w:start w:val="1"/>
    </w:lvl>
  </w:abstractNum>
  <w:abstractNum w:abstractNumId="7">
    <w:nsid w:val="62BBD95A"/>
    <w:multiLevelType w:val="hybridMultilevel"/>
    <w:lvl w:ilvl="0">
      <w:lvlJc w:val="left"/>
      <w:lvlText w:val="(%1)"/>
      <w:numFmt w:val="lowerLetter"/>
      <w:start w:val="1"/>
    </w:lvl>
    <w:lvl w:ilvl="1">
      <w:lvlJc w:val="left"/>
      <w:lvlText w:val="-"/>
      <w:numFmt w:val="bullet"/>
      <w:start w:val="1"/>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lowerLetter"/>
      <w:start w:val="2"/>
    </w:lvl>
    <w:lvl w:ilvl="1">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7"/>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2019-12-09T23:44:59Z</dcterms:created>
  <dcterms:modified xsi:type="dcterms:W3CDTF">2019-12-09T23:44:59Z</dcterms:modified>
</cp:coreProperties>
</file>