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April 21, 2026</w:t>
      </w:r>
    </w:p>
    <w:p>
      <w:pPr>
        <w:spacing w:after="0" w:line="63"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M&amp;T BANK CORPORATION</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w:t>
      </w:r>
    </w:p>
    <w:p>
      <w:pPr>
        <w:spacing w:after="0" w:line="83" w:lineRule="exact"/>
        <w:rPr>
          <w:sz w:val="24"/>
          <w:szCs w:val="24"/>
          <w:color w:val="auto"/>
        </w:rPr>
      </w:pPr>
    </w:p>
    <w:tbl>
      <w:tblPr>
        <w:tblLayout w:type="fixed"/>
        <w:tblInd w:w="90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646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(State or other jurisdiction of incorporation)</w:t>
            </w:r>
          </w:p>
        </w:tc>
      </w:tr>
      <w:tr>
        <w:trPr>
          <w:trHeight w:val="260"/>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rPr>
              <w:t>1-9861</w:t>
            </w:r>
          </w:p>
        </w:tc>
        <w:tc>
          <w:tcPr>
            <w:tcW w:w="6460" w:type="dxa"/>
            <w:vAlign w:val="bottom"/>
          </w:tcPr>
          <w:p>
            <w:pPr>
              <w:jc w:val="right"/>
              <w:ind w:right="895"/>
              <w:spacing w:after="0"/>
              <w:rPr>
                <w:sz w:val="20"/>
                <w:szCs w:val="20"/>
                <w:color w:val="auto"/>
              </w:rPr>
            </w:pPr>
            <w:r>
              <w:rPr>
                <w:rFonts w:ascii="Times New Roman" w:cs="Times New Roman" w:eastAsia="Times New Roman" w:hAnsi="Times New Roman"/>
                <w:sz w:val="18"/>
                <w:szCs w:val="18"/>
                <w:b w:val="1"/>
                <w:bCs w:val="1"/>
                <w:color w:val="auto"/>
              </w:rPr>
              <w:t>16-0968385</w:t>
            </w:r>
          </w:p>
        </w:tc>
      </w:tr>
      <w:tr>
        <w:trPr>
          <w:trHeight w:val="212"/>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(Commission File Number)</w:t>
            </w:r>
          </w:p>
        </w:tc>
        <w:tc>
          <w:tcPr>
            <w:tcW w:w="6460" w:type="dxa"/>
            <w:vAlign w:val="bottom"/>
          </w:tcPr>
          <w:p>
            <w:pPr>
              <w:jc w:val="center"/>
              <w:ind w:left="3555"/>
              <w:spacing w:after="0"/>
              <w:rPr>
                <w:sz w:val="20"/>
                <w:szCs w:val="20"/>
                <w:color w:val="auto"/>
              </w:rPr>
            </w:pPr>
            <w:r>
              <w:rPr>
                <w:rFonts w:ascii="Times New Roman" w:cs="Times New Roman" w:eastAsia="Times New Roman" w:hAnsi="Times New Roman"/>
                <w:sz w:val="16"/>
                <w:szCs w:val="16"/>
                <w:b w:val="1"/>
                <w:bCs w:val="1"/>
                <w:color w:val="auto"/>
              </w:rPr>
              <w:t>(I.R.S. Employer Identification Number)</w:t>
            </w:r>
          </w:p>
        </w:tc>
      </w:tr>
      <w:tr>
        <w:trPr>
          <w:trHeight w:val="544"/>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8"/>
                <w:szCs w:val="18"/>
                <w:b w:val="1"/>
                <w:bCs w:val="1"/>
                <w:color w:val="auto"/>
                <w:w w:val="99"/>
              </w:rPr>
              <w:t>One M&amp;T Plaza</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Buffalo, New York</w:t>
            </w:r>
          </w:p>
        </w:tc>
        <w:tc>
          <w:tcPr>
            <w:tcW w:w="6460" w:type="dxa"/>
            <w:vAlign w:val="bottom"/>
          </w:tcPr>
          <w:p>
            <w:pPr>
              <w:jc w:val="right"/>
              <w:ind w:right="1095"/>
              <w:spacing w:after="0"/>
              <w:rPr>
                <w:sz w:val="20"/>
                <w:szCs w:val="20"/>
                <w:color w:val="auto"/>
              </w:rPr>
            </w:pPr>
            <w:r>
              <w:rPr>
                <w:rFonts w:ascii="Times New Roman" w:cs="Times New Roman" w:eastAsia="Times New Roman" w:hAnsi="Times New Roman"/>
                <w:sz w:val="18"/>
                <w:szCs w:val="18"/>
                <w:b w:val="1"/>
                <w:bCs w:val="1"/>
                <w:color w:val="auto"/>
              </w:rPr>
              <w:t>14203</w:t>
            </w:r>
          </w:p>
        </w:tc>
      </w:tr>
      <w:tr>
        <w:trPr>
          <w:trHeight w:val="238"/>
        </w:trPr>
        <w:tc>
          <w:tcPr>
            <w:tcW w:w="300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w:t>
            </w:r>
          </w:p>
        </w:tc>
        <w:tc>
          <w:tcPr>
            <w:tcW w:w="6460" w:type="dxa"/>
            <w:vAlign w:val="bottom"/>
          </w:tcPr>
          <w:p>
            <w:pPr>
              <w:jc w:val="center"/>
              <w:ind w:left="3535"/>
              <w:spacing w:after="0"/>
              <w:rPr>
                <w:sz w:val="20"/>
                <w:szCs w:val="20"/>
                <w:color w:val="auto"/>
              </w:rPr>
            </w:pPr>
            <w:r>
              <w:rPr>
                <w:rFonts w:ascii="Times New Roman" w:cs="Times New Roman" w:eastAsia="Times New Roman" w:hAnsi="Times New Roman"/>
                <w:sz w:val="16"/>
                <w:szCs w:val="16"/>
                <w:b w:val="1"/>
                <w:bCs w:val="1"/>
                <w:color w:val="auto"/>
              </w:rPr>
              <w:t>(Zip Code)</w:t>
            </w:r>
          </w:p>
        </w:tc>
      </w:tr>
    </w:tbl>
    <w:p>
      <w:pPr>
        <w:spacing w:after="0" w:line="2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(716) 635-4000</w:t>
      </w:r>
    </w:p>
    <w:p>
      <w:pPr>
        <w:spacing w:after="0" w:line="13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1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3"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2820" w:type="dxa"/>
            <w:vAlign w:val="bottom"/>
          </w:tcPr>
          <w:p>
            <w:pPr>
              <w:spacing w:after="0"/>
              <w:rPr>
                <w:sz w:val="16"/>
                <w:szCs w:val="16"/>
                <w:color w:val="auto"/>
              </w:rPr>
            </w:pPr>
          </w:p>
        </w:tc>
      </w:tr>
      <w:tr>
        <w:trPr>
          <w:trHeight w:val="199"/>
        </w:trPr>
        <w:tc>
          <w:tcPr>
            <w:tcW w:w="1520" w:type="dxa"/>
            <w:vAlign w:val="bottom"/>
          </w:tcPr>
          <w:p>
            <w:pPr>
              <w:spacing w:after="0"/>
              <w:rPr>
                <w:sz w:val="17"/>
                <w:szCs w:val="17"/>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580" w:type="dxa"/>
            <w:vAlign w:val="bottom"/>
          </w:tcPr>
          <w:p>
            <w:pPr>
              <w:spacing w:after="0"/>
              <w:rPr>
                <w:sz w:val="17"/>
                <w:szCs w:val="17"/>
                <w:color w:val="auto"/>
              </w:rPr>
            </w:pPr>
          </w:p>
        </w:tc>
        <w:tc>
          <w:tcPr>
            <w:tcW w:w="4280" w:type="dxa"/>
            <w:vAlign w:val="bottom"/>
            <w:gridSpan w:val="3"/>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7"/>
        </w:trPr>
        <w:tc>
          <w:tcPr>
            <w:tcW w:w="152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580" w:type="dxa"/>
            <w:vAlign w:val="bottom"/>
          </w:tcPr>
          <w:p>
            <w:pPr>
              <w:spacing w:after="0"/>
              <w:rPr>
                <w:sz w:val="2"/>
                <w:szCs w:val="2"/>
                <w:color w:val="auto"/>
              </w:rPr>
            </w:pPr>
          </w:p>
        </w:tc>
        <w:tc>
          <w:tcPr>
            <w:tcW w:w="2820" w:type="dxa"/>
            <w:vAlign w:val="bottom"/>
            <w:shd w:val="clear" w:color="auto" w:fill="000000"/>
          </w:tcPr>
          <w:p>
            <w:pPr>
              <w:spacing w:after="0"/>
              <w:rPr>
                <w:sz w:val="2"/>
                <w:szCs w:val="2"/>
                <w:color w:val="auto"/>
              </w:rPr>
            </w:pPr>
          </w:p>
        </w:tc>
      </w:tr>
      <w:tr>
        <w:trPr>
          <w:trHeight w:val="246"/>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Common Stock, $.50 par value</w:t>
            </w:r>
          </w:p>
        </w:tc>
        <w:tc>
          <w:tcPr>
            <w:tcW w:w="1660" w:type="dxa"/>
            <w:vAlign w:val="bottom"/>
          </w:tcPr>
          <w:p>
            <w:pPr>
              <w:spacing w:after="0"/>
              <w:rPr>
                <w:sz w:val="21"/>
                <w:szCs w:val="21"/>
                <w:color w:val="auto"/>
              </w:rPr>
            </w:pPr>
          </w:p>
        </w:tc>
        <w:tc>
          <w:tcPr>
            <w:tcW w:w="26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rPr>
              <w:t>MTB</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Fixed-to-Floating Rate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Non-Cumulative Preferred Stock, Series H</w:t>
            </w:r>
          </w:p>
        </w:tc>
        <w:tc>
          <w:tcPr>
            <w:tcW w:w="1660" w:type="dxa"/>
            <w:vAlign w:val="bottom"/>
          </w:tcPr>
          <w:p>
            <w:pPr>
              <w:spacing w:after="0"/>
              <w:rPr>
                <w:sz w:val="16"/>
                <w:szCs w:val="16"/>
                <w:color w:val="auto"/>
              </w:rPr>
            </w:pP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MTBPrH</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 Rate Non-Cumulative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Series J</w:t>
            </w:r>
          </w:p>
        </w:tc>
        <w:tc>
          <w:tcPr>
            <w:tcW w:w="1660" w:type="dxa"/>
            <w:vAlign w:val="bottom"/>
          </w:tcPr>
          <w:p>
            <w:pPr>
              <w:spacing w:after="0"/>
              <w:rPr>
                <w:sz w:val="16"/>
                <w:szCs w:val="16"/>
                <w:color w:val="auto"/>
              </w:rPr>
            </w:pPr>
          </w:p>
        </w:tc>
        <w:tc>
          <w:tcPr>
            <w:tcW w:w="2620" w:type="dxa"/>
            <w:vAlign w:val="bottom"/>
            <w:gridSpan w:val="2"/>
          </w:tcPr>
          <w:p>
            <w:pPr>
              <w:jc w:val="center"/>
              <w:ind w:right="1580"/>
              <w:spacing w:after="0"/>
              <w:rPr>
                <w:sz w:val="20"/>
                <w:szCs w:val="20"/>
                <w:color w:val="auto"/>
              </w:rPr>
            </w:pPr>
            <w:r>
              <w:rPr>
                <w:rFonts w:ascii="Times New Roman" w:cs="Times New Roman" w:eastAsia="Times New Roman" w:hAnsi="Times New Roman"/>
                <w:sz w:val="14"/>
                <w:szCs w:val="14"/>
                <w:color w:val="auto"/>
                <w:w w:val="99"/>
              </w:rPr>
              <w:t>MTBPrJ</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30"/>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Perpetual Fixed Rate Non-Cumulative</w:t>
            </w:r>
          </w:p>
        </w:tc>
        <w:tc>
          <w:tcPr>
            <w:tcW w:w="1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820" w:type="dxa"/>
            <w:vAlign w:val="bottom"/>
          </w:tcPr>
          <w:p>
            <w:pPr>
              <w:spacing w:after="0"/>
              <w:rPr>
                <w:sz w:val="19"/>
                <w:szCs w:val="19"/>
                <w:color w:val="auto"/>
              </w:rPr>
            </w:pPr>
          </w:p>
        </w:tc>
      </w:tr>
      <w:tr>
        <w:trPr>
          <w:trHeight w:val="189"/>
        </w:trPr>
        <w:tc>
          <w:tcPr>
            <w:tcW w:w="32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Preferred Stock, Series K</w:t>
            </w:r>
          </w:p>
        </w:tc>
        <w:tc>
          <w:tcPr>
            <w:tcW w:w="1660" w:type="dxa"/>
            <w:vAlign w:val="bottom"/>
          </w:tcPr>
          <w:p>
            <w:pPr>
              <w:spacing w:after="0"/>
              <w:rPr>
                <w:sz w:val="16"/>
                <w:szCs w:val="16"/>
                <w:color w:val="auto"/>
              </w:rPr>
            </w:pPr>
          </w:p>
        </w:tc>
        <w:tc>
          <w:tcPr>
            <w:tcW w:w="2620" w:type="dxa"/>
            <w:vAlign w:val="bottom"/>
            <w:gridSpan w:val="2"/>
          </w:tcPr>
          <w:p>
            <w:pPr>
              <w:jc w:val="center"/>
              <w:ind w:right="1560"/>
              <w:spacing w:after="0"/>
              <w:rPr>
                <w:sz w:val="20"/>
                <w:szCs w:val="20"/>
                <w:color w:val="auto"/>
              </w:rPr>
            </w:pPr>
            <w:r>
              <w:rPr>
                <w:rFonts w:ascii="Times New Roman" w:cs="Times New Roman" w:eastAsia="Times New Roman" w:hAnsi="Times New Roman"/>
                <w:sz w:val="14"/>
                <w:szCs w:val="14"/>
                <w:color w:val="auto"/>
              </w:rPr>
              <w:t>MTBPrK</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8" w:lineRule="exact"/>
        <w:rPr>
          <w:sz w:val="24"/>
          <w:szCs w:val="24"/>
          <w:color w:val="auto"/>
        </w:rPr>
      </w:pPr>
    </w:p>
    <w:p>
      <w:pPr>
        <w:ind w:right="46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sectPr>
      </w:pPr>
    </w:p>
    <w:bookmarkStart w:id="1" w:name="page2"/>
    <w:bookmarkEnd w:id="1"/>
    <w:p>
      <w:pPr>
        <w:spacing w:after="0" w:line="104"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M&amp;T Bank Corporation 2026 Annual Meeting of Shareholders</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M&amp;T Bank Corporation (“M&amp;T”) held its 2026 Annual Meeting of Shareholders on April 21, 2026 (the “Annual Meeting”).</w:t>
      </w:r>
    </w:p>
    <w:p>
      <w:pPr>
        <w:spacing w:after="0" w:line="104" w:lineRule="exact"/>
        <w:rPr>
          <w:sz w:val="20"/>
          <w:szCs w:val="20"/>
          <w:color w:val="auto"/>
        </w:rPr>
      </w:pPr>
    </w:p>
    <w:p>
      <w:pPr>
        <w:ind w:right="40" w:firstLine="324"/>
        <w:spacing w:after="0" w:line="238" w:lineRule="auto"/>
        <w:rPr>
          <w:sz w:val="20"/>
          <w:szCs w:val="20"/>
          <w:color w:val="auto"/>
        </w:rPr>
      </w:pPr>
      <w:r>
        <w:rPr>
          <w:rFonts w:ascii="Times New Roman" w:cs="Times New Roman" w:eastAsia="Times New Roman" w:hAnsi="Times New Roman"/>
          <w:sz w:val="18"/>
          <w:szCs w:val="18"/>
          <w:color w:val="auto"/>
        </w:rPr>
        <w:t>At the Annual Meeting, shareholders approved all of the Board of Directors’ proposals, which included: (i) the election of twelve (12) directors of M&amp;T, for one-year terms and until their successors have been elected and qualified; (ii) the approval of the 2025 compensation of M&amp;T’s Named Executive Officers; (iii) the approval of the amendment and restatement of the M&amp;T Bank Corporation 2019 Equity Incentive Compensation Plan; and (iv) the ratification of the appointment of PricewaterhouseCoopers LLP as the independent registered public accounting firm of M&amp;T for the year ending December 31, 2026. Each of the proposals is described in more detail in M&amp;T’s 2026 Proxy Statement, which was filed with the Securities and Exchange Commission on March 10, 2026.</w:t>
      </w:r>
    </w:p>
    <w:p>
      <w:pPr>
        <w:spacing w:after="0" w:line="78" w:lineRule="exact"/>
        <w:rPr>
          <w:sz w:val="20"/>
          <w:szCs w:val="20"/>
          <w:color w:val="auto"/>
        </w:rPr>
      </w:pPr>
    </w:p>
    <w:p>
      <w:pPr>
        <w:ind w:right="140" w:firstLine="324"/>
        <w:spacing w:after="0" w:line="245" w:lineRule="auto"/>
        <w:rPr>
          <w:sz w:val="20"/>
          <w:szCs w:val="20"/>
          <w:color w:val="auto"/>
        </w:rPr>
      </w:pPr>
      <w:r>
        <w:rPr>
          <w:rFonts w:ascii="Times New Roman" w:cs="Times New Roman" w:eastAsia="Times New Roman" w:hAnsi="Times New Roman"/>
          <w:sz w:val="18"/>
          <w:szCs w:val="18"/>
          <w:color w:val="auto"/>
        </w:rPr>
        <w:t>The voting results for each proposal, including the votes for and against or withheld, and any abstentions or broker non-votes, are presented below (rounded to the nearest whole number). Abstentions and broker non-votes, if applicable, were counted for purposes of determining whether a quorum was present but were not treated as votes cast. Therefore, abstentions and broker non-votes, if applicable, did not have the effect of a vote for or against such proposal and were not counted in determining the number of votes required for approval.</w:t>
      </w:r>
    </w:p>
    <w:p>
      <w:pPr>
        <w:spacing w:after="0" w:line="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reflects the tabulation of the final votes with respect to the election of each director nominee at the Annual Meeting (Proposal 1):</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 Nominee</w:t>
            </w:r>
          </w:p>
        </w:tc>
        <w:tc>
          <w:tcPr>
            <w:tcW w:w="168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For</w:t>
            </w: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8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Broker Non-Votes</w:t>
            </w:r>
          </w:p>
        </w:tc>
        <w:tc>
          <w:tcPr>
            <w:tcW w:w="0" w:type="dxa"/>
            <w:vAlign w:val="bottom"/>
          </w:tcPr>
          <w:p>
            <w:pPr>
              <w:spacing w:after="0"/>
              <w:rPr>
                <w:sz w:val="1"/>
                <w:szCs w:val="1"/>
                <w:color w:val="auto"/>
              </w:rPr>
            </w:pPr>
          </w:p>
        </w:tc>
      </w:tr>
      <w:tr>
        <w:trPr>
          <w:trHeight w:val="61"/>
        </w:trPr>
        <w:tc>
          <w:tcPr>
            <w:tcW w:w="1380" w:type="dxa"/>
            <w:vAlign w:val="bottom"/>
            <w:tcBorders>
              <w:top w:val="single" w:sz="8" w:color="auto"/>
              <w:bottom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John P. Barnes</w:t>
            </w:r>
          </w:p>
        </w:tc>
        <w:tc>
          <w:tcPr>
            <w:tcW w:w="2500" w:type="dxa"/>
            <w:vAlign w:val="bottom"/>
            <w:vMerge w:val="restart"/>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340" w:type="dxa"/>
            <w:vAlign w:val="bottom"/>
          </w:tcPr>
          <w:p>
            <w:pPr>
              <w:spacing w:after="0"/>
              <w:rPr>
                <w:sz w:val="5"/>
                <w:szCs w:val="5"/>
                <w:color w:val="auto"/>
              </w:rPr>
            </w:pPr>
          </w:p>
        </w:tc>
        <w:tc>
          <w:tcPr>
            <w:tcW w:w="18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7"/>
        </w:trPr>
        <w:tc>
          <w:tcPr>
            <w:tcW w:w="1380" w:type="dxa"/>
            <w:vAlign w:val="bottom"/>
            <w:vMerge w:val="continue"/>
          </w:tcPr>
          <w:p>
            <w:pPr>
              <w:spacing w:after="0"/>
              <w:rPr>
                <w:sz w:val="20"/>
                <w:szCs w:val="20"/>
                <w:color w:val="auto"/>
              </w:rPr>
            </w:pPr>
          </w:p>
        </w:tc>
        <w:tc>
          <w:tcPr>
            <w:tcW w:w="2500" w:type="dxa"/>
            <w:vAlign w:val="bottom"/>
            <w:vMerge w:val="continue"/>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119,981,130</w:t>
            </w:r>
          </w:p>
        </w:tc>
        <w:tc>
          <w:tcPr>
            <w:tcW w:w="3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1,198,348</w:t>
            </w:r>
          </w:p>
        </w:tc>
        <w:tc>
          <w:tcPr>
            <w:tcW w:w="3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167,430</w:t>
            </w:r>
          </w:p>
        </w:tc>
        <w:tc>
          <w:tcPr>
            <w:tcW w:w="340" w:type="dxa"/>
            <w:vAlign w:val="bottom"/>
          </w:tcPr>
          <w:p>
            <w:pPr>
              <w:spacing w:after="0"/>
              <w:rPr>
                <w:sz w:val="20"/>
                <w:szCs w:val="20"/>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Carlton J. Charles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119,348,722</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1,717,301</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280,885</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Jane Chwick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120,541,190</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618,152</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187,536</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William F. Cruger, Jr.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117,845,398</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3,295,838</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205,671</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Leslie V. Godridge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119,515,303</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1,549,160</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282,445</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René F. Jones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115,520,397</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5,659,965</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166,546</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Richard H. Ledgett, Jr.</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120,620,401</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502,800</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223,707</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Melinda R. Rich</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108,353,052</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12,557,228</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436,628</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Denis J. Salamone</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119,660,413</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1,259,747</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426,747</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Rudina Seseri</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120,446,717</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687,458</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212,732</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4"/>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Kirk W. Walters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120,058,754</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1,118,409</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169,745</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r>
        <w:trPr>
          <w:trHeight w:val="283"/>
        </w:trPr>
        <w:tc>
          <w:tcPr>
            <w:tcW w:w="3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Herbert L. Washington</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118,297,162</w:t>
            </w:r>
          </w:p>
        </w:tc>
        <w:tc>
          <w:tcPr>
            <w:tcW w:w="3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2,623,585</w:t>
            </w:r>
          </w:p>
        </w:tc>
        <w:tc>
          <w:tcPr>
            <w:tcW w:w="3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426,160</w:t>
            </w:r>
          </w:p>
        </w:tc>
        <w:tc>
          <w:tcPr>
            <w:tcW w:w="34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13,882,380</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58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tabulation of the final votes with respect to the approval of the 2025 compensation of M&amp;T’s Named Executive Officers (Proposal 2):</w:t>
      </w:r>
    </w:p>
    <w:p>
      <w:pPr>
        <w:spacing w:after="0" w:line="1"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9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04"/>
        </w:trPr>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7"/>
              </w:rPr>
              <w:t>113,373,078</w:t>
            </w:r>
          </w:p>
        </w:tc>
        <w:tc>
          <w:tcPr>
            <w:tcW w:w="25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7,539,139</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434,691</w:t>
            </w:r>
          </w:p>
        </w:tc>
        <w:tc>
          <w:tcPr>
            <w:tcW w:w="96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13,882,380</w:t>
            </w:r>
          </w:p>
        </w:tc>
      </w:tr>
    </w:tbl>
    <w:p>
      <w:pPr>
        <w:spacing w:after="0" w:line="319" w:lineRule="exact"/>
        <w:rPr>
          <w:sz w:val="20"/>
          <w:szCs w:val="20"/>
          <w:color w:val="auto"/>
        </w:rPr>
      </w:pPr>
    </w:p>
    <w:p>
      <w:pPr>
        <w:ind w:right="72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tabulation of the final votes with respect to the approval of the amendment and restatement of the M&amp;T Bank Corporation 2019 Equity Incentive Compensation Plan (Proposal 3):</w:t>
      </w:r>
    </w:p>
    <w:p>
      <w:pPr>
        <w:spacing w:after="0" w:line="109" w:lineRule="exact"/>
        <w:rPr>
          <w:sz w:val="20"/>
          <w:szCs w:val="20"/>
          <w:color w:val="auto"/>
        </w:rPr>
      </w:pPr>
    </w:p>
    <w:tbl>
      <w:tblPr>
        <w:tblLayout w:type="fixed"/>
        <w:tblInd w:w="1820" w:type="dxa"/>
        <w:tblCellMar>
          <w:top w:w="0" w:type="dxa"/>
          <w:left w:w="0" w:type="dxa"/>
          <w:bottom w:w="0" w:type="dxa"/>
          <w:right w:w="0" w:type="dxa"/>
        </w:tblCellMar>
      </w:tblPr>
      <w:tr>
        <w:trPr>
          <w:trHeight w:val="207"/>
        </w:trPr>
        <w:tc>
          <w:tcPr>
            <w:tcW w:w="320" w:type="dxa"/>
            <w:vAlign w:val="bottom"/>
          </w:tcPr>
          <w:p>
            <w:pPr>
              <w:spacing w:after="0"/>
              <w:rPr>
                <w:sz w:val="18"/>
                <w:szCs w:val="18"/>
                <w:color w:val="auto"/>
              </w:rPr>
            </w:pPr>
          </w:p>
        </w:tc>
        <w:tc>
          <w:tcPr>
            <w:tcW w:w="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960" w:type="dxa"/>
            <w:vAlign w:val="bottom"/>
          </w:tcPr>
          <w:p>
            <w:pPr>
              <w:spacing w:after="0"/>
              <w:rPr>
                <w:sz w:val="18"/>
                <w:szCs w:val="18"/>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304"/>
        </w:trPr>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7"/>
              </w:rPr>
              <w:t>116,924,195</w:t>
            </w:r>
          </w:p>
        </w:tc>
        <w:tc>
          <w:tcPr>
            <w:tcW w:w="25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3,950,417</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472,296</w:t>
            </w:r>
          </w:p>
        </w:tc>
        <w:tc>
          <w:tcPr>
            <w:tcW w:w="960" w:type="dxa"/>
            <w:vAlign w:val="bottom"/>
          </w:tcPr>
          <w:p>
            <w:pPr>
              <w:spacing w:after="0"/>
              <w:rPr>
                <w:sz w:val="24"/>
                <w:szCs w:val="24"/>
                <w:color w:val="auto"/>
              </w:rPr>
            </w:pPr>
          </w:p>
        </w:tc>
        <w:tc>
          <w:tcPr>
            <w:tcW w:w="1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13,882,380</w:t>
            </w:r>
          </w:p>
        </w:tc>
      </w:tr>
    </w:tbl>
    <w:p>
      <w:pPr>
        <w:spacing w:after="0" w:line="306" w:lineRule="exact"/>
        <w:rPr>
          <w:sz w:val="20"/>
          <w:szCs w:val="20"/>
          <w:color w:val="auto"/>
        </w:rPr>
      </w:pPr>
    </w:p>
    <w:p>
      <w:pPr>
        <w:ind w:right="16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reflects the tabulation of the final votes with respect to the ratification of the appointment of PricewaterhouseCoopers LLP as the independent registered public accounting firm of M&amp;T for the year ending December 31, 2026 (Proposal 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8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3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960" w:type="dxa"/>
            <w:vAlign w:val="bottom"/>
          </w:tcPr>
          <w:p>
            <w:pPr>
              <w:spacing w:after="0"/>
              <w:rPr>
                <w:sz w:val="18"/>
                <w:szCs w:val="18"/>
                <w:color w:val="auto"/>
              </w:rPr>
            </w:pPr>
          </w:p>
        </w:tc>
        <w:tc>
          <w:tcPr>
            <w:tcW w:w="38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0"/>
        </w:trPr>
        <w:tc>
          <w:tcPr>
            <w:tcW w:w="2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r>
      <w:tr>
        <w:trPr>
          <w:trHeight w:val="304"/>
        </w:trPr>
        <w:tc>
          <w:tcPr>
            <w:tcW w:w="330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129,631,275</w:t>
            </w:r>
          </w:p>
        </w:tc>
        <w:tc>
          <w:tcPr>
            <w:tcW w:w="258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5,413,036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w w:val="99"/>
              </w:rPr>
              <w:t>184,265</w:t>
            </w:r>
          </w:p>
        </w:tc>
        <w:tc>
          <w:tcPr>
            <w:tcW w:w="960" w:type="dxa"/>
            <w:vAlign w:val="bottom"/>
          </w:tcPr>
          <w:p>
            <w:pPr>
              <w:spacing w:after="0"/>
              <w:rPr>
                <w:sz w:val="24"/>
                <w:szCs w:val="24"/>
                <w:color w:val="auto"/>
              </w:rPr>
            </w:pPr>
          </w:p>
        </w:tc>
        <w:tc>
          <w:tcPr>
            <w:tcW w:w="3800" w:type="dxa"/>
            <w:vAlign w:val="bottom"/>
            <w:gridSpan w:val="2"/>
          </w:tcPr>
          <w:p>
            <w:pPr>
              <w:jc w:val="center"/>
              <w:ind w:right="2420"/>
              <w:spacing w:after="0"/>
              <w:rPr>
                <w:sz w:val="20"/>
                <w:szCs w:val="20"/>
                <w:color w:val="auto"/>
              </w:rPr>
            </w:pPr>
            <w:r>
              <w:rPr>
                <w:rFonts w:ascii="Times New Roman" w:cs="Times New Roman" w:eastAsia="Times New Roman" w:hAnsi="Times New Roman"/>
                <w:sz w:val="18"/>
                <w:szCs w:val="18"/>
                <w:color w:val="auto"/>
                <w:w w:val="99"/>
              </w:rPr>
              <w:t>Not Applicable</w:t>
            </w:r>
          </w:p>
        </w:tc>
      </w:tr>
      <w:tr>
        <w:trPr>
          <w:trHeight w:val="1222"/>
        </w:trPr>
        <w:tc>
          <w:tcPr>
            <w:tcW w:w="2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08"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333" w:lineRule="exact"/>
        <w:rPr>
          <w:sz w:val="20"/>
          <w:szCs w:val="20"/>
          <w:color w:val="auto"/>
        </w:rPr>
      </w:pPr>
    </w:p>
    <w:p>
      <w:pPr>
        <w:ind w:left="300"/>
        <w:spacing w:after="0"/>
        <w:tabs>
          <w:tab w:leader="none" w:pos="1060" w:val="left"/>
          <w:tab w:leader="none" w:pos="7300" w:val="left"/>
          <w:tab w:leader="none" w:pos="81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April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T. Wilson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43180</wp:posOffset>
            </wp:positionV>
            <wp:extent cx="20059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0"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Stephen T. Wilson</w:t>
      </w:r>
    </w:p>
    <w:p>
      <w:pPr>
        <w:spacing w:after="0" w:line="7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Senior Vice President and Corporate</w:t>
      </w:r>
    </w:p>
    <w:p>
      <w:pPr>
        <w:spacing w:after="0" w:line="27"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8"/>
          <w:szCs w:val="18"/>
          <w:color w:val="auto"/>
        </w:rPr>
        <w:t>Secretary</w:t>
      </w:r>
    </w:p>
    <w:sectPr>
      <w:pgSz w:w="11900" w:h="16838" w:orient="portrait"/>
      <w:cols w:equalWidth="0" w:num="1">
        <w:col w:w="11120"/>
      </w:cols>
      <w:pgMar w:left="320" w:top="108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2026-04-23T16:45:42Z</dcterms:created>
  <dcterms:modified xsi:type="dcterms:W3CDTF">2026-04-23T16:45:42Z</dcterms:modified>
</cp:coreProperties>
</file>