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082.xml.htm"/>
      <w:bookmarkStart w:id="1" w:name="kswkform4_179252808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PEARSON KEVIN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LIGHT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BALTIMORE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M&amp;T BANK CORP</w:t>
              </w:r>
            </w:hyperlink>
            <w:r>
              <w:rPr/>
              <w:t xml:space="preserve"> [ </w:t>
            </w:r>
            <w:r>
              <w:rPr>
                <w:rFonts w:ascii="Times;serif" w:hAnsi="Times;serif"/>
                <w:color w:val="0000FF"/>
                <w:sz w:val="24"/>
                <w:shd w:fill="FFFFFF" w:val="clear"/>
              </w:rPr>
              <w:t>MTB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220.75</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42,107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3,565</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401(k) Plan</w:t>
            </w:r>
            <w:r>
              <w:rPr>
                <w:rFonts w:ascii="Times;serif" w:hAnsi="Times;serif"/>
                <w:color w:val="008000"/>
                <w:position w:val="7"/>
                <w:sz w:val="16"/>
                <w:sz w:val="20"/>
                <w:shd w:fill="FFFFFF" w:val="clear"/>
              </w:rPr>
              <w:t>(2)</w:t>
            </w:r>
          </w:p>
        </w:tc>
      </w:tr>
    </w:tbl>
    <w:tbl>
      <w:tblPr>
        <w:tblW w:w="12248"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400"/>
        <w:gridCol w:w="401"/>
        <w:gridCol w:w="906"/>
        <w:gridCol w:w="801"/>
        <w:gridCol w:w="891"/>
        <w:gridCol w:w="681"/>
        <w:gridCol w:w="801"/>
        <w:gridCol w:w="936"/>
        <w:gridCol w:w="831"/>
        <w:gridCol w:w="1281"/>
      </w:tblGrid>
      <w:tr>
        <w:trPr>
          <w:tblHeader w:val="true"/>
        </w:trPr>
        <w:tc>
          <w:tcPr>
            <w:tcW w:w="1224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Common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Supplemental 401(k) Plan</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occurred automatically pursuant to a Rule 10b5-1 trading plan adopted by the reporting person on March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presented is as of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phantom common stock units are held by the reporting person in a plan account maintained by M&amp;T Bank Corporation under the M&amp;T Bank Corporation Leadership Retirement Savings Plan and represent a like number of shares of M&amp;T Bank Corporation common stock. The phantom common stock units are payable in cash and distributed in accordance with the terms of the plan. The reported phantom common stock units also include units acquired through the dividend reinvestment feature of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Stephen T.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45781" TargetMode="External"/><Relationship Id="rId5" Type="http://schemas.openxmlformats.org/officeDocument/2006/relationships/hyperlink" Target="http://www.sec.gov/cgi-bin/browse-edgar?action=getcompany&amp;CIK=00000362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3766</Characters>
  <CharactersWithSpaces>4382</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